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widowControl/>
        <w:shd w:val="clear" w:fill="FFFFFF"/>
        <w:rPr>
          <w:highlight w:val="none"/>
        </w:rPr>
      </w:pPr>
      <mc:AlternateContent>
        <mc:Choice Requires="wpsCustomData">
          <wpsCustomData:docfieldStart id="0" docfieldname="标题_1" hidden="0" print="1" readonly="0" index="1"/>
        </mc:Choice>
      </mc:AlternateContent>
      <w:r>
        <w:rPr>
          <w:rFonts w:hint="eastAsia"/>
          <w:highlight w:val="none"/>
          <w:lang w:eastAsia="zh-CN"/>
        </w:rPr>
        <w:t>托里</w:t>
      </w:r>
      <w:r>
        <w:rPr>
          <w:highlight w:val="none"/>
        </w:rPr>
        <w:t>县烟草制品零售点合理布局规划</w:t>
      </w:r>
    </w:p>
    <w:p>
      <w:pPr>
        <w:pStyle w:val="16"/>
        <w:widowControl/>
        <w:shd w:val="clear" w:fill="FFFFFF"/>
        <w:rPr>
          <w:rFonts w:hint="eastAsia" w:eastAsia="方正小标宋简体"/>
          <w:highlight w:val="none"/>
          <w:lang w:eastAsia="zh-CN"/>
        </w:rPr>
      </w:pPr>
      <w:r>
        <w:rPr>
          <w:rFonts w:hint="eastAsia"/>
          <w:highlight w:val="none"/>
          <w:lang w:val="en-US" w:eastAsia="zh-CN"/>
        </w:rPr>
        <w:t>（2026年-2031年）</w:t>
      </w:r>
      <mc:AlternateContent>
        <mc:Choice Requires="wpsCustomData">
          <wpsCustomData:docfieldEnd id="0"/>
        </mc:Choice>
      </mc:AlternateContent>
    </w:p>
    <w:p>
      <w:pPr>
        <w:pStyle w:val="11"/>
        <w:bidi w:val="0"/>
        <w:spacing w:beforeAutospacing="0" w:afterAutospacing="0" w:line="300" w:lineRule="exact"/>
        <w:rPr>
          <w:highlight w:val="none"/>
        </w:rPr>
      </w:pPr>
    </w:p>
    <w:p>
      <w:pPr>
        <w:pStyle w:val="19"/>
        <w:widowControl/>
        <w:shd w:val="clear" w:fill="FFFFFF"/>
        <w:rPr>
          <w:b w:val="0"/>
          <w:highlight w:val="none"/>
        </w:rPr>
      </w:pPr>
      <w:r>
        <w:rPr>
          <w:highlight w:val="none"/>
        </w:rPr>
        <w:t>第一章　总则</w:t>
      </w:r>
    </w:p>
    <w:p>
      <w:pPr>
        <w:pStyle w:val="11"/>
        <w:widowControl/>
        <w:rPr>
          <w:rFonts w:hint="eastAsia" w:ascii="仿宋_GB2312" w:hAnsi="仿宋_GB2312" w:eastAsia="仿宋_GB2312" w:cs="仿宋_GB2312"/>
          <w:b/>
          <w:i w:val="0"/>
          <w:color w:val="0F1115"/>
          <w:sz w:val="32"/>
          <w:szCs w:val="32"/>
          <w:highlight w:val="none"/>
        </w:rPr>
      </w:pPr>
      <w:r>
        <w:rPr>
          <w:rFonts w:ascii="Times New Roman" w:hAnsi="Times New Roman" w:eastAsia="仿宋_GB2312" w:cs="仿宋_GB2312"/>
          <w:b/>
          <w:i w:val="0"/>
          <w:color w:val="0F1115"/>
          <w:sz w:val="32"/>
          <w:szCs w:val="32"/>
          <w:highlight w:val="none"/>
        </w:rPr>
        <w:t>第一条</w:t>
      </w:r>
      <w:r>
        <w:rPr>
          <w:rFonts w:hint="eastAsia" w:cs="仿宋_GB2312"/>
          <w:b/>
          <w:i w:val="0"/>
          <w:color w:val="0F1115"/>
          <w:sz w:val="32"/>
          <w:szCs w:val="32"/>
          <w:highlight w:val="none"/>
          <w:lang w:val="en-US" w:eastAsia="zh-CN"/>
        </w:rPr>
        <w:t xml:space="preserve"> </w:t>
      </w:r>
      <w:r>
        <w:rPr>
          <w:rFonts w:ascii="Times New Roman" w:hAnsi="Times New Roman" w:eastAsia="仿宋_GB2312" w:cs="仿宋_GB2312"/>
          <w:i w:val="0"/>
          <w:color w:val="0F1115"/>
          <w:sz w:val="32"/>
          <w:szCs w:val="32"/>
          <w:highlight w:val="none"/>
        </w:rPr>
        <w:t>为加强烟草专卖零售许可证的管理，合理配置烟草制品零售市场资源，规范市场秩序，根据《中华人民共和国行政许可法》《中华人民共和国未成年人保护法》《中华人民共和国烟草专卖法》《中华人民共和国烟草专卖法实施条例》《烟草专卖许可证管理办法》及《烟草专卖许可证管理办法实施细则》等法律法规、规章和规范性文件，结合本县实际，制定本规划。</w:t>
      </w:r>
    </w:p>
    <w:p>
      <w:pPr>
        <w:pStyle w:val="11"/>
        <w:keepNext w:val="0"/>
        <w:keepLines w:val="0"/>
        <w:pageBreakBefore w:val="0"/>
        <w:widowControl/>
        <w:numPr>
          <w:ilvl w:val="0"/>
          <w:numId w:val="0"/>
        </w:numPr>
        <w:kinsoku w:val="0"/>
        <w:wordWrap/>
        <w:overflowPunct/>
        <w:topLinePunct w:val="0"/>
        <w:autoSpaceDE w:val="0"/>
        <w:autoSpaceDN w:val="0"/>
        <w:bidi w:val="0"/>
        <w:adjustRightInd w:val="0"/>
        <w:snapToGrid w:val="0"/>
        <w:spacing w:before="143" w:line="560" w:lineRule="exact"/>
        <w:ind w:right="108" w:rightChars="0" w:firstLine="616" w:firstLineChars="200"/>
        <w:jc w:val="left"/>
        <w:textAlignment w:val="baseline"/>
        <w:rPr>
          <w:rFonts w:hint="eastAsia" w:ascii="CESI仿宋-GB2312" w:hAnsi="CESI仿宋-GB2312" w:eastAsia="仿宋_GB2312" w:cs="CESI仿宋-GB2312"/>
          <w:spacing w:val="2"/>
          <w:sz w:val="30"/>
          <w:szCs w:val="30"/>
          <w:highlight w:val="none"/>
          <w:u w:val="none"/>
          <w:lang w:val="en-US" w:eastAsia="zh-CN"/>
        </w:rPr>
      </w:pPr>
      <w:r>
        <w:rPr>
          <w:rFonts w:ascii="Times New Roman" w:hAnsi="Times New Roman" w:eastAsia="仿宋_GB2312" w:cs="仿宋_GB2312"/>
          <w:b/>
          <w:i w:val="0"/>
          <w:color w:val="0F1115"/>
          <w:sz w:val="32"/>
          <w:szCs w:val="32"/>
          <w:highlight w:val="none"/>
        </w:rPr>
        <w:t>第二条</w:t>
      </w:r>
      <w:r>
        <w:rPr>
          <w:rFonts w:hint="eastAsia" w:cs="仿宋_GB2312"/>
          <w:b/>
          <w:i w:val="0"/>
          <w:color w:val="0F1115"/>
          <w:sz w:val="32"/>
          <w:szCs w:val="32"/>
          <w:highlight w:val="none"/>
          <w:lang w:val="en-US" w:eastAsia="zh-CN"/>
        </w:rPr>
        <w:t xml:space="preserve"> </w:t>
      </w:r>
      <w:r>
        <w:rPr>
          <w:rFonts w:ascii="Times New Roman" w:hAnsi="Times New Roman" w:eastAsia="仿宋_GB2312" w:cs="仿宋_GB2312"/>
          <w:i w:val="0"/>
          <w:color w:val="0F1115"/>
          <w:sz w:val="32"/>
          <w:szCs w:val="32"/>
          <w:highlight w:val="none"/>
        </w:rPr>
        <w:t>本规划遵循依法行政、科学规划、服务社会、均衡</w:t>
      </w:r>
      <w:r>
        <w:rPr>
          <w:rFonts w:hint="eastAsia" w:cs="仿宋_GB2312"/>
          <w:i w:val="0"/>
          <w:color w:val="auto"/>
          <w:sz w:val="32"/>
          <w:szCs w:val="32"/>
          <w:highlight w:val="none"/>
          <w:lang w:eastAsia="zh-CN"/>
        </w:rPr>
        <w:t>发展的原则</w:t>
      </w:r>
      <w:r>
        <w:rPr>
          <w:rFonts w:hint="eastAsia" w:ascii="仿宋_GB2312" w:hAnsi="仿宋_GB2312" w:eastAsia="仿宋_GB2312" w:cs="仿宋_GB2312"/>
          <w:i w:val="0"/>
          <w:color w:val="auto"/>
          <w:sz w:val="32"/>
          <w:szCs w:val="32"/>
          <w:highlight w:val="none"/>
          <w:lang w:eastAsia="zh-CN"/>
        </w:rPr>
        <w:t>。</w:t>
      </w:r>
      <w:r>
        <w:rPr>
          <w:rFonts w:hint="eastAsia" w:ascii="仿宋_GB2312" w:hAnsi="仿宋_GB2312" w:eastAsia="仿宋_GB2312" w:cs="仿宋_GB2312"/>
          <w:i w:val="0"/>
          <w:color w:val="auto"/>
          <w:sz w:val="32"/>
          <w:szCs w:val="32"/>
          <w:highlight w:val="none"/>
          <w:lang w:val="en-US" w:eastAsia="zh-CN"/>
        </w:rPr>
        <w:t xml:space="preserve"> </w:t>
      </w:r>
    </w:p>
    <w:p>
      <w:pPr>
        <w:pStyle w:val="11"/>
        <w:widowControl/>
        <w:rPr>
          <w:rFonts w:ascii="Times New Roman" w:hAnsi="Times New Roman" w:eastAsia="仿宋_GB2312" w:cs="仿宋_GB2312"/>
          <w:i w:val="0"/>
          <w:color w:val="0F1115"/>
          <w:sz w:val="32"/>
          <w:szCs w:val="32"/>
          <w:highlight w:val="none"/>
        </w:rPr>
      </w:pPr>
      <w:r>
        <w:rPr>
          <w:rFonts w:ascii="Times New Roman" w:hAnsi="Times New Roman" w:eastAsia="仿宋_GB2312" w:cs="仿宋_GB2312"/>
          <w:b/>
          <w:i w:val="0"/>
          <w:color w:val="0F1115"/>
          <w:sz w:val="32"/>
          <w:szCs w:val="32"/>
          <w:highlight w:val="none"/>
        </w:rPr>
        <w:t>第三条</w:t>
      </w:r>
      <w:r>
        <w:rPr>
          <w:rFonts w:hint="eastAsia" w:cs="仿宋_GB2312"/>
          <w:b/>
          <w:i w:val="0"/>
          <w:color w:val="0F1115"/>
          <w:sz w:val="32"/>
          <w:szCs w:val="32"/>
          <w:highlight w:val="none"/>
          <w:lang w:val="en-US" w:eastAsia="zh-CN"/>
        </w:rPr>
        <w:t xml:space="preserve"> </w:t>
      </w:r>
      <w:r>
        <w:rPr>
          <w:rFonts w:hint="eastAsia" w:ascii="仿宋_GB2312" w:hAnsi="仿宋_GB2312" w:eastAsia="仿宋_GB2312" w:cs="仿宋_GB2312"/>
          <w:i w:val="0"/>
          <w:color w:val="auto"/>
          <w:sz w:val="32"/>
          <w:szCs w:val="32"/>
          <w:highlight w:val="none"/>
        </w:rPr>
        <w:t>本规划适用于</w:t>
      </w:r>
      <w:r>
        <w:rPr>
          <w:rFonts w:hint="eastAsia" w:ascii="仿宋_GB2312" w:hAnsi="仿宋_GB2312" w:cs="仿宋_GB2312"/>
          <w:i w:val="0"/>
          <w:color w:val="auto"/>
          <w:sz w:val="32"/>
          <w:szCs w:val="32"/>
          <w:highlight w:val="none"/>
          <w:lang w:eastAsia="zh-CN"/>
        </w:rPr>
        <w:t>托里</w:t>
      </w:r>
      <w:r>
        <w:rPr>
          <w:rFonts w:hint="eastAsia" w:ascii="仿宋_GB2312" w:hAnsi="仿宋_GB2312" w:eastAsia="仿宋_GB2312" w:cs="仿宋_GB2312"/>
          <w:i w:val="0"/>
          <w:color w:val="auto"/>
          <w:sz w:val="32"/>
          <w:szCs w:val="32"/>
          <w:highlight w:val="none"/>
        </w:rPr>
        <w:t>县全域及第九师白杨市纳入属地</w:t>
      </w:r>
      <w:r>
        <w:rPr>
          <w:rFonts w:hint="eastAsia" w:cs="仿宋_GB2312"/>
          <w:i w:val="0"/>
          <w:color w:val="auto"/>
          <w:sz w:val="32"/>
          <w:szCs w:val="32"/>
          <w:highlight w:val="none"/>
          <w:lang w:eastAsia="zh-CN"/>
        </w:rPr>
        <w:t>烟草专卖行政管理部门协同管辖的部分区域、</w:t>
      </w:r>
      <w:r>
        <w:rPr>
          <w:rFonts w:hint="eastAsia" w:ascii="仿宋_GB2312" w:hAnsi="仿宋_GB2312" w:eastAsia="仿宋_GB2312" w:cs="仿宋_GB2312"/>
          <w:i w:val="0"/>
          <w:color w:val="auto"/>
          <w:sz w:val="32"/>
          <w:szCs w:val="32"/>
          <w:highlight w:val="none"/>
        </w:rPr>
        <w:t>团场范围内烟草制品零售点的设置与管理。电子烟零售点布局按照《新疆维吾尔自治区电子烟零售点布局规划》执行。</w:t>
      </w:r>
    </w:p>
    <w:p>
      <w:pPr>
        <w:pStyle w:val="11"/>
        <w:widowControl/>
        <w:rPr>
          <w:rFonts w:ascii="Times New Roman" w:hAnsi="Times New Roman" w:eastAsia="仿宋_GB2312" w:cs="仿宋_GB2312"/>
          <w:i w:val="0"/>
          <w:color w:val="0F1115"/>
          <w:sz w:val="32"/>
          <w:szCs w:val="32"/>
          <w:highlight w:val="none"/>
        </w:rPr>
      </w:pPr>
      <w:r>
        <w:rPr>
          <w:rFonts w:ascii="Times New Roman" w:hAnsi="Times New Roman" w:eastAsia="仿宋_GB2312" w:cs="仿宋_GB2312"/>
          <w:b/>
          <w:i w:val="0"/>
          <w:color w:val="0F1115"/>
          <w:sz w:val="32"/>
          <w:szCs w:val="32"/>
          <w:highlight w:val="none"/>
        </w:rPr>
        <w:t>第四条</w:t>
      </w:r>
      <w:r>
        <w:rPr>
          <w:rFonts w:hint="eastAsia" w:cs="仿宋_GB2312"/>
          <w:b/>
          <w:i w:val="0"/>
          <w:color w:val="0F1115"/>
          <w:sz w:val="32"/>
          <w:szCs w:val="32"/>
          <w:highlight w:val="none"/>
          <w:lang w:val="en-US" w:eastAsia="zh-CN"/>
        </w:rPr>
        <w:t xml:space="preserve"> </w:t>
      </w:r>
      <w:r>
        <w:rPr>
          <w:rFonts w:ascii="Times New Roman" w:hAnsi="Times New Roman" w:eastAsia="仿宋_GB2312" w:cs="仿宋_GB2312"/>
          <w:i w:val="0"/>
          <w:color w:val="0F1115"/>
          <w:sz w:val="32"/>
          <w:szCs w:val="32"/>
          <w:highlight w:val="none"/>
        </w:rPr>
        <w:t>本规划所称烟草制品零售点（以下简称“零售点”）是指依法取得烟草专卖零售许可证从事烟草制品零售业务的公民、法人及其他组织开展烟草制品零售业务的经营场所。烟草制品是指卷烟、雪茄烟。</w:t>
      </w:r>
    </w:p>
    <w:p>
      <w:pPr>
        <w:pStyle w:val="19"/>
        <w:widowControl/>
        <w:shd w:val="clear" w:fill="FFFFFF"/>
        <w:rPr>
          <w:highlight w:val="none"/>
        </w:rPr>
      </w:pPr>
      <w:r>
        <w:rPr>
          <w:highlight w:val="none"/>
        </w:rPr>
        <w:t>第二章　</w:t>
      </w:r>
      <w:r>
        <w:rPr>
          <w:rFonts w:hint="eastAsia"/>
          <w:highlight w:val="none"/>
          <w:lang w:eastAsia="zh-CN"/>
        </w:rPr>
        <w:t>单元</w:t>
      </w:r>
      <w:r>
        <w:rPr>
          <w:highlight w:val="none"/>
        </w:rPr>
        <w:t>划分和布局标准</w:t>
      </w:r>
    </w:p>
    <w:p>
      <w:pPr>
        <w:pStyle w:val="11"/>
        <w:widowControl/>
        <w:rPr>
          <w:rFonts w:hint="eastAsia" w:ascii="仿宋_GB2312" w:hAnsi="仿宋_GB2312" w:eastAsia="仿宋_GB2312" w:cs="仿宋_GB2312"/>
          <w:b/>
          <w:i w:val="0"/>
          <w:color w:val="0F1115"/>
          <w:sz w:val="32"/>
          <w:szCs w:val="32"/>
          <w:highlight w:val="none"/>
        </w:rPr>
      </w:pPr>
      <w:r>
        <w:rPr>
          <w:rFonts w:ascii="Times New Roman" w:hAnsi="Times New Roman" w:eastAsia="仿宋_GB2312" w:cs="仿宋_GB2312"/>
          <w:b/>
          <w:i w:val="0"/>
          <w:color w:val="0F1115"/>
          <w:sz w:val="32"/>
          <w:szCs w:val="32"/>
          <w:highlight w:val="none"/>
        </w:rPr>
        <w:t>第</w:t>
      </w:r>
      <w:r>
        <w:rPr>
          <w:rFonts w:hint="eastAsia" w:cs="仿宋_GB2312"/>
          <w:b/>
          <w:i w:val="0"/>
          <w:color w:val="0F1115"/>
          <w:sz w:val="32"/>
          <w:szCs w:val="32"/>
          <w:highlight w:val="none"/>
          <w:lang w:eastAsia="zh-CN"/>
        </w:rPr>
        <w:t>五</w:t>
      </w:r>
      <w:r>
        <w:rPr>
          <w:rFonts w:ascii="Times New Roman" w:hAnsi="Times New Roman" w:eastAsia="仿宋_GB2312" w:cs="仿宋_GB2312"/>
          <w:b/>
          <w:i w:val="0"/>
          <w:color w:val="0F1115"/>
          <w:sz w:val="32"/>
          <w:szCs w:val="32"/>
          <w:highlight w:val="none"/>
        </w:rPr>
        <w:t>条</w:t>
      </w:r>
      <w:r>
        <w:rPr>
          <w:rFonts w:hint="eastAsia" w:cs="仿宋_GB2312"/>
          <w:b/>
          <w:i w:val="0"/>
          <w:color w:val="0F1115"/>
          <w:sz w:val="32"/>
          <w:szCs w:val="32"/>
          <w:highlight w:val="none"/>
          <w:lang w:val="en-US" w:eastAsia="zh-CN"/>
        </w:rPr>
        <w:t xml:space="preserve"> </w:t>
      </w:r>
      <w:r>
        <w:rPr>
          <w:rFonts w:ascii="Times New Roman" w:hAnsi="Times New Roman" w:eastAsia="仿宋_GB2312" w:cs="仿宋_GB2312"/>
          <w:i w:val="0"/>
          <w:color w:val="0F1115"/>
          <w:sz w:val="32"/>
          <w:szCs w:val="32"/>
          <w:highlight w:val="none"/>
        </w:rPr>
        <w:t>为了合理满足消费需求、防止无序过度竞争、落实控烟履约要求，确保零售点数量与市场相协调，本辖区烟草制品零售点布局采用组合运用</w:t>
      </w:r>
      <w:r>
        <w:rPr>
          <w:rFonts w:hint="eastAsia" w:ascii="仿宋_GB2312" w:hAnsi="仿宋_GB2312" w:eastAsia="仿宋_GB2312" w:cs="仿宋_GB2312"/>
          <w:b w:val="0"/>
          <w:color w:val="auto"/>
          <w:sz w:val="32"/>
          <w:highlight w:val="none"/>
        </w:rPr>
        <w:t>数量、间距</w:t>
      </w:r>
      <w:r>
        <w:rPr>
          <w:rFonts w:ascii="Times New Roman" w:hAnsi="Times New Roman" w:eastAsia="仿宋_GB2312" w:cs="仿宋_GB2312"/>
          <w:i w:val="0"/>
          <w:color w:val="0F1115"/>
          <w:sz w:val="32"/>
          <w:szCs w:val="32"/>
          <w:highlight w:val="none"/>
        </w:rPr>
        <w:t>的</w:t>
      </w:r>
      <w:r>
        <w:rPr>
          <w:rFonts w:hint="eastAsia" w:cs="仿宋_GB2312"/>
          <w:i w:val="0"/>
          <w:color w:val="auto"/>
          <w:sz w:val="32"/>
          <w:szCs w:val="32"/>
          <w:highlight w:val="none"/>
          <w:lang w:eastAsia="zh-CN"/>
        </w:rPr>
        <w:t>组合</w:t>
      </w:r>
      <w:r>
        <w:rPr>
          <w:rFonts w:ascii="Times New Roman" w:hAnsi="Times New Roman" w:eastAsia="仿宋_GB2312" w:cs="仿宋_GB2312"/>
          <w:i w:val="0"/>
          <w:color w:val="0F1115"/>
          <w:sz w:val="32"/>
          <w:szCs w:val="32"/>
          <w:highlight w:val="none"/>
        </w:rPr>
        <w:t>布局模式，以较为稳定、相对独立的市场区域为单元，</w:t>
      </w:r>
      <w:r>
        <w:rPr>
          <w:rFonts w:hint="eastAsia" w:ascii="仿宋_GB2312" w:hAnsi="仿宋_GB2312" w:eastAsia="仿宋_GB2312" w:cs="仿宋_GB2312"/>
          <w:b w:val="0"/>
          <w:color w:val="auto"/>
          <w:sz w:val="32"/>
          <w:highlight w:val="none"/>
          <w:lang w:val="en-US" w:eastAsia="zh-CN"/>
        </w:rPr>
        <w:t>可将辖区划分为社区、行政（自然）村（连队）、特殊区域市场单元。</w:t>
      </w:r>
    </w:p>
    <w:p>
      <w:pPr>
        <w:pStyle w:val="11"/>
        <w:widowControl/>
        <w:rPr>
          <w:rFonts w:ascii="Times New Roman" w:hAnsi="Times New Roman" w:eastAsia="仿宋_GB2312" w:cs="仿宋_GB2312"/>
          <w:i w:val="0"/>
          <w:color w:val="0F1115"/>
          <w:sz w:val="32"/>
          <w:szCs w:val="32"/>
          <w:highlight w:val="none"/>
        </w:rPr>
      </w:pPr>
      <w:r>
        <w:rPr>
          <w:rFonts w:ascii="Times New Roman" w:hAnsi="Times New Roman" w:eastAsia="仿宋_GB2312" w:cs="仿宋_GB2312"/>
          <w:b/>
          <w:i w:val="0"/>
          <w:color w:val="0F1115"/>
          <w:sz w:val="32"/>
          <w:szCs w:val="32"/>
          <w:highlight w:val="none"/>
        </w:rPr>
        <w:t>第</w:t>
      </w:r>
      <w:r>
        <w:rPr>
          <w:rFonts w:hint="eastAsia" w:cs="仿宋_GB2312"/>
          <w:b/>
          <w:i w:val="0"/>
          <w:color w:val="0F1115"/>
          <w:sz w:val="32"/>
          <w:szCs w:val="32"/>
          <w:highlight w:val="none"/>
          <w:lang w:val="en-US" w:eastAsia="zh-CN"/>
        </w:rPr>
        <w:t>六</w:t>
      </w:r>
      <w:r>
        <w:rPr>
          <w:rFonts w:ascii="Times New Roman" w:hAnsi="Times New Roman" w:eastAsia="仿宋_GB2312" w:cs="仿宋_GB2312"/>
          <w:b/>
          <w:i w:val="0"/>
          <w:color w:val="0F1115"/>
          <w:sz w:val="32"/>
          <w:szCs w:val="32"/>
          <w:highlight w:val="none"/>
        </w:rPr>
        <w:t>条</w:t>
      </w:r>
      <w:r>
        <w:rPr>
          <w:rFonts w:hint="eastAsia" w:cs="仿宋_GB2312"/>
          <w:b/>
          <w:i w:val="0"/>
          <w:color w:val="0F1115"/>
          <w:sz w:val="32"/>
          <w:szCs w:val="32"/>
          <w:highlight w:val="none"/>
          <w:lang w:val="en-US" w:eastAsia="zh-CN"/>
        </w:rPr>
        <w:t xml:space="preserve"> </w:t>
      </w:r>
      <w:r>
        <w:rPr>
          <w:rFonts w:hint="eastAsia" w:cs="仿宋_GB2312"/>
          <w:i w:val="0"/>
          <w:color w:val="0F1115"/>
          <w:sz w:val="32"/>
          <w:szCs w:val="32"/>
          <w:highlight w:val="none"/>
          <w:lang w:eastAsia="zh-CN"/>
        </w:rPr>
        <w:t>市场单元</w:t>
      </w:r>
      <w:r>
        <w:rPr>
          <w:rFonts w:ascii="Times New Roman" w:hAnsi="Times New Roman" w:eastAsia="仿宋_GB2312" w:cs="仿宋_GB2312"/>
          <w:i w:val="0"/>
          <w:color w:val="0F1115"/>
          <w:sz w:val="32"/>
          <w:szCs w:val="32"/>
          <w:highlight w:val="none"/>
        </w:rPr>
        <w:t>划分：</w:t>
      </w:r>
    </w:p>
    <w:p>
      <w:pPr>
        <w:pStyle w:val="11"/>
        <w:widowControl/>
        <w:rPr>
          <w:rFonts w:hint="eastAsia" w:ascii="仿宋_GB2312" w:hAnsi="仿宋_GB2312" w:eastAsia="仿宋_GB2312" w:cs="仿宋_GB2312"/>
          <w:b w:val="0"/>
          <w:color w:val="auto"/>
          <w:sz w:val="32"/>
          <w:highlight w:val="none"/>
          <w:lang w:val="en-US" w:eastAsia="zh-CN"/>
        </w:rPr>
      </w:pPr>
      <w:r>
        <w:rPr>
          <w:rStyle w:val="20"/>
          <w:rFonts w:hint="eastAsia" w:eastAsia="楷体_GB2312"/>
          <w:highlight w:val="none"/>
          <w:lang w:eastAsia="zh-CN"/>
        </w:rPr>
        <w:t>（一）</w:t>
      </w:r>
      <w:r>
        <w:rPr>
          <w:rFonts w:hint="eastAsia" w:ascii="楷体" w:hAnsi="楷体" w:eastAsia="楷体" w:cs="楷体"/>
          <w:b w:val="0"/>
          <w:bCs w:val="0"/>
          <w:color w:val="000000"/>
          <w:sz w:val="32"/>
          <w:szCs w:val="32"/>
          <w:highlight w:val="none"/>
          <w:lang w:val="en-US" w:eastAsia="zh-CN"/>
        </w:rPr>
        <w:t>社区市场单元。</w:t>
      </w:r>
      <w:r>
        <w:rPr>
          <w:rFonts w:hint="eastAsia" w:ascii="仿宋_GB2312" w:hAnsi="仿宋_GB2312" w:eastAsia="仿宋_GB2312" w:cs="仿宋_GB2312"/>
          <w:b w:val="0"/>
          <w:color w:val="auto"/>
          <w:sz w:val="32"/>
          <w:highlight w:val="none"/>
          <w:lang w:val="en-US" w:eastAsia="zh-CN"/>
        </w:rPr>
        <w:t>社区市场单元指由县级及以上人民政府部门依据法定标准以居民委员会实际管辖区域为基础划定的区域。城乡结合部、乡（镇）政府驻地、行政（自然）村（连队）等区域，经属地街道办事处或乡镇人民政府认定属于社区服务管理体系的，纳入社区市场单元管理。</w:t>
      </w:r>
    </w:p>
    <w:p>
      <w:pPr>
        <w:pStyle w:val="11"/>
        <w:widowControl/>
        <w:rPr>
          <w:rFonts w:hint="eastAsia" w:ascii="仿宋_GB2312" w:hAnsi="仿宋_GB2312" w:eastAsia="仿宋_GB2312" w:cs="仿宋_GB2312"/>
          <w:b w:val="0"/>
          <w:color w:val="auto"/>
          <w:sz w:val="32"/>
          <w:highlight w:val="none"/>
          <w:lang w:val="en-US" w:eastAsia="zh-CN"/>
        </w:rPr>
      </w:pPr>
      <w:r>
        <w:rPr>
          <w:rStyle w:val="20"/>
          <w:rFonts w:hint="eastAsia" w:eastAsia="楷体_GB2312"/>
          <w:highlight w:val="none"/>
          <w:lang w:eastAsia="zh-CN"/>
        </w:rPr>
        <w:t>（二）</w:t>
      </w:r>
      <w:r>
        <w:rPr>
          <w:rFonts w:hint="eastAsia" w:ascii="楷体" w:hAnsi="楷体" w:eastAsia="楷体" w:cs="楷体"/>
          <w:b w:val="0"/>
          <w:bCs w:val="0"/>
          <w:color w:val="000000"/>
          <w:sz w:val="32"/>
          <w:szCs w:val="32"/>
          <w:highlight w:val="none"/>
          <w:lang w:val="en-US" w:eastAsia="zh-CN"/>
        </w:rPr>
        <w:t>行政（自然）村（连队）市场单元。</w:t>
      </w:r>
      <w:r>
        <w:rPr>
          <w:rFonts w:hint="eastAsia" w:ascii="仿宋_GB2312" w:hAnsi="仿宋_GB2312" w:eastAsia="仿宋_GB2312" w:cs="仿宋_GB2312"/>
          <w:b w:val="0"/>
          <w:color w:val="auto"/>
          <w:sz w:val="32"/>
          <w:highlight w:val="none"/>
          <w:lang w:val="en-US" w:eastAsia="zh-CN"/>
        </w:rPr>
        <w:t>行政（自然）村（连队）市场单元指依据县级人民政府部门依法划定的村民委员会法定管辖区域，或经属地乡镇人民政府确认并纳入统一管理的自然村落区域。</w:t>
      </w:r>
    </w:p>
    <w:p>
      <w:pPr>
        <w:pStyle w:val="11"/>
        <w:widowControl/>
        <w:rPr>
          <w:rFonts w:ascii="Times New Roman" w:hAnsi="Times New Roman" w:eastAsia="仿宋_GB2312" w:cs="仿宋_GB2312"/>
          <w:b w:val="0"/>
          <w:bCs w:val="0"/>
          <w:i w:val="0"/>
          <w:iCs w:val="0"/>
          <w:caps w:val="0"/>
          <w:color w:val="auto"/>
          <w:spacing w:val="-6"/>
          <w:sz w:val="32"/>
          <w:szCs w:val="32"/>
          <w:highlight w:val="none"/>
          <w:shd w:val="clear" w:fill="auto"/>
        </w:rPr>
      </w:pPr>
      <w:r>
        <w:rPr>
          <w:rStyle w:val="20"/>
          <w:rFonts w:hint="eastAsia" w:eastAsia="楷体_GB2312"/>
          <w:highlight w:val="none"/>
          <w:lang w:eastAsia="zh-CN"/>
        </w:rPr>
        <w:t>（</w:t>
      </w:r>
      <w:r>
        <w:rPr>
          <w:rStyle w:val="20"/>
          <w:rFonts w:hint="eastAsia" w:eastAsia="楷体_GB2312"/>
          <w:color w:val="auto"/>
          <w:highlight w:val="none"/>
          <w:lang w:eastAsia="zh-CN"/>
        </w:rPr>
        <w:t>三</w:t>
      </w:r>
      <w:r>
        <w:rPr>
          <w:rStyle w:val="20"/>
          <w:rFonts w:hint="eastAsia" w:eastAsia="楷体_GB2312"/>
          <w:highlight w:val="none"/>
          <w:lang w:eastAsia="zh-CN"/>
        </w:rPr>
        <w:t>）</w:t>
      </w:r>
      <w:r>
        <w:rPr>
          <w:rFonts w:hint="eastAsia" w:ascii="楷体" w:hAnsi="楷体" w:eastAsia="楷体" w:cs="楷体"/>
          <w:b w:val="0"/>
          <w:bCs w:val="0"/>
          <w:color w:val="000000"/>
          <w:sz w:val="32"/>
          <w:szCs w:val="32"/>
          <w:highlight w:val="none"/>
          <w:lang w:val="en-US" w:eastAsia="zh-CN"/>
        </w:rPr>
        <w:t>特殊区域市场单元。</w:t>
      </w:r>
      <w:r>
        <w:rPr>
          <w:rFonts w:hint="eastAsia" w:ascii="仿宋_GB2312" w:hAnsi="仿宋_GB2312" w:eastAsia="仿宋_GB2312" w:cs="仿宋_GB2312"/>
          <w:b w:val="0"/>
          <w:color w:val="auto"/>
          <w:sz w:val="32"/>
          <w:highlight w:val="none"/>
          <w:lang w:val="en-US" w:eastAsia="zh-CN"/>
        </w:rPr>
        <w:t>特殊区域市场单元指具备独特市场生态、特定消费人群的区域，如集贸市场、交通枢纽、旅游景区、工矿区等。</w:t>
      </w:r>
      <w:r>
        <w:rPr>
          <w:rFonts w:ascii="Times New Roman" w:hAnsi="Times New Roman" w:eastAsia="仿宋_GB2312" w:cs="仿宋_GB2312"/>
          <w:b w:val="0"/>
          <w:bCs w:val="0"/>
          <w:i w:val="0"/>
          <w:iCs w:val="0"/>
          <w:caps w:val="0"/>
          <w:color w:val="auto"/>
          <w:spacing w:val="-6"/>
          <w:sz w:val="32"/>
          <w:szCs w:val="32"/>
          <w:highlight w:val="none"/>
          <w:shd w:val="clear" w:fill="auto"/>
        </w:rPr>
        <w:t>新建小区等尚未纳入现有</w:t>
      </w:r>
      <w:r>
        <w:rPr>
          <w:rFonts w:hint="eastAsia" w:cs="仿宋_GB2312"/>
          <w:b w:val="0"/>
          <w:bCs w:val="0"/>
          <w:i w:val="0"/>
          <w:iCs w:val="0"/>
          <w:caps w:val="0"/>
          <w:color w:val="auto"/>
          <w:spacing w:val="-6"/>
          <w:sz w:val="32"/>
          <w:szCs w:val="32"/>
          <w:highlight w:val="none"/>
          <w:shd w:val="clear" w:fill="auto"/>
          <w:lang w:eastAsia="zh-CN"/>
        </w:rPr>
        <w:t>市场单元</w:t>
      </w:r>
      <w:r>
        <w:rPr>
          <w:rFonts w:ascii="Times New Roman" w:hAnsi="Times New Roman" w:eastAsia="仿宋_GB2312" w:cs="仿宋_GB2312"/>
          <w:b w:val="0"/>
          <w:bCs w:val="0"/>
          <w:i w:val="0"/>
          <w:iCs w:val="0"/>
          <w:caps w:val="0"/>
          <w:color w:val="auto"/>
          <w:spacing w:val="-6"/>
          <w:sz w:val="32"/>
          <w:szCs w:val="32"/>
          <w:highlight w:val="none"/>
          <w:shd w:val="clear" w:fill="auto"/>
        </w:rPr>
        <w:t>的新开发区域，可参照特殊区域</w:t>
      </w:r>
      <w:r>
        <w:rPr>
          <w:rFonts w:hint="eastAsia" w:cs="仿宋_GB2312"/>
          <w:b w:val="0"/>
          <w:bCs w:val="0"/>
          <w:i w:val="0"/>
          <w:iCs w:val="0"/>
          <w:caps w:val="0"/>
          <w:color w:val="auto"/>
          <w:spacing w:val="-6"/>
          <w:sz w:val="32"/>
          <w:szCs w:val="32"/>
          <w:highlight w:val="none"/>
          <w:shd w:val="clear" w:fill="auto"/>
          <w:lang w:eastAsia="zh-CN"/>
        </w:rPr>
        <w:t>市场单元</w:t>
      </w:r>
      <w:r>
        <w:rPr>
          <w:rFonts w:ascii="Times New Roman" w:hAnsi="Times New Roman" w:eastAsia="仿宋_GB2312" w:cs="仿宋_GB2312"/>
          <w:b w:val="0"/>
          <w:bCs w:val="0"/>
          <w:i w:val="0"/>
          <w:iCs w:val="0"/>
          <w:caps w:val="0"/>
          <w:color w:val="auto"/>
          <w:spacing w:val="-6"/>
          <w:sz w:val="32"/>
          <w:szCs w:val="32"/>
          <w:highlight w:val="none"/>
          <w:shd w:val="clear" w:fill="auto"/>
        </w:rPr>
        <w:t>管理。</w:t>
      </w:r>
    </w:p>
    <w:p>
      <w:pPr>
        <w:pStyle w:val="11"/>
        <w:widowControl/>
        <w:spacing w:line="600" w:lineRule="exact"/>
        <w:ind w:firstLine="618" w:firstLineChars="0"/>
        <w:rPr>
          <w:rFonts w:hint="eastAsia" w:cs="仿宋_GB2312"/>
          <w:i w:val="0"/>
          <w:color w:val="0F1115"/>
          <w:sz w:val="32"/>
          <w:szCs w:val="32"/>
          <w:highlight w:val="none"/>
          <w:lang w:val="en-US" w:eastAsia="zh-CN"/>
        </w:rPr>
      </w:pPr>
      <w:r>
        <w:rPr>
          <w:rFonts w:hint="eastAsia" w:ascii="仿宋_GB2312" w:hAnsi="仿宋_GB2312" w:eastAsia="仿宋_GB2312" w:cs="仿宋_GB2312"/>
          <w:b w:val="0"/>
          <w:color w:val="auto"/>
          <w:sz w:val="32"/>
          <w:highlight w:val="none"/>
          <w:lang w:val="en-US" w:eastAsia="zh-CN"/>
        </w:rPr>
        <w:t>社区、行政（自然）村（连队）、特殊区域市场单元</w:t>
      </w:r>
      <w:r>
        <w:rPr>
          <w:rFonts w:hint="eastAsia" w:ascii="Times New Roman" w:hAnsi="Times New Roman" w:eastAsia="仿宋_GB2312" w:cs="仿宋_GB2312"/>
          <w:i w:val="0"/>
          <w:color w:val="0F1115"/>
          <w:spacing wpsCustomData:val="-6" w:val="4"/>
          <w:sz w:val="32"/>
          <w:szCs w:val="32"/>
          <w:highlight w:val="none"/>
          <w:lang w:eastAsia="zh-CN"/>
        </w:rPr>
        <w:t>的设置</w:t>
      </w:r>
      <w:r>
        <w:rPr>
          <w:rFonts w:ascii="Times New Roman" w:hAnsi="Times New Roman" w:eastAsia="仿宋_GB2312" w:cs="仿宋_GB2312"/>
          <w:i w:val="0"/>
          <w:color w:val="auto"/>
          <w:spacing wpsCustomData:val="-6" w:val="4"/>
          <w:sz w:val="32"/>
          <w:szCs w:val="32"/>
          <w:highlight w:val="none"/>
        </w:rPr>
        <w:t>，</w:t>
      </w:r>
      <w:r>
        <w:rPr>
          <w:rFonts w:hint="eastAsia" w:cs="仿宋_GB2312"/>
          <w:i w:val="0"/>
          <w:color w:val="0F1115"/>
          <w:sz w:val="32"/>
          <w:szCs w:val="32"/>
          <w:highlight w:val="none"/>
          <w:lang w:val="en-US" w:eastAsia="zh-CN"/>
        </w:rPr>
        <w:t>严格按照当地发展水平的情况要求动态调整。</w:t>
      </w:r>
    </w:p>
    <w:p>
      <w:pPr>
        <w:pStyle w:val="11"/>
        <w:widowControl/>
        <w:spacing w:line="600" w:lineRule="exact"/>
        <w:ind w:firstLine="618" w:firstLineChars="0"/>
        <w:rPr>
          <w:rFonts w:ascii="Times New Roman" w:hAnsi="Times New Roman" w:eastAsia="仿宋_GB2312" w:cs="仿宋_GB2312"/>
          <w:i w:val="0"/>
          <w:color w:val="0F1115"/>
          <w:sz w:val="32"/>
          <w:szCs w:val="32"/>
          <w:highlight w:val="none"/>
        </w:rPr>
      </w:pPr>
      <w:r>
        <w:rPr>
          <w:rFonts w:ascii="Times New Roman" w:hAnsi="Times New Roman" w:eastAsia="仿宋_GB2312" w:cs="仿宋_GB2312"/>
          <w:b/>
          <w:i w:val="0"/>
          <w:color w:val="0F1115"/>
          <w:sz w:val="32"/>
          <w:szCs w:val="32"/>
          <w:highlight w:val="none"/>
        </w:rPr>
        <w:t>第</w:t>
      </w:r>
      <w:r>
        <w:rPr>
          <w:rFonts w:hint="eastAsia" w:cs="仿宋_GB2312"/>
          <w:b/>
          <w:i w:val="0"/>
          <w:color w:val="0F1115"/>
          <w:sz w:val="32"/>
          <w:szCs w:val="32"/>
          <w:highlight w:val="none"/>
          <w:lang w:val="en-US" w:eastAsia="zh-CN"/>
        </w:rPr>
        <w:t>七</w:t>
      </w:r>
      <w:r>
        <w:rPr>
          <w:rFonts w:ascii="Times New Roman" w:hAnsi="Times New Roman" w:eastAsia="仿宋_GB2312" w:cs="仿宋_GB2312"/>
          <w:b/>
          <w:i w:val="0"/>
          <w:color w:val="0F1115"/>
          <w:sz w:val="32"/>
          <w:szCs w:val="32"/>
          <w:highlight w:val="none"/>
        </w:rPr>
        <w:t>条</w:t>
      </w:r>
      <w:r>
        <w:rPr>
          <w:rFonts w:ascii="Times New Roman" w:hAnsi="Times New Roman" w:eastAsia="仿宋_GB2312" w:cs="仿宋_GB2312"/>
          <w:i w:val="0"/>
          <w:color w:val="0F1115"/>
          <w:sz w:val="32"/>
          <w:szCs w:val="32"/>
          <w:highlight w:val="none"/>
        </w:rPr>
        <w:t>　</w:t>
      </w:r>
      <w:r>
        <w:rPr>
          <w:rFonts w:hint="eastAsia" w:ascii="仿宋_GB2312" w:hAnsi="仿宋_GB2312" w:eastAsia="仿宋_GB2312" w:cs="仿宋_GB2312"/>
          <w:b w:val="0"/>
          <w:color w:val="auto"/>
          <w:sz w:val="32"/>
          <w:highlight w:val="none"/>
          <w:lang w:val="en-US" w:eastAsia="zh-CN"/>
        </w:rPr>
        <w:t>社区、行政（自然）村（连队）、特殊区域市场单元</w:t>
      </w:r>
      <w:r>
        <w:rPr>
          <w:rFonts w:ascii="Times New Roman" w:hAnsi="Times New Roman" w:eastAsia="仿宋_GB2312" w:cs="仿宋_GB2312"/>
          <w:i w:val="0"/>
          <w:color w:val="0F1115"/>
          <w:sz w:val="32"/>
          <w:szCs w:val="32"/>
          <w:highlight w:val="none"/>
        </w:rPr>
        <w:t>采用“</w:t>
      </w:r>
      <w:r>
        <w:rPr>
          <w:rFonts w:hint="eastAsia" w:ascii="仿宋_GB2312" w:hAnsi="仿宋_GB2312" w:eastAsia="仿宋_GB2312" w:cs="仿宋_GB2312"/>
          <w:b w:val="0"/>
          <w:color w:val="auto"/>
          <w:sz w:val="32"/>
          <w:highlight w:val="none"/>
        </w:rPr>
        <w:t>数量、间距</w:t>
      </w:r>
      <w:r>
        <w:rPr>
          <w:rFonts w:ascii="Times New Roman" w:hAnsi="Times New Roman" w:eastAsia="仿宋_GB2312" w:cs="仿宋_GB2312"/>
          <w:i w:val="0"/>
          <w:color w:val="0F1115"/>
          <w:sz w:val="32"/>
          <w:szCs w:val="32"/>
          <w:highlight w:val="none"/>
        </w:rPr>
        <w:t>”的</w:t>
      </w:r>
      <w:r>
        <w:rPr>
          <w:rFonts w:hint="eastAsia" w:cs="仿宋_GB2312"/>
          <w:i w:val="0"/>
          <w:color w:val="auto"/>
          <w:sz w:val="32"/>
          <w:szCs w:val="32"/>
          <w:highlight w:val="none"/>
          <w:lang w:eastAsia="zh-CN"/>
        </w:rPr>
        <w:t>组合</w:t>
      </w:r>
      <w:r>
        <w:rPr>
          <w:rFonts w:ascii="Times New Roman" w:hAnsi="Times New Roman" w:eastAsia="仿宋_GB2312" w:cs="仿宋_GB2312"/>
          <w:i w:val="0"/>
          <w:color w:val="0F1115"/>
          <w:sz w:val="32"/>
          <w:szCs w:val="32"/>
          <w:highlight w:val="none"/>
        </w:rPr>
        <w:t>管理模式。</w:t>
      </w:r>
    </w:p>
    <w:p>
      <w:pPr>
        <w:pStyle w:val="11"/>
        <w:widowControl/>
        <w:numPr>
          <w:ilvl w:val="0"/>
          <w:numId w:val="0"/>
        </w:numPr>
        <w:topLinePunct w:val="0"/>
        <w:ind w:left="0" w:leftChars="0" w:firstLine="616"/>
        <w:rPr>
          <w:rFonts w:hint="eastAsia" w:ascii="仿宋_GB2312" w:hAnsi="仿宋_GB2312" w:eastAsia="仿宋_GB2312" w:cs="仿宋_GB2312"/>
          <w:i w:val="0"/>
          <w:color w:val="auto"/>
          <w:sz w:val="32"/>
          <w:szCs w:val="32"/>
          <w:highlight w:val="none"/>
          <w:lang w:val="en-US" w:eastAsia="zh-CN"/>
        </w:rPr>
      </w:pPr>
      <w:r>
        <w:rPr>
          <w:rStyle w:val="20"/>
          <w:rFonts w:hint="eastAsia" w:eastAsia="楷体_GB2312"/>
          <w:highlight w:val="none"/>
          <w:lang w:eastAsia="zh-CN"/>
        </w:rPr>
        <w:t>（一）</w:t>
      </w:r>
      <w:r>
        <w:rPr>
          <w:rFonts w:hint="eastAsia" w:ascii="楷体" w:hAnsi="楷体" w:eastAsia="楷体" w:cs="楷体"/>
          <w:b w:val="0"/>
          <w:bCs w:val="0"/>
          <w:color w:val="000000"/>
          <w:sz w:val="32"/>
          <w:szCs w:val="32"/>
          <w:highlight w:val="none"/>
          <w:lang w:val="en-US" w:eastAsia="zh-CN"/>
        </w:rPr>
        <w:t>社区市场单元</w:t>
      </w:r>
      <w:r>
        <w:rPr>
          <w:rFonts w:hint="eastAsia" w:ascii="Times New Roman" w:hAnsi="Times New Roman" w:eastAsia="仿宋_GB2312" w:cs="仿宋_GB2312"/>
          <w:i w:val="0"/>
          <w:color w:val="0F1115"/>
          <w:sz w:val="32"/>
          <w:szCs w:val="32"/>
          <w:highlight w:val="none"/>
          <w:lang w:eastAsia="zh-CN"/>
        </w:rPr>
        <w:t>：</w:t>
      </w:r>
      <w:r>
        <w:rPr>
          <w:rFonts w:hint="eastAsia" w:ascii="仿宋_GB2312" w:hAnsi="仿宋_GB2312" w:eastAsia="仿宋_GB2312" w:cs="仿宋_GB2312"/>
          <w:i w:val="0"/>
          <w:color w:val="auto"/>
          <w:sz w:val="32"/>
          <w:szCs w:val="32"/>
          <w:highlight w:val="none"/>
          <w:lang w:eastAsia="zh-CN"/>
        </w:rPr>
        <w:t>每</w:t>
      </w:r>
      <w:r>
        <w:rPr>
          <w:rFonts w:hint="eastAsia" w:ascii="仿宋_GB2312" w:hAnsi="仿宋_GB2312" w:eastAsia="仿宋_GB2312" w:cs="仿宋_GB2312"/>
          <w:i w:val="0"/>
          <w:color w:val="auto"/>
          <w:sz w:val="32"/>
          <w:szCs w:val="32"/>
          <w:highlight w:val="none"/>
          <w:lang w:val="en-US" w:eastAsia="zh-CN"/>
        </w:rPr>
        <w:t>250</w:t>
      </w:r>
      <w:r>
        <w:rPr>
          <w:rFonts w:hint="eastAsia" w:ascii="仿宋_GB2312" w:hAnsi="仿宋_GB2312" w:eastAsia="仿宋_GB2312" w:cs="仿宋_GB2312"/>
          <w:i w:val="0"/>
          <w:color w:val="auto"/>
          <w:sz w:val="32"/>
          <w:szCs w:val="32"/>
          <w:highlight w:val="none"/>
          <w:lang w:eastAsia="zh-CN"/>
        </w:rPr>
        <w:t>人设置1个零售点，不满</w:t>
      </w:r>
      <w:r>
        <w:rPr>
          <w:rFonts w:hint="eastAsia" w:ascii="仿宋_GB2312" w:hAnsi="仿宋_GB2312" w:eastAsia="仿宋_GB2312" w:cs="仿宋_GB2312"/>
          <w:i w:val="0"/>
          <w:color w:val="auto"/>
          <w:sz w:val="32"/>
          <w:szCs w:val="32"/>
          <w:highlight w:val="none"/>
          <w:lang w:val="en-US" w:eastAsia="zh-CN"/>
        </w:rPr>
        <w:t>500</w:t>
      </w:r>
      <w:r>
        <w:rPr>
          <w:rFonts w:hint="eastAsia" w:ascii="仿宋_GB2312" w:hAnsi="仿宋_GB2312" w:eastAsia="仿宋_GB2312" w:cs="仿宋_GB2312"/>
          <w:i w:val="0"/>
          <w:color w:val="auto"/>
          <w:sz w:val="32"/>
          <w:szCs w:val="32"/>
          <w:highlight w:val="none"/>
          <w:lang w:eastAsia="zh-CN"/>
        </w:rPr>
        <w:t>人的，根据实际情况设置不超过2个零售点；</w:t>
      </w:r>
      <w:r>
        <w:rPr>
          <w:rFonts w:hint="eastAsia" w:ascii="仿宋_GB2312" w:hAnsi="仿宋_GB2312" w:eastAsia="仿宋_GB2312" w:cs="仿宋_GB2312"/>
          <w:i w:val="0"/>
          <w:color w:val="auto"/>
          <w:sz w:val="32"/>
          <w:szCs w:val="32"/>
          <w:highlight w:val="none"/>
          <w:lang w:val="en-US" w:eastAsia="zh-CN"/>
        </w:rPr>
        <w:t>500</w:t>
      </w:r>
      <w:r>
        <w:rPr>
          <w:rFonts w:hint="eastAsia" w:ascii="仿宋_GB2312" w:hAnsi="仿宋_GB2312" w:eastAsia="仿宋_GB2312" w:cs="仿宋_GB2312"/>
          <w:i w:val="0"/>
          <w:color w:val="auto"/>
          <w:sz w:val="32"/>
          <w:szCs w:val="32"/>
          <w:highlight w:val="none"/>
          <w:lang w:eastAsia="zh-CN"/>
        </w:rPr>
        <w:t>人以上的，每增加</w:t>
      </w:r>
      <w:r>
        <w:rPr>
          <w:rFonts w:hint="eastAsia" w:ascii="仿宋_GB2312" w:hAnsi="仿宋_GB2312" w:eastAsia="仿宋_GB2312" w:cs="仿宋_GB2312"/>
          <w:i w:val="0"/>
          <w:color w:val="auto"/>
          <w:sz w:val="32"/>
          <w:szCs w:val="32"/>
          <w:highlight w:val="none"/>
          <w:lang w:val="en-US" w:eastAsia="zh-CN"/>
        </w:rPr>
        <w:t>250</w:t>
      </w:r>
      <w:r>
        <w:rPr>
          <w:rFonts w:hint="eastAsia" w:ascii="仿宋_GB2312" w:hAnsi="仿宋_GB2312" w:eastAsia="仿宋_GB2312" w:cs="仿宋_GB2312"/>
          <w:i w:val="0"/>
          <w:color w:val="auto"/>
          <w:sz w:val="32"/>
          <w:szCs w:val="32"/>
          <w:highlight w:val="none"/>
          <w:lang w:eastAsia="zh-CN"/>
        </w:rPr>
        <w:t>人增设1个零售点，</w:t>
      </w:r>
      <w:r>
        <w:rPr>
          <w:rFonts w:hint="eastAsia" w:ascii="仿宋_GB2312" w:hAnsi="仿宋_GB2312" w:eastAsia="仿宋_GB2312" w:cs="仿宋_GB2312"/>
          <w:i w:val="0"/>
          <w:color w:val="auto"/>
          <w:sz w:val="32"/>
          <w:szCs w:val="32"/>
          <w:highlight w:val="none"/>
          <w:lang w:val="en-US" w:eastAsia="zh-CN"/>
        </w:rPr>
        <w:t>零售点间隔距离不小于</w:t>
      </w:r>
      <w:r>
        <w:rPr>
          <w:rFonts w:hint="eastAsia" w:ascii="仿宋_GB2312" w:hAnsi="仿宋_GB2312" w:cs="仿宋_GB2312"/>
          <w:i w:val="0"/>
          <w:color w:val="auto"/>
          <w:sz w:val="32"/>
          <w:szCs w:val="32"/>
          <w:highlight w:val="none"/>
          <w:lang w:val="en-US" w:eastAsia="zh-CN"/>
        </w:rPr>
        <w:t>36</w:t>
      </w:r>
      <w:r>
        <w:rPr>
          <w:rFonts w:hint="eastAsia" w:ascii="仿宋_GB2312" w:hAnsi="仿宋_GB2312" w:eastAsia="仿宋_GB2312" w:cs="仿宋_GB2312"/>
          <w:i w:val="0"/>
          <w:color w:val="auto"/>
          <w:sz w:val="32"/>
          <w:szCs w:val="32"/>
          <w:highlight w:val="none"/>
          <w:lang w:val="en-US" w:eastAsia="zh-CN"/>
        </w:rPr>
        <w:t>米。</w:t>
      </w:r>
    </w:p>
    <w:p>
      <w:pPr>
        <w:pStyle w:val="11"/>
        <w:widowControl/>
        <w:numPr>
          <w:ilvl w:val="0"/>
          <w:numId w:val="0"/>
        </w:numPr>
        <w:topLinePunct w:val="0"/>
        <w:ind w:left="0" w:leftChars="0" w:firstLine="616"/>
        <w:rPr>
          <w:rFonts w:hint="eastAsia" w:ascii="仿宋_GB2312" w:hAnsi="仿宋_GB2312" w:eastAsia="仿宋_GB2312" w:cs="仿宋_GB2312"/>
          <w:b w:val="0"/>
          <w:i w:val="0"/>
          <w:color w:val="auto"/>
          <w:sz w:val="32"/>
          <w:szCs w:val="32"/>
          <w:highlight w:val="none"/>
          <w:lang w:eastAsia="zh-CN"/>
        </w:rPr>
      </w:pPr>
      <w:r>
        <w:rPr>
          <w:rStyle w:val="20"/>
          <w:rFonts w:hint="eastAsia" w:eastAsia="楷体_GB2312"/>
          <w:highlight w:val="none"/>
          <w:lang w:eastAsia="zh-CN"/>
        </w:rPr>
        <w:t>（二）</w:t>
      </w:r>
      <w:r>
        <w:rPr>
          <w:rFonts w:hint="eastAsia" w:ascii="楷体" w:hAnsi="楷体" w:eastAsia="楷体" w:cs="楷体"/>
          <w:b w:val="0"/>
          <w:bCs w:val="0"/>
          <w:color w:val="000000"/>
          <w:sz w:val="32"/>
          <w:szCs w:val="32"/>
          <w:highlight w:val="none"/>
          <w:lang w:val="en-US" w:eastAsia="zh-CN"/>
        </w:rPr>
        <w:t>行政（自然）村（连队）市场单元</w:t>
      </w:r>
      <w:r>
        <w:rPr>
          <w:rFonts w:ascii="Times New Roman" w:hAnsi="Times New Roman" w:eastAsia="仿宋_GB2312" w:cs="仿宋_GB2312"/>
          <w:i w:val="0"/>
          <w:color w:val="0F1115"/>
          <w:sz w:val="32"/>
          <w:szCs w:val="32"/>
          <w:highlight w:val="none"/>
        </w:rPr>
        <w:t>：</w:t>
      </w:r>
      <w:r>
        <w:rPr>
          <w:rFonts w:hint="eastAsia" w:ascii="仿宋_GB2312" w:hAnsi="仿宋_GB2312" w:eastAsia="仿宋_GB2312" w:cs="仿宋_GB2312"/>
          <w:i w:val="0"/>
          <w:color w:val="0F1115"/>
          <w:sz w:val="32"/>
          <w:szCs w:val="32"/>
          <w:highlight w:val="none"/>
        </w:rPr>
        <w:t>每</w:t>
      </w:r>
      <w:r>
        <w:rPr>
          <w:rFonts w:hint="eastAsia" w:ascii="仿宋_GB2312" w:hAnsi="仿宋_GB2312" w:eastAsia="仿宋_GB2312" w:cs="仿宋_GB2312"/>
          <w:i w:val="0"/>
          <w:color w:val="auto"/>
          <w:sz w:val="32"/>
          <w:szCs w:val="32"/>
          <w:highlight w:val="none"/>
          <w:lang w:val="en-US" w:eastAsia="zh-CN"/>
        </w:rPr>
        <w:t>300</w:t>
      </w:r>
      <w:r>
        <w:rPr>
          <w:rFonts w:hint="eastAsia" w:ascii="仿宋_GB2312" w:hAnsi="仿宋_GB2312" w:eastAsia="仿宋_GB2312" w:cs="仿宋_GB2312"/>
          <w:i w:val="0"/>
          <w:color w:val="0F1115"/>
          <w:sz w:val="32"/>
          <w:szCs w:val="32"/>
          <w:highlight w:val="none"/>
        </w:rPr>
        <w:t>人设置1个零售点，不满</w:t>
      </w:r>
      <w:r>
        <w:rPr>
          <w:rFonts w:hint="eastAsia" w:ascii="仿宋_GB2312" w:hAnsi="仿宋_GB2312" w:eastAsia="仿宋_GB2312" w:cs="仿宋_GB2312"/>
          <w:i w:val="0"/>
          <w:color w:val="auto"/>
          <w:sz w:val="32"/>
          <w:szCs w:val="32"/>
          <w:highlight w:val="none"/>
          <w:lang w:val="en-US" w:eastAsia="zh-CN"/>
        </w:rPr>
        <w:t>600</w:t>
      </w:r>
      <w:r>
        <w:rPr>
          <w:rFonts w:hint="eastAsia" w:ascii="仿宋_GB2312" w:hAnsi="仿宋_GB2312" w:eastAsia="仿宋_GB2312" w:cs="仿宋_GB2312"/>
          <w:i w:val="0"/>
          <w:color w:val="0F1115"/>
          <w:sz w:val="32"/>
          <w:szCs w:val="32"/>
          <w:highlight w:val="none"/>
        </w:rPr>
        <w:t>人的，根据实际情况设置不超过2个零售点；</w:t>
      </w:r>
      <w:r>
        <w:rPr>
          <w:rFonts w:hint="eastAsia" w:ascii="仿宋_GB2312" w:hAnsi="仿宋_GB2312" w:eastAsia="仿宋_GB2312" w:cs="仿宋_GB2312"/>
          <w:i w:val="0"/>
          <w:color w:val="auto"/>
          <w:sz w:val="32"/>
          <w:szCs w:val="32"/>
          <w:highlight w:val="none"/>
          <w:lang w:val="en-US" w:eastAsia="zh-CN"/>
        </w:rPr>
        <w:t>600</w:t>
      </w:r>
      <w:r>
        <w:rPr>
          <w:rFonts w:hint="eastAsia" w:ascii="仿宋_GB2312" w:hAnsi="仿宋_GB2312" w:eastAsia="仿宋_GB2312" w:cs="仿宋_GB2312"/>
          <w:i w:val="0"/>
          <w:color w:val="0F1115"/>
          <w:sz w:val="32"/>
          <w:szCs w:val="32"/>
          <w:highlight w:val="none"/>
        </w:rPr>
        <w:t>人以上的，每增加</w:t>
      </w:r>
      <w:r>
        <w:rPr>
          <w:rFonts w:hint="eastAsia" w:ascii="仿宋_GB2312" w:hAnsi="仿宋_GB2312" w:eastAsia="仿宋_GB2312" w:cs="仿宋_GB2312"/>
          <w:i w:val="0"/>
          <w:color w:val="auto"/>
          <w:sz w:val="32"/>
          <w:szCs w:val="32"/>
          <w:highlight w:val="none"/>
          <w:lang w:val="en-US" w:eastAsia="zh-CN"/>
        </w:rPr>
        <w:t>300</w:t>
      </w:r>
      <w:r>
        <w:rPr>
          <w:rFonts w:hint="eastAsia" w:ascii="仿宋_GB2312" w:hAnsi="仿宋_GB2312" w:eastAsia="仿宋_GB2312" w:cs="仿宋_GB2312"/>
          <w:i w:val="0"/>
          <w:color w:val="0F1115"/>
          <w:sz w:val="32"/>
          <w:szCs w:val="32"/>
          <w:highlight w:val="none"/>
        </w:rPr>
        <w:t>人增设1个零售点。零售点间隔距离不小于</w:t>
      </w:r>
      <w:r>
        <w:rPr>
          <w:rFonts w:hint="eastAsia" w:ascii="仿宋_GB2312" w:hAnsi="仿宋_GB2312" w:eastAsia="仿宋_GB2312" w:cs="仿宋_GB2312"/>
          <w:i w:val="0"/>
          <w:color w:val="auto"/>
          <w:sz w:val="32"/>
          <w:szCs w:val="32"/>
          <w:highlight w:val="none"/>
          <w:lang w:val="en-US" w:eastAsia="zh-CN"/>
        </w:rPr>
        <w:t>50</w:t>
      </w:r>
      <w:r>
        <w:rPr>
          <w:rFonts w:hint="eastAsia" w:ascii="仿宋_GB2312" w:hAnsi="仿宋_GB2312" w:eastAsia="仿宋_GB2312" w:cs="仿宋_GB2312"/>
          <w:i w:val="0"/>
          <w:color w:val="0F1115"/>
          <w:sz w:val="32"/>
          <w:szCs w:val="32"/>
          <w:highlight w:val="none"/>
        </w:rPr>
        <w:t>米。</w:t>
      </w:r>
    </w:p>
    <w:p>
      <w:pPr>
        <w:pStyle w:val="11"/>
        <w:widowControl/>
        <w:rPr>
          <w:rFonts w:hint="eastAsia" w:ascii="楷体_GB2312" w:hAnsi="楷体_GB2312" w:eastAsia="楷体_GB2312" w:cs="楷体_GB2312"/>
          <w:i w:val="0"/>
          <w:color w:val="0F1115"/>
          <w:sz w:val="32"/>
          <w:szCs w:val="32"/>
          <w:highlight w:val="none"/>
        </w:rPr>
      </w:pPr>
      <w:r>
        <w:rPr>
          <w:rFonts w:hint="eastAsia" w:ascii="楷体_GB2312" w:hAnsi="楷体_GB2312" w:eastAsia="楷体_GB2312" w:cs="楷体_GB2312"/>
          <w:b/>
          <w:i w:val="0"/>
          <w:color w:val="0F1115"/>
          <w:sz w:val="32"/>
          <w:szCs w:val="32"/>
          <w:highlight w:val="none"/>
        </w:rPr>
        <w:t>第</w:t>
      </w:r>
      <w:r>
        <w:rPr>
          <w:rFonts w:hint="eastAsia" w:ascii="楷体_GB2312" w:hAnsi="楷体_GB2312" w:eastAsia="楷体_GB2312" w:cs="楷体_GB2312"/>
          <w:b/>
          <w:i w:val="0"/>
          <w:color w:val="0F1115"/>
          <w:sz w:val="32"/>
          <w:szCs w:val="32"/>
          <w:highlight w:val="none"/>
          <w:lang w:val="en-US" w:eastAsia="zh-CN"/>
        </w:rPr>
        <w:t>八</w:t>
      </w:r>
      <w:r>
        <w:rPr>
          <w:rFonts w:hint="eastAsia" w:ascii="楷体_GB2312" w:hAnsi="楷体_GB2312" w:eastAsia="楷体_GB2312" w:cs="楷体_GB2312"/>
          <w:b/>
          <w:i w:val="0"/>
          <w:color w:val="0F1115"/>
          <w:sz w:val="32"/>
          <w:szCs w:val="32"/>
          <w:highlight w:val="none"/>
        </w:rPr>
        <w:t>条</w:t>
      </w:r>
      <w:r>
        <w:rPr>
          <w:rFonts w:hint="eastAsia" w:ascii="楷体_GB2312" w:hAnsi="楷体_GB2312" w:eastAsia="楷体_GB2312" w:cs="楷体_GB2312"/>
          <w:i w:val="0"/>
          <w:color w:val="0F1115"/>
          <w:sz w:val="32"/>
          <w:szCs w:val="32"/>
          <w:highlight w:val="none"/>
        </w:rPr>
        <w:t>　</w:t>
      </w:r>
      <w:r>
        <w:rPr>
          <w:rFonts w:hint="eastAsia" w:ascii="楷体_GB2312" w:hAnsi="楷体_GB2312" w:eastAsia="楷体_GB2312" w:cs="楷体_GB2312"/>
          <w:b w:val="0"/>
          <w:bCs w:val="0"/>
          <w:color w:val="000000"/>
          <w:sz w:val="32"/>
          <w:szCs w:val="32"/>
          <w:highlight w:val="none"/>
          <w:lang w:val="en-US" w:eastAsia="zh-CN"/>
        </w:rPr>
        <w:t>特殊区域市场单元</w:t>
      </w:r>
      <w:r>
        <w:rPr>
          <w:rFonts w:hint="eastAsia" w:ascii="楷体_GB2312" w:hAnsi="楷体_GB2312" w:eastAsia="楷体_GB2312" w:cs="楷体_GB2312"/>
          <w:i w:val="0"/>
          <w:color w:val="0F1115"/>
          <w:sz w:val="32"/>
          <w:szCs w:val="32"/>
          <w:highlight w:val="none"/>
          <w:lang w:eastAsia="zh-CN"/>
        </w:rPr>
        <w:t>布局标准：</w:t>
      </w: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eastAsia="zh-CN"/>
        </w:rPr>
      </w:pPr>
      <w:r>
        <w:rPr>
          <w:rFonts w:hint="eastAsia" w:ascii="Times New Roman" w:hAnsi="Times New Roman" w:eastAsia="仿宋_GB2312" w:cs="仿宋_GB2312"/>
          <w:i w:val="0"/>
          <w:color w:val="0F1115"/>
          <w:sz w:val="32"/>
          <w:szCs w:val="32"/>
          <w:highlight w:val="none"/>
          <w:lang w:eastAsia="zh-CN"/>
        </w:rPr>
        <w:t>（一）</w:t>
      </w:r>
      <w:r>
        <w:rPr>
          <w:rFonts w:ascii="Times New Roman" w:hAnsi="Times New Roman" w:eastAsia="仿宋_GB2312" w:cs="仿宋_GB2312"/>
          <w:i w:val="0"/>
          <w:color w:val="0F1115"/>
          <w:sz w:val="32"/>
          <w:szCs w:val="32"/>
          <w:highlight w:val="none"/>
        </w:rPr>
        <w:t>集贸区、</w:t>
      </w:r>
      <w:r>
        <w:rPr>
          <w:rFonts w:hint="eastAsia" w:ascii="Times New Roman" w:hAnsi="Times New Roman" w:eastAsia="仿宋_GB2312" w:cs="仿宋_GB2312"/>
          <w:i w:val="0"/>
          <w:color w:val="0F1115"/>
          <w:sz w:val="32"/>
          <w:szCs w:val="32"/>
          <w:highlight w:val="none"/>
          <w:lang w:eastAsia="zh-CN"/>
        </w:rPr>
        <w:t>园区</w:t>
      </w:r>
      <w:r>
        <w:rPr>
          <w:rFonts w:hint="eastAsia" w:cs="仿宋_GB2312"/>
          <w:i w:val="0"/>
          <w:color w:val="0F1115"/>
          <w:sz w:val="32"/>
          <w:szCs w:val="32"/>
          <w:highlight w:val="none"/>
          <w:lang w:eastAsia="zh-CN"/>
        </w:rPr>
        <w:t>等</w:t>
      </w:r>
      <w:r>
        <w:rPr>
          <w:rFonts w:ascii="Times New Roman" w:hAnsi="Times New Roman" w:eastAsia="仿宋_GB2312" w:cs="仿宋_GB2312"/>
          <w:i w:val="0"/>
          <w:color w:val="0F1115"/>
          <w:sz w:val="32"/>
          <w:szCs w:val="32"/>
          <w:highlight w:val="none"/>
        </w:rPr>
        <w:t>：</w:t>
      </w:r>
      <w:r>
        <w:rPr>
          <w:rFonts w:hint="eastAsia" w:ascii="仿宋_GB2312" w:hAnsi="仿宋_GB2312" w:eastAsia="仿宋_GB2312" w:cs="仿宋_GB2312"/>
          <w:i w:val="0"/>
          <w:color w:val="0F1115"/>
          <w:sz w:val="32"/>
          <w:szCs w:val="32"/>
          <w:highlight w:val="none"/>
          <w:lang w:eastAsia="zh-CN"/>
        </w:rPr>
        <w:t>涵盖从事</w:t>
      </w:r>
      <w:r>
        <w:rPr>
          <w:rFonts w:hint="eastAsia" w:ascii="仿宋_GB2312" w:hAnsi="仿宋_GB2312" w:eastAsia="仿宋_GB2312" w:cs="仿宋_GB2312"/>
          <w:i w:val="0"/>
          <w:color w:val="0F1115"/>
          <w:sz w:val="32"/>
          <w:szCs w:val="32"/>
          <w:highlight w:val="none"/>
        </w:rPr>
        <w:t>农副产品、</w:t>
      </w:r>
      <w:r>
        <w:rPr>
          <w:rFonts w:hint="eastAsia" w:ascii="仿宋_GB2312" w:hAnsi="仿宋_GB2312" w:eastAsia="仿宋_GB2312" w:cs="仿宋_GB2312"/>
          <w:i w:val="0"/>
          <w:color w:val="0F1115"/>
          <w:sz w:val="32"/>
          <w:szCs w:val="32"/>
          <w:highlight w:val="none"/>
          <w:lang w:eastAsia="zh-CN"/>
        </w:rPr>
        <w:t>畜牧产品、</w:t>
      </w:r>
      <w:r>
        <w:rPr>
          <w:rFonts w:hint="eastAsia" w:ascii="仿宋_GB2312" w:hAnsi="仿宋_GB2312" w:eastAsia="仿宋_GB2312" w:cs="仿宋_GB2312"/>
          <w:i w:val="0"/>
          <w:color w:val="0F1115"/>
          <w:sz w:val="32"/>
          <w:szCs w:val="32"/>
          <w:highlight w:val="none"/>
        </w:rPr>
        <w:t>日用消费品、建材等为主要</w:t>
      </w:r>
      <w:r>
        <w:rPr>
          <w:rFonts w:hint="eastAsia" w:ascii="仿宋_GB2312" w:hAnsi="仿宋_GB2312" w:eastAsia="仿宋_GB2312" w:cs="仿宋_GB2312"/>
          <w:i w:val="0"/>
          <w:color w:val="0F1115"/>
          <w:sz w:val="32"/>
          <w:szCs w:val="32"/>
          <w:highlight w:val="none"/>
          <w:lang w:eastAsia="zh-CN"/>
        </w:rPr>
        <w:t>经营对象，开展生产、</w:t>
      </w:r>
      <w:r>
        <w:rPr>
          <w:rFonts w:hint="eastAsia" w:ascii="仿宋_GB2312" w:hAnsi="仿宋_GB2312" w:eastAsia="仿宋_GB2312" w:cs="仿宋_GB2312"/>
          <w:i w:val="0"/>
          <w:color w:val="0F1115"/>
          <w:sz w:val="32"/>
          <w:szCs w:val="32"/>
          <w:highlight w:val="none"/>
        </w:rPr>
        <w:t>批发</w:t>
      </w:r>
      <w:r>
        <w:rPr>
          <w:rFonts w:hint="eastAsia" w:ascii="仿宋_GB2312" w:hAnsi="仿宋_GB2312" w:eastAsia="仿宋_GB2312" w:cs="仿宋_GB2312"/>
          <w:i w:val="0"/>
          <w:color w:val="0F1115"/>
          <w:sz w:val="32"/>
          <w:szCs w:val="32"/>
          <w:highlight w:val="none"/>
          <w:lang w:eastAsia="zh-CN"/>
        </w:rPr>
        <w:t>或</w:t>
      </w:r>
      <w:r>
        <w:rPr>
          <w:rFonts w:hint="eastAsia" w:ascii="仿宋_GB2312" w:hAnsi="仿宋_GB2312" w:eastAsia="仿宋_GB2312" w:cs="仿宋_GB2312"/>
          <w:i w:val="0"/>
          <w:color w:val="0F1115"/>
          <w:sz w:val="32"/>
          <w:szCs w:val="32"/>
          <w:highlight w:val="none"/>
        </w:rPr>
        <w:t>销售</w:t>
      </w:r>
      <w:r>
        <w:rPr>
          <w:rFonts w:hint="eastAsia" w:ascii="仿宋_GB2312" w:hAnsi="仿宋_GB2312" w:eastAsia="仿宋_GB2312" w:cs="仿宋_GB2312"/>
          <w:i w:val="0"/>
          <w:color w:val="0F1115"/>
          <w:sz w:val="32"/>
          <w:szCs w:val="32"/>
          <w:highlight w:val="none"/>
          <w:lang w:eastAsia="zh-CN"/>
        </w:rPr>
        <w:t>活动</w:t>
      </w:r>
      <w:r>
        <w:rPr>
          <w:rFonts w:hint="eastAsia" w:ascii="仿宋_GB2312" w:hAnsi="仿宋_GB2312" w:eastAsia="仿宋_GB2312" w:cs="仿宋_GB2312"/>
          <w:i w:val="0"/>
          <w:color w:val="0F1115"/>
          <w:sz w:val="32"/>
          <w:szCs w:val="32"/>
          <w:highlight w:val="none"/>
        </w:rPr>
        <w:t>的市场（园区），</w:t>
      </w:r>
      <w:r>
        <w:rPr>
          <w:rFonts w:hint="eastAsia" w:ascii="仿宋_GB2312" w:hAnsi="仿宋_GB2312" w:eastAsia="仿宋_GB2312" w:cs="仿宋_GB2312"/>
          <w:i w:val="0"/>
          <w:color w:val="0F1115"/>
          <w:sz w:val="32"/>
          <w:szCs w:val="32"/>
          <w:highlight w:val="none"/>
          <w:lang w:eastAsia="zh-CN"/>
        </w:rPr>
        <w:t>以及独立设置的专业物流园区等。每</w:t>
      </w:r>
      <w:r>
        <w:rPr>
          <w:rFonts w:hint="eastAsia" w:ascii="仿宋_GB2312" w:hAnsi="仿宋_GB2312" w:eastAsia="仿宋_GB2312" w:cs="仿宋_GB2312"/>
          <w:i w:val="0"/>
          <w:color w:val="0F1115"/>
          <w:sz w:val="32"/>
          <w:szCs w:val="32"/>
          <w:highlight w:val="none"/>
          <w:lang w:val="en-US" w:eastAsia="zh-CN"/>
        </w:rPr>
        <w:t>50个</w:t>
      </w:r>
      <w:r>
        <w:rPr>
          <w:rFonts w:hint="eastAsia" w:ascii="仿宋_GB2312" w:hAnsi="仿宋_GB2312" w:eastAsia="仿宋_GB2312" w:cs="仿宋_GB2312"/>
          <w:i w:val="0"/>
          <w:color w:val="0F1115"/>
          <w:sz w:val="32"/>
          <w:szCs w:val="32"/>
          <w:highlight w:val="none"/>
        </w:rPr>
        <w:t>固定门店</w:t>
      </w:r>
      <w:r>
        <w:rPr>
          <w:rFonts w:hint="eastAsia" w:ascii="仿宋_GB2312" w:hAnsi="仿宋_GB2312" w:eastAsia="仿宋_GB2312" w:cs="仿宋_GB2312"/>
          <w:i w:val="0"/>
          <w:color w:val="0F1115"/>
          <w:sz w:val="32"/>
          <w:szCs w:val="32"/>
          <w:highlight w:val="none"/>
          <w:lang w:eastAsia="zh-CN"/>
        </w:rPr>
        <w:t>（</w:t>
      </w:r>
      <w:r>
        <w:rPr>
          <w:rFonts w:hint="eastAsia" w:ascii="仿宋_GB2312" w:hAnsi="仿宋_GB2312" w:eastAsia="仿宋_GB2312" w:cs="仿宋_GB2312"/>
          <w:i w:val="0"/>
          <w:color w:val="0F1115"/>
          <w:sz w:val="32"/>
          <w:szCs w:val="32"/>
          <w:highlight w:val="none"/>
        </w:rPr>
        <w:t>摊位</w:t>
      </w:r>
      <w:r>
        <w:rPr>
          <w:rFonts w:hint="eastAsia" w:ascii="仿宋_GB2312" w:hAnsi="仿宋_GB2312" w:eastAsia="仿宋_GB2312" w:cs="仿宋_GB2312"/>
          <w:i w:val="0"/>
          <w:color w:val="0F1115"/>
          <w:sz w:val="32"/>
          <w:szCs w:val="32"/>
          <w:highlight w:val="none"/>
          <w:lang w:eastAsia="zh-CN"/>
        </w:rPr>
        <w:t>）</w:t>
      </w:r>
      <w:r>
        <w:rPr>
          <w:rFonts w:hint="eastAsia" w:ascii="仿宋_GB2312" w:hAnsi="仿宋_GB2312" w:eastAsia="仿宋_GB2312" w:cs="仿宋_GB2312"/>
          <w:i w:val="0"/>
          <w:color w:val="0F1115"/>
          <w:sz w:val="32"/>
          <w:szCs w:val="32"/>
          <w:highlight w:val="none"/>
        </w:rPr>
        <w:t>设置1个零售点，不满</w:t>
      </w:r>
      <w:r>
        <w:rPr>
          <w:rFonts w:hint="eastAsia" w:ascii="仿宋_GB2312" w:hAnsi="仿宋_GB2312" w:eastAsia="仿宋_GB2312" w:cs="仿宋_GB2312"/>
          <w:i w:val="0"/>
          <w:color w:val="0F1115"/>
          <w:sz w:val="32"/>
          <w:szCs w:val="32"/>
          <w:highlight w:val="none"/>
          <w:lang w:val="en-US" w:eastAsia="zh-CN"/>
        </w:rPr>
        <w:t>100个</w:t>
      </w:r>
      <w:r>
        <w:rPr>
          <w:rFonts w:hint="eastAsia" w:ascii="仿宋_GB2312" w:hAnsi="仿宋_GB2312" w:eastAsia="仿宋_GB2312" w:cs="仿宋_GB2312"/>
          <w:i w:val="0"/>
          <w:color w:val="0F1115"/>
          <w:sz w:val="32"/>
          <w:szCs w:val="32"/>
          <w:highlight w:val="none"/>
        </w:rPr>
        <w:t>的可设置</w:t>
      </w:r>
      <w:r>
        <w:rPr>
          <w:rFonts w:hint="eastAsia" w:ascii="仿宋_GB2312" w:hAnsi="仿宋_GB2312" w:eastAsia="仿宋_GB2312" w:cs="仿宋_GB2312"/>
          <w:i w:val="0"/>
          <w:color w:val="auto"/>
          <w:sz w:val="32"/>
          <w:szCs w:val="32"/>
          <w:highlight w:val="none"/>
          <w:lang w:val="en-US" w:eastAsia="zh-CN"/>
        </w:rPr>
        <w:t>不超过</w:t>
      </w:r>
      <w:r>
        <w:rPr>
          <w:rFonts w:hint="eastAsia" w:ascii="仿宋_GB2312" w:hAnsi="仿宋_GB2312" w:cs="仿宋_GB2312"/>
          <w:i w:val="0"/>
          <w:color w:val="auto"/>
          <w:sz w:val="32"/>
          <w:szCs w:val="32"/>
          <w:highlight w:val="none"/>
          <w:lang w:val="en-US" w:eastAsia="zh-CN"/>
        </w:rPr>
        <w:t>2</w:t>
      </w:r>
      <w:r>
        <w:rPr>
          <w:rFonts w:hint="eastAsia" w:ascii="仿宋_GB2312" w:hAnsi="仿宋_GB2312" w:eastAsia="仿宋_GB2312" w:cs="仿宋_GB2312"/>
          <w:i w:val="0"/>
          <w:color w:val="auto"/>
          <w:sz w:val="32"/>
          <w:szCs w:val="32"/>
          <w:highlight w:val="none"/>
          <w:lang w:val="en-US" w:eastAsia="zh-CN"/>
        </w:rPr>
        <w:t>个零售点</w:t>
      </w:r>
      <w:r>
        <w:rPr>
          <w:rFonts w:hint="eastAsia" w:ascii="仿宋_GB2312" w:hAnsi="仿宋_GB2312" w:eastAsia="仿宋_GB2312" w:cs="仿宋_GB2312"/>
          <w:i w:val="0"/>
          <w:color w:val="0F1115"/>
          <w:sz w:val="32"/>
          <w:szCs w:val="32"/>
          <w:highlight w:val="none"/>
          <w:lang w:eastAsia="zh-CN"/>
        </w:rPr>
        <w:t>；</w:t>
      </w:r>
      <w:r>
        <w:rPr>
          <w:rFonts w:hint="eastAsia" w:ascii="仿宋_GB2312" w:hAnsi="仿宋_GB2312" w:eastAsia="仿宋_GB2312" w:cs="仿宋_GB2312"/>
          <w:i w:val="0"/>
          <w:color w:val="0F1115"/>
          <w:sz w:val="32"/>
          <w:szCs w:val="32"/>
          <w:highlight w:val="none"/>
          <w:lang w:val="en-US" w:eastAsia="zh-CN"/>
        </w:rPr>
        <w:t>100个</w:t>
      </w:r>
      <w:r>
        <w:rPr>
          <w:rFonts w:hint="eastAsia" w:ascii="仿宋_GB2312" w:hAnsi="仿宋_GB2312" w:eastAsia="仿宋_GB2312" w:cs="仿宋_GB2312"/>
          <w:i w:val="0"/>
          <w:color w:val="0F1115"/>
          <w:sz w:val="32"/>
          <w:szCs w:val="32"/>
          <w:highlight w:val="none"/>
          <w:lang w:eastAsia="zh-CN"/>
        </w:rPr>
        <w:t>固定门店（摊位）以上的，</w:t>
      </w:r>
      <w:r>
        <w:rPr>
          <w:rFonts w:hint="eastAsia" w:ascii="仿宋_GB2312" w:hAnsi="仿宋_GB2312" w:eastAsia="仿宋_GB2312" w:cs="仿宋_GB2312"/>
          <w:i w:val="0"/>
          <w:color w:val="0F1115"/>
          <w:sz w:val="32"/>
          <w:szCs w:val="32"/>
          <w:highlight w:val="none"/>
          <w:lang w:val="en-US" w:eastAsia="zh-CN"/>
        </w:rPr>
        <w:t>500个</w:t>
      </w:r>
      <w:r>
        <w:rPr>
          <w:rFonts w:hint="eastAsia" w:ascii="仿宋_GB2312" w:hAnsi="仿宋_GB2312" w:eastAsia="仿宋_GB2312" w:cs="仿宋_GB2312"/>
          <w:i w:val="0"/>
          <w:color w:val="0F1115"/>
          <w:sz w:val="32"/>
          <w:szCs w:val="32"/>
          <w:highlight w:val="none"/>
          <w:lang w:eastAsia="zh-CN"/>
        </w:rPr>
        <w:t>固定门店（摊位）以</w:t>
      </w:r>
      <w:r>
        <w:rPr>
          <w:rFonts w:hint="eastAsia" w:ascii="仿宋_GB2312" w:hAnsi="仿宋_GB2312" w:eastAsia="仿宋_GB2312" w:cs="仿宋_GB2312"/>
          <w:i w:val="0"/>
          <w:color w:val="0F1115"/>
          <w:sz w:val="32"/>
          <w:szCs w:val="32"/>
          <w:highlight w:val="none"/>
          <w:lang w:val="en-US" w:eastAsia="zh-CN"/>
        </w:rPr>
        <w:t>下</w:t>
      </w:r>
      <w:r>
        <w:rPr>
          <w:rFonts w:hint="eastAsia" w:ascii="仿宋_GB2312" w:hAnsi="仿宋_GB2312" w:eastAsia="仿宋_GB2312" w:cs="仿宋_GB2312"/>
          <w:i w:val="0"/>
          <w:color w:val="0F1115"/>
          <w:sz w:val="32"/>
          <w:szCs w:val="32"/>
          <w:highlight w:val="none"/>
          <w:lang w:eastAsia="zh-CN"/>
        </w:rPr>
        <w:t>的，</w:t>
      </w:r>
      <w:r>
        <w:rPr>
          <w:rFonts w:hint="eastAsia" w:ascii="仿宋_GB2312" w:hAnsi="仿宋_GB2312" w:eastAsia="仿宋_GB2312" w:cs="仿宋_GB2312"/>
          <w:i w:val="0"/>
          <w:color w:val="0F1115"/>
          <w:sz w:val="32"/>
          <w:szCs w:val="32"/>
          <w:highlight w:val="none"/>
        </w:rPr>
        <w:t>可设置</w:t>
      </w:r>
      <w:r>
        <w:rPr>
          <w:rFonts w:hint="eastAsia" w:ascii="仿宋_GB2312" w:hAnsi="仿宋_GB2312" w:eastAsia="仿宋_GB2312" w:cs="仿宋_GB2312"/>
          <w:i w:val="0"/>
          <w:color w:val="auto"/>
          <w:sz w:val="32"/>
          <w:szCs w:val="32"/>
          <w:highlight w:val="none"/>
          <w:lang w:val="en-US" w:eastAsia="zh-CN"/>
        </w:rPr>
        <w:t>不超过</w:t>
      </w:r>
      <w:r>
        <w:rPr>
          <w:rFonts w:hint="eastAsia" w:ascii="仿宋_GB2312" w:hAnsi="仿宋_GB2312" w:cs="仿宋_GB2312"/>
          <w:i w:val="0"/>
          <w:color w:val="auto"/>
          <w:sz w:val="32"/>
          <w:szCs w:val="32"/>
          <w:highlight w:val="none"/>
          <w:lang w:val="en-US" w:eastAsia="zh-CN"/>
        </w:rPr>
        <w:t>5</w:t>
      </w:r>
      <w:r>
        <w:rPr>
          <w:rFonts w:hint="eastAsia" w:ascii="仿宋_GB2312" w:hAnsi="仿宋_GB2312" w:eastAsia="仿宋_GB2312" w:cs="仿宋_GB2312"/>
          <w:i w:val="0"/>
          <w:color w:val="auto"/>
          <w:sz w:val="32"/>
          <w:szCs w:val="32"/>
          <w:highlight w:val="none"/>
          <w:lang w:val="en-US" w:eastAsia="zh-CN"/>
        </w:rPr>
        <w:t>个零售点</w:t>
      </w:r>
      <w:r>
        <w:rPr>
          <w:rFonts w:hint="eastAsia" w:ascii="仿宋_GB2312" w:hAnsi="仿宋_GB2312" w:eastAsia="仿宋_GB2312" w:cs="仿宋_GB2312"/>
          <w:i w:val="0"/>
          <w:color w:val="0F1115"/>
          <w:sz w:val="32"/>
          <w:szCs w:val="32"/>
          <w:highlight w:val="none"/>
          <w:lang w:eastAsia="zh-CN"/>
        </w:rPr>
        <w:t>；</w:t>
      </w:r>
      <w:r>
        <w:rPr>
          <w:rFonts w:hint="eastAsia" w:ascii="仿宋_GB2312" w:hAnsi="仿宋_GB2312" w:eastAsia="仿宋_GB2312" w:cs="仿宋_GB2312"/>
          <w:i w:val="0"/>
          <w:color w:val="0F1115"/>
          <w:sz w:val="32"/>
          <w:szCs w:val="32"/>
          <w:highlight w:val="none"/>
          <w:lang w:val="en-US" w:eastAsia="zh-CN"/>
        </w:rPr>
        <w:t>500个</w:t>
      </w:r>
      <w:r>
        <w:rPr>
          <w:rFonts w:hint="eastAsia" w:ascii="仿宋_GB2312" w:hAnsi="仿宋_GB2312" w:eastAsia="仿宋_GB2312" w:cs="仿宋_GB2312"/>
          <w:i w:val="0"/>
          <w:color w:val="0F1115"/>
          <w:sz w:val="32"/>
          <w:szCs w:val="32"/>
          <w:highlight w:val="none"/>
          <w:lang w:eastAsia="zh-CN"/>
        </w:rPr>
        <w:t>固定门店（摊位）以上的，</w:t>
      </w:r>
      <w:r>
        <w:rPr>
          <w:rFonts w:hint="eastAsia" w:ascii="仿宋_GB2312" w:hAnsi="仿宋_GB2312" w:eastAsia="仿宋_GB2312" w:cs="仿宋_GB2312"/>
          <w:i w:val="0"/>
          <w:color w:val="0F1115"/>
          <w:sz w:val="32"/>
          <w:szCs w:val="32"/>
          <w:highlight w:val="none"/>
        </w:rPr>
        <w:t>可设置</w:t>
      </w:r>
      <w:r>
        <w:rPr>
          <w:rFonts w:hint="eastAsia" w:ascii="仿宋_GB2312" w:hAnsi="仿宋_GB2312" w:eastAsia="仿宋_GB2312" w:cs="仿宋_GB2312"/>
          <w:i w:val="0"/>
          <w:color w:val="auto"/>
          <w:sz w:val="32"/>
          <w:szCs w:val="32"/>
          <w:highlight w:val="none"/>
          <w:lang w:val="en-US" w:eastAsia="zh-CN"/>
        </w:rPr>
        <w:t>不超过</w:t>
      </w:r>
      <w:r>
        <w:rPr>
          <w:rFonts w:hint="eastAsia" w:ascii="仿宋_GB2312" w:hAnsi="仿宋_GB2312" w:cs="仿宋_GB2312"/>
          <w:i w:val="0"/>
          <w:color w:val="auto"/>
          <w:sz w:val="32"/>
          <w:szCs w:val="32"/>
          <w:highlight w:val="none"/>
          <w:lang w:val="en-US" w:eastAsia="zh-CN"/>
        </w:rPr>
        <w:t>10</w:t>
      </w:r>
      <w:r>
        <w:rPr>
          <w:rFonts w:hint="eastAsia" w:ascii="仿宋_GB2312" w:hAnsi="仿宋_GB2312" w:eastAsia="仿宋_GB2312" w:cs="仿宋_GB2312"/>
          <w:i w:val="0"/>
          <w:color w:val="auto"/>
          <w:sz w:val="32"/>
          <w:szCs w:val="32"/>
          <w:highlight w:val="none"/>
          <w:lang w:val="en-US" w:eastAsia="zh-CN"/>
        </w:rPr>
        <w:t>个零售点</w:t>
      </w:r>
      <w:r>
        <w:rPr>
          <w:rFonts w:hint="eastAsia" w:ascii="仿宋_GB2312" w:hAnsi="仿宋_GB2312" w:eastAsia="仿宋_GB2312" w:cs="仿宋_GB2312"/>
          <w:i w:val="0"/>
          <w:color w:val="0F1115"/>
          <w:sz w:val="32"/>
          <w:szCs w:val="32"/>
          <w:highlight w:val="none"/>
          <w:lang w:eastAsia="zh-CN"/>
        </w:rPr>
        <w:t>。零售点间隔距离不小于</w:t>
      </w:r>
      <w:r>
        <w:rPr>
          <w:rFonts w:hint="eastAsia" w:ascii="仿宋_GB2312" w:hAnsi="仿宋_GB2312" w:cs="仿宋_GB2312"/>
          <w:i w:val="0"/>
          <w:color w:val="0F1115"/>
          <w:sz w:val="32"/>
          <w:szCs w:val="32"/>
          <w:highlight w:val="none"/>
          <w:lang w:val="en-US" w:eastAsia="zh-CN"/>
        </w:rPr>
        <w:t>36</w:t>
      </w:r>
      <w:r>
        <w:rPr>
          <w:rFonts w:hint="eastAsia" w:ascii="仿宋_GB2312" w:hAnsi="仿宋_GB2312" w:eastAsia="仿宋_GB2312" w:cs="仿宋_GB2312"/>
          <w:i w:val="0"/>
          <w:color w:val="0F1115"/>
          <w:sz w:val="32"/>
          <w:szCs w:val="32"/>
          <w:highlight w:val="none"/>
          <w:lang w:eastAsia="zh-CN"/>
        </w:rPr>
        <w:t>米。</w:t>
      </w:r>
    </w:p>
    <w:p>
      <w:pPr>
        <w:pStyle w:val="11"/>
        <w:widowControl/>
        <w:numPr>
          <w:ilvl w:val="0"/>
          <w:numId w:val="0"/>
        </w:numPr>
        <w:topLinePunct w:val="0"/>
        <w:ind w:left="0" w:leftChars="0" w:firstLine="616"/>
        <w:rPr>
          <w:rFonts w:hint="eastAsia" w:ascii="Times New Roman" w:hAnsi="Times New Roman" w:eastAsia="仿宋_GB2312" w:cs="仿宋_GB2312"/>
          <w:i w:val="0"/>
          <w:color w:val="0F1115"/>
          <w:sz w:val="32"/>
          <w:szCs w:val="32"/>
          <w:highlight w:val="none"/>
        </w:rPr>
      </w:pPr>
      <w:r>
        <w:rPr>
          <w:rFonts w:hint="eastAsia" w:ascii="Times New Roman" w:hAnsi="Times New Roman" w:eastAsia="仿宋_GB2312" w:cs="仿宋_GB2312"/>
          <w:i w:val="0"/>
          <w:color w:val="0F1115"/>
          <w:sz w:val="32"/>
          <w:szCs w:val="32"/>
          <w:highlight w:val="none"/>
          <w:lang w:eastAsia="zh-CN"/>
        </w:rPr>
        <w:t>（二）</w:t>
      </w:r>
      <w:r>
        <w:rPr>
          <w:rFonts w:hint="eastAsia" w:ascii="仿宋_GB2312" w:hAnsi="仿宋_GB2312" w:eastAsia="仿宋_GB2312" w:cs="仿宋_GB2312"/>
          <w:i w:val="0"/>
          <w:color w:val="auto"/>
          <w:sz w:val="32"/>
          <w:szCs w:val="32"/>
          <w:highlight w:val="none"/>
        </w:rPr>
        <w:t>火车站、汽车站、飞机场等交通枢纽等候厅，</w:t>
      </w:r>
      <w:r>
        <w:rPr>
          <w:rFonts w:hint="eastAsia" w:ascii="仿宋_GB2312" w:hAnsi="仿宋_GB2312" w:eastAsia="仿宋_GB2312" w:cs="仿宋_GB2312"/>
          <w:i w:val="0"/>
          <w:color w:val="auto"/>
          <w:sz w:val="32"/>
          <w:szCs w:val="32"/>
          <w:highlight w:val="none"/>
          <w:lang w:val="en-US" w:eastAsia="zh-CN"/>
        </w:rPr>
        <w:t>可</w:t>
      </w:r>
      <w:r>
        <w:rPr>
          <w:rFonts w:hint="eastAsia" w:ascii="仿宋_GB2312" w:hAnsi="仿宋_GB2312" w:eastAsia="仿宋_GB2312" w:cs="仿宋_GB2312"/>
          <w:i w:val="0"/>
          <w:color w:val="auto"/>
          <w:sz w:val="32"/>
          <w:szCs w:val="32"/>
          <w:highlight w:val="none"/>
        </w:rPr>
        <w:t>设置不超过</w:t>
      </w:r>
      <w:r>
        <w:rPr>
          <w:rFonts w:hint="eastAsia" w:ascii="仿宋_GB2312" w:hAnsi="仿宋_GB2312" w:eastAsia="仿宋_GB2312" w:cs="仿宋_GB2312"/>
          <w:i w:val="0"/>
          <w:color w:val="auto"/>
          <w:sz w:val="32"/>
          <w:szCs w:val="32"/>
          <w:highlight w:val="none"/>
          <w:lang w:val="en-US" w:eastAsia="zh-CN"/>
        </w:rPr>
        <w:t>2</w:t>
      </w:r>
      <w:r>
        <w:rPr>
          <w:rFonts w:hint="eastAsia" w:ascii="仿宋_GB2312" w:hAnsi="仿宋_GB2312" w:eastAsia="仿宋_GB2312" w:cs="仿宋_GB2312"/>
          <w:i w:val="0"/>
          <w:color w:val="auto"/>
          <w:sz w:val="32"/>
          <w:szCs w:val="32"/>
          <w:highlight w:val="none"/>
        </w:rPr>
        <w:t>个零售点。</w:t>
      </w: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rPr>
      </w:pPr>
      <w:r>
        <w:rPr>
          <w:rFonts w:hint="eastAsia" w:ascii="Times New Roman" w:hAnsi="Times New Roman" w:eastAsia="仿宋_GB2312" w:cs="仿宋_GB2312"/>
          <w:i w:val="0"/>
          <w:color w:val="0F1115"/>
          <w:sz w:val="32"/>
          <w:szCs w:val="32"/>
          <w:highlight w:val="none"/>
          <w:lang w:eastAsia="zh-CN"/>
        </w:rPr>
        <w:t>（三）</w:t>
      </w:r>
      <w:r>
        <w:rPr>
          <w:rFonts w:ascii="Times New Roman" w:hAnsi="Times New Roman" w:eastAsia="仿宋_GB2312" w:cs="仿宋_GB2312"/>
          <w:i w:val="0"/>
          <w:color w:val="0F1115"/>
          <w:sz w:val="32"/>
          <w:szCs w:val="32"/>
          <w:highlight w:val="none"/>
        </w:rPr>
        <w:t>中心站点、换乘中心等旅客、乘客等候厅，</w:t>
      </w:r>
      <w:r>
        <w:rPr>
          <w:rFonts w:hint="eastAsia" w:ascii="仿宋_GB2312" w:hAnsi="仿宋_GB2312" w:eastAsia="仿宋_GB2312" w:cs="仿宋_GB2312"/>
          <w:i w:val="0"/>
          <w:color w:val="0F1115"/>
          <w:sz w:val="32"/>
          <w:szCs w:val="32"/>
          <w:highlight w:val="none"/>
        </w:rPr>
        <w:t>可设置1个零售点。</w:t>
      </w:r>
    </w:p>
    <w:p>
      <w:pPr>
        <w:pStyle w:val="11"/>
        <w:widowControl/>
        <w:numPr>
          <w:ilvl w:val="0"/>
          <w:numId w:val="0"/>
        </w:numPr>
        <w:topLinePunct w:val="0"/>
        <w:ind w:left="0" w:leftChars="0" w:firstLine="616"/>
        <w:rPr>
          <w:rFonts w:hint="eastAsia" w:ascii="Times New Roman" w:hAnsi="Times New Roman" w:eastAsia="仿宋_GB2312" w:cs="仿宋_GB2312"/>
          <w:i w:val="0"/>
          <w:color w:val="0F1115"/>
          <w:sz w:val="32"/>
          <w:szCs w:val="32"/>
          <w:highlight w:val="none"/>
        </w:rPr>
      </w:pPr>
      <w:r>
        <w:rPr>
          <w:rFonts w:hint="eastAsia" w:ascii="Times New Roman" w:hAnsi="Times New Roman" w:eastAsia="仿宋_GB2312" w:cs="仿宋_GB2312"/>
          <w:i w:val="0"/>
          <w:color w:val="0F1115"/>
          <w:sz w:val="32"/>
          <w:szCs w:val="32"/>
          <w:highlight w:val="none"/>
          <w:lang w:eastAsia="zh-CN"/>
        </w:rPr>
        <w:t>（四）</w:t>
      </w:r>
      <w:r>
        <w:rPr>
          <w:rFonts w:ascii="Times New Roman" w:hAnsi="Times New Roman" w:eastAsia="仿宋_GB2312" w:cs="仿宋_GB2312"/>
          <w:i w:val="0"/>
          <w:color w:val="0F1115"/>
          <w:sz w:val="32"/>
          <w:szCs w:val="32"/>
          <w:highlight w:val="none"/>
        </w:rPr>
        <w:t>部队、监狱等封闭式场所或供特定群体为消费者的区域，可设</w:t>
      </w:r>
      <w:r>
        <w:rPr>
          <w:rFonts w:hint="eastAsia" w:cs="仿宋_GB2312"/>
          <w:i w:val="0"/>
          <w:color w:val="0F1115"/>
          <w:sz w:val="32"/>
          <w:szCs w:val="32"/>
          <w:highlight w:val="none"/>
          <w:lang w:eastAsia="zh-CN"/>
        </w:rPr>
        <w:t>置</w:t>
      </w:r>
      <w:r>
        <w:rPr>
          <w:rFonts w:hint="eastAsia" w:ascii="仿宋_GB2312" w:hAnsi="仿宋_GB2312" w:eastAsia="仿宋_GB2312" w:cs="仿宋_GB2312"/>
          <w:i w:val="0"/>
          <w:color w:val="0F1115"/>
          <w:sz w:val="32"/>
          <w:szCs w:val="32"/>
          <w:highlight w:val="none"/>
          <w:lang w:val="en-US" w:eastAsia="zh-CN"/>
        </w:rPr>
        <w:t>1</w:t>
      </w:r>
      <w:r>
        <w:rPr>
          <w:rFonts w:ascii="Times New Roman" w:hAnsi="Times New Roman" w:eastAsia="仿宋_GB2312" w:cs="仿宋_GB2312"/>
          <w:i w:val="0"/>
          <w:color w:val="0F1115"/>
          <w:sz w:val="32"/>
          <w:szCs w:val="32"/>
          <w:highlight w:val="none"/>
        </w:rPr>
        <w:t>个零售点。</w:t>
      </w:r>
    </w:p>
    <w:p>
      <w:pPr>
        <w:pStyle w:val="11"/>
        <w:widowControl/>
        <w:numPr>
          <w:ilvl w:val="0"/>
          <w:numId w:val="0"/>
        </w:numPr>
        <w:topLinePunct w:val="0"/>
        <w:ind w:left="0" w:leftChars="0" w:firstLine="616"/>
        <w:rPr>
          <w:rFonts w:hint="eastAsia" w:ascii="仿宋_GB2312" w:hAnsi="仿宋_GB2312" w:eastAsia="仿宋_GB2312" w:cs="仿宋_GB2312"/>
          <w:b w:val="0"/>
          <w:i w:val="0"/>
          <w:color w:val="auto"/>
          <w:sz w:val="32"/>
          <w:szCs w:val="32"/>
          <w:highlight w:val="none"/>
        </w:rPr>
      </w:pPr>
      <w:r>
        <w:rPr>
          <w:rFonts w:hint="eastAsia" w:ascii="Times New Roman" w:hAnsi="Times New Roman" w:eastAsia="仿宋_GB2312" w:cs="仿宋_GB2312"/>
          <w:i w:val="0"/>
          <w:color w:val="0F1115"/>
          <w:sz w:val="32"/>
          <w:szCs w:val="32"/>
          <w:highlight w:val="none"/>
          <w:lang w:eastAsia="zh-CN"/>
        </w:rPr>
        <w:t>（五）</w:t>
      </w:r>
      <w:r>
        <w:rPr>
          <w:rFonts w:hint="eastAsia" w:ascii="仿宋_GB2312" w:hAnsi="仿宋_GB2312" w:eastAsia="仿宋_GB2312" w:cs="仿宋_GB2312"/>
          <w:i w:val="0"/>
          <w:color w:val="0F1115"/>
          <w:sz w:val="32"/>
          <w:szCs w:val="32"/>
          <w:highlight w:val="none"/>
          <w:lang w:val="en-US" w:eastAsia="zh-CN"/>
        </w:rPr>
        <w:t>3</w:t>
      </w:r>
      <w:r>
        <w:rPr>
          <w:rFonts w:hint="eastAsia" w:ascii="仿宋_GB2312" w:hAnsi="仿宋_GB2312" w:eastAsia="仿宋_GB2312" w:cs="仿宋_GB2312"/>
          <w:i w:val="0"/>
          <w:color w:val="0F1115"/>
          <w:sz w:val="32"/>
          <w:szCs w:val="32"/>
          <w:highlight w:val="none"/>
        </w:rPr>
        <w:t>A</w:t>
      </w:r>
      <w:r>
        <w:rPr>
          <w:rFonts w:ascii="Times New Roman" w:hAnsi="Times New Roman" w:eastAsia="仿宋_GB2312" w:cs="仿宋_GB2312"/>
          <w:i w:val="0"/>
          <w:color w:val="0F1115"/>
          <w:sz w:val="32"/>
          <w:szCs w:val="32"/>
          <w:highlight w:val="none"/>
        </w:rPr>
        <w:t>级及以上旅游景点、旅</w:t>
      </w:r>
      <w:r>
        <w:rPr>
          <w:rFonts w:hint="eastAsia" w:ascii="仿宋_GB2312" w:hAnsi="仿宋_GB2312" w:eastAsia="仿宋_GB2312" w:cs="仿宋_GB2312"/>
          <w:i w:val="0"/>
          <w:color w:val="0F1115"/>
          <w:sz w:val="32"/>
          <w:szCs w:val="32"/>
          <w:highlight w:val="none"/>
        </w:rPr>
        <w:t>游区的问询处或内部提供问询、餐饮、日杂商品售卖等服务区，可设置</w:t>
      </w:r>
      <w:r>
        <w:rPr>
          <w:rFonts w:hint="eastAsia" w:ascii="仿宋_GB2312" w:hAnsi="仿宋_GB2312" w:eastAsia="仿宋_GB2312" w:cs="仿宋_GB2312"/>
          <w:i w:val="0"/>
          <w:color w:val="0F1115"/>
          <w:sz w:val="32"/>
          <w:szCs w:val="32"/>
          <w:highlight w:val="none"/>
          <w:lang w:eastAsia="zh-CN"/>
        </w:rPr>
        <w:t>不超过</w:t>
      </w:r>
      <w:r>
        <w:rPr>
          <w:rFonts w:hint="eastAsia" w:ascii="仿宋_GB2312" w:hAnsi="仿宋_GB2312" w:eastAsia="仿宋_GB2312" w:cs="仿宋_GB2312"/>
          <w:i w:val="0"/>
          <w:color w:val="0F1115"/>
          <w:sz w:val="32"/>
          <w:szCs w:val="32"/>
          <w:highlight w:val="none"/>
          <w:lang w:val="en-US" w:eastAsia="zh-CN"/>
        </w:rPr>
        <w:t>2</w:t>
      </w:r>
      <w:r>
        <w:rPr>
          <w:rFonts w:hint="eastAsia" w:ascii="仿宋_GB2312" w:hAnsi="仿宋_GB2312" w:eastAsia="仿宋_GB2312" w:cs="仿宋_GB2312"/>
          <w:i w:val="0"/>
          <w:color w:val="0F1115"/>
          <w:sz w:val="32"/>
          <w:szCs w:val="32"/>
          <w:highlight w:val="none"/>
        </w:rPr>
        <w:t>个零售点。县级以上人民政府重点推广的网红打卡点、人造景点，可在景区内部设置1个零售点。</w:t>
      </w:r>
    </w:p>
    <w:p>
      <w:pPr>
        <w:pStyle w:val="11"/>
        <w:widowControl/>
        <w:numPr>
          <w:ilvl w:val="0"/>
          <w:numId w:val="0"/>
        </w:numPr>
        <w:topLinePunct w:val="0"/>
        <w:ind w:left="0" w:leftChars="0" w:firstLine="616"/>
        <w:rPr>
          <w:rFonts w:hint="eastAsia" w:ascii="仿宋_GB2312" w:hAnsi="仿宋_GB2312" w:eastAsia="仿宋_GB2312" w:cs="仿宋_GB2312"/>
          <w:i w:val="0"/>
          <w:color w:val="auto"/>
          <w:sz w:val="32"/>
          <w:szCs w:val="32"/>
          <w:highlight w:val="none"/>
          <w:lang w:val="en-US" w:eastAsia="zh-CN"/>
        </w:rPr>
      </w:pPr>
      <w:r>
        <w:rPr>
          <w:rFonts w:hint="eastAsia" w:cs="仿宋_GB2312"/>
          <w:i w:val="0"/>
          <w:color w:val="auto"/>
          <w:sz w:val="32"/>
          <w:szCs w:val="32"/>
          <w:highlight w:val="none"/>
          <w:lang w:eastAsia="zh-CN"/>
        </w:rPr>
        <w:t>（六）</w:t>
      </w:r>
      <w:r>
        <w:rPr>
          <w:rFonts w:ascii="Times New Roman" w:hAnsi="Times New Roman" w:eastAsia="仿宋_GB2312" w:cs="仿宋_GB2312"/>
          <w:i w:val="0"/>
          <w:color w:val="0F1115"/>
          <w:sz w:val="32"/>
          <w:szCs w:val="32"/>
          <w:highlight w:val="none"/>
        </w:rPr>
        <w:t>厂区、矿区</w:t>
      </w:r>
      <w:r>
        <w:rPr>
          <w:rFonts w:hint="eastAsia" w:cs="仿宋_GB2312"/>
          <w:i w:val="0"/>
          <w:color w:val="0F1115"/>
          <w:sz w:val="32"/>
          <w:szCs w:val="32"/>
          <w:highlight w:val="none"/>
          <w:lang w:eastAsia="zh-CN"/>
        </w:rPr>
        <w:t>等</w:t>
      </w:r>
      <w:r>
        <w:rPr>
          <w:rFonts w:ascii="Times New Roman" w:hAnsi="Times New Roman" w:eastAsia="仿宋_GB2312" w:cs="仿宋_GB2312"/>
          <w:i w:val="0"/>
          <w:color w:val="0F1115"/>
          <w:sz w:val="32"/>
          <w:szCs w:val="32"/>
          <w:highlight w:val="none"/>
        </w:rPr>
        <w:t>相对独立的场所，</w:t>
      </w:r>
      <w:r>
        <w:rPr>
          <w:rFonts w:hint="eastAsia" w:ascii="仿宋_GB2312" w:hAnsi="仿宋_GB2312" w:eastAsia="仿宋_GB2312" w:cs="仿宋_GB2312"/>
          <w:i w:val="0"/>
          <w:color w:val="0F1115"/>
          <w:sz w:val="32"/>
          <w:szCs w:val="32"/>
          <w:highlight w:val="none"/>
        </w:rPr>
        <w:t>按照人口设置零售点指</w:t>
      </w:r>
      <w:r>
        <w:rPr>
          <w:rFonts w:hint="eastAsia" w:ascii="仿宋_GB2312" w:hAnsi="仿宋_GB2312" w:eastAsia="仿宋_GB2312" w:cs="仿宋_GB2312"/>
          <w:i w:val="0"/>
          <w:color w:val="0F1115"/>
          <w:sz w:val="32"/>
          <w:szCs w:val="32"/>
          <w:highlight w:val="none"/>
          <w:lang w:eastAsia="zh-CN"/>
        </w:rPr>
        <w:t>预设户数</w:t>
      </w:r>
      <w:r>
        <w:rPr>
          <w:rFonts w:hint="eastAsia" w:ascii="仿宋_GB2312" w:hAnsi="仿宋_GB2312" w:eastAsia="仿宋_GB2312" w:cs="仿宋_GB2312"/>
          <w:i w:val="0"/>
          <w:color w:val="0F1115"/>
          <w:sz w:val="32"/>
          <w:szCs w:val="32"/>
          <w:highlight w:val="none"/>
        </w:rPr>
        <w:t>，</w:t>
      </w:r>
      <w:r>
        <w:rPr>
          <w:rFonts w:hint="eastAsia" w:ascii="仿宋_GB2312" w:hAnsi="仿宋_GB2312" w:eastAsia="仿宋_GB2312" w:cs="仿宋_GB2312"/>
          <w:i w:val="0"/>
          <w:color w:val="0F1115"/>
          <w:sz w:val="32"/>
          <w:szCs w:val="32"/>
          <w:highlight w:val="none"/>
          <w:lang w:eastAsia="zh-CN"/>
        </w:rPr>
        <w:t>每</w:t>
      </w:r>
      <w:r>
        <w:rPr>
          <w:rFonts w:hint="eastAsia" w:ascii="仿宋_GB2312" w:hAnsi="仿宋_GB2312" w:eastAsia="仿宋_GB2312" w:cs="仿宋_GB2312"/>
          <w:i w:val="0"/>
          <w:color w:val="0F1115"/>
          <w:sz w:val="32"/>
          <w:szCs w:val="32"/>
          <w:highlight w:val="none"/>
          <w:lang w:val="en-US" w:eastAsia="zh-CN"/>
        </w:rPr>
        <w:t>200人设置1个零售点，不满400人的，根据实际情况</w:t>
      </w:r>
      <w:r>
        <w:rPr>
          <w:rFonts w:hint="eastAsia" w:ascii="仿宋_GB2312" w:hAnsi="仿宋_GB2312" w:cs="仿宋_GB2312"/>
          <w:i w:val="0"/>
          <w:color w:val="0F1115"/>
          <w:sz w:val="32"/>
          <w:szCs w:val="32"/>
          <w:highlight w:val="none"/>
          <w:lang w:val="en-US" w:eastAsia="zh-CN"/>
        </w:rPr>
        <w:t>可设置不超过2个零售点；</w:t>
      </w:r>
      <w:r>
        <w:rPr>
          <w:rFonts w:hint="eastAsia" w:ascii="仿宋_GB2312" w:hAnsi="仿宋_GB2312" w:eastAsia="仿宋_GB2312" w:cs="仿宋_GB2312"/>
          <w:i w:val="0"/>
          <w:color w:val="0F1115"/>
          <w:sz w:val="32"/>
          <w:szCs w:val="32"/>
          <w:highlight w:val="none"/>
          <w:lang w:val="en-US" w:eastAsia="zh-CN"/>
        </w:rPr>
        <w:t>400人以上的，</w:t>
      </w:r>
      <w:r>
        <w:rPr>
          <w:rFonts w:hint="eastAsia" w:ascii="仿宋_GB2312" w:hAnsi="仿宋_GB2312" w:eastAsia="仿宋_GB2312" w:cs="仿宋_GB2312"/>
          <w:i w:val="0"/>
          <w:color w:val="auto"/>
          <w:sz w:val="32"/>
          <w:szCs w:val="32"/>
          <w:highlight w:val="none"/>
          <w:lang w:val="en-US" w:eastAsia="zh-CN"/>
        </w:rPr>
        <w:t>每增加200人增设1个零售</w:t>
      </w:r>
      <w:r>
        <w:rPr>
          <w:rFonts w:hint="eastAsia" w:ascii="仿宋_GB2312" w:hAnsi="仿宋_GB2312" w:cs="仿宋_GB2312"/>
          <w:i w:val="0"/>
          <w:color w:val="0F1115"/>
          <w:sz w:val="32"/>
          <w:szCs w:val="32"/>
          <w:highlight w:val="none"/>
          <w:lang w:val="en-US" w:eastAsia="zh-CN"/>
        </w:rPr>
        <w:t>点，可设置不超过5个零售点。</w:t>
      </w:r>
    </w:p>
    <w:p>
      <w:pPr>
        <w:pStyle w:val="11"/>
        <w:widowControl/>
        <w:numPr>
          <w:ilvl w:val="0"/>
          <w:numId w:val="0"/>
        </w:numPr>
        <w:topLinePunct w:val="0"/>
        <w:ind w:left="0" w:leftChars="0" w:firstLine="616"/>
        <w:rPr>
          <w:rFonts w:ascii="Times New Roman" w:hAnsi="Times New Roman" w:eastAsia="仿宋_GB2312" w:cs="仿宋_GB2312"/>
          <w:i w:val="0"/>
          <w:color w:val="auto"/>
          <w:sz w:val="32"/>
          <w:szCs w:val="32"/>
          <w:highlight w:val="none"/>
        </w:rPr>
      </w:pPr>
      <w:r>
        <w:rPr>
          <w:rFonts w:hint="eastAsia" w:cs="仿宋_GB2312"/>
          <w:i w:val="0"/>
          <w:color w:val="auto"/>
          <w:sz w:val="32"/>
          <w:szCs w:val="32"/>
          <w:highlight w:val="none"/>
          <w:lang w:eastAsia="zh-CN"/>
        </w:rPr>
        <w:t>（七）</w:t>
      </w:r>
      <w:r>
        <w:rPr>
          <w:rFonts w:hint="eastAsia" w:ascii="Times New Roman" w:hAnsi="Times New Roman" w:eastAsia="仿宋_GB2312" w:cs="仿宋_GB2312"/>
          <w:i w:val="0"/>
          <w:color w:val="auto"/>
          <w:sz w:val="32"/>
          <w:szCs w:val="32"/>
          <w:highlight w:val="none"/>
          <w:lang w:eastAsia="zh-CN"/>
        </w:rPr>
        <w:t>城镇、乡村等居民聚集区以外的</w:t>
      </w:r>
      <w:r>
        <w:rPr>
          <w:rFonts w:ascii="Times New Roman" w:hAnsi="Times New Roman" w:eastAsia="仿宋_GB2312" w:cs="仿宋_GB2312"/>
          <w:i w:val="0"/>
          <w:color w:val="auto"/>
          <w:sz w:val="32"/>
          <w:szCs w:val="32"/>
          <w:highlight w:val="none"/>
        </w:rPr>
        <w:t>高速公路服务区</w:t>
      </w:r>
      <w:r>
        <w:rPr>
          <w:rFonts w:hint="eastAsia" w:ascii="Times New Roman" w:hAnsi="Times New Roman" w:eastAsia="仿宋_GB2312" w:cs="仿宋_GB2312"/>
          <w:i w:val="0"/>
          <w:color w:val="auto"/>
          <w:sz w:val="32"/>
          <w:szCs w:val="32"/>
          <w:highlight w:val="none"/>
          <w:lang w:eastAsia="zh-CN"/>
        </w:rPr>
        <w:t>（</w:t>
      </w:r>
      <w:r>
        <w:rPr>
          <w:rFonts w:hint="eastAsia" w:ascii="Times New Roman" w:hAnsi="Times New Roman" w:eastAsia="仿宋_GB2312" w:cs="仿宋_GB2312"/>
          <w:i w:val="0"/>
          <w:color w:val="auto"/>
          <w:sz w:val="32"/>
          <w:szCs w:val="32"/>
          <w:highlight w:val="none"/>
          <w:lang w:val="en-US" w:eastAsia="zh-CN"/>
        </w:rPr>
        <w:t>单侧）</w:t>
      </w:r>
      <w:r>
        <w:rPr>
          <w:rFonts w:hint="eastAsia" w:ascii="Times New Roman" w:hAnsi="Times New Roman" w:eastAsia="仿宋_GB2312" w:cs="仿宋_GB2312"/>
          <w:i w:val="0"/>
          <w:color w:val="auto"/>
          <w:sz w:val="32"/>
          <w:szCs w:val="32"/>
          <w:highlight w:val="none"/>
          <w:lang w:eastAsia="zh-CN"/>
        </w:rPr>
        <w:t>、</w:t>
      </w:r>
      <w:r>
        <w:rPr>
          <w:rFonts w:ascii="Times New Roman" w:hAnsi="Times New Roman" w:eastAsia="仿宋_GB2312" w:cs="仿宋_GB2312"/>
          <w:i w:val="0"/>
          <w:color w:val="auto"/>
          <w:sz w:val="32"/>
          <w:szCs w:val="32"/>
          <w:highlight w:val="none"/>
        </w:rPr>
        <w:t>国道</w:t>
      </w:r>
      <w:r>
        <w:rPr>
          <w:rFonts w:hint="eastAsia" w:cs="仿宋_GB2312"/>
          <w:i w:val="0"/>
          <w:color w:val="auto"/>
          <w:sz w:val="32"/>
          <w:szCs w:val="32"/>
          <w:highlight w:val="none"/>
          <w:lang w:eastAsia="zh-CN"/>
        </w:rPr>
        <w:t>（单侧）</w:t>
      </w:r>
      <w:r>
        <w:rPr>
          <w:rFonts w:ascii="Times New Roman" w:hAnsi="Times New Roman" w:eastAsia="仿宋_GB2312" w:cs="仿宋_GB2312"/>
          <w:i w:val="0"/>
          <w:color w:val="auto"/>
          <w:sz w:val="32"/>
          <w:szCs w:val="32"/>
          <w:highlight w:val="none"/>
        </w:rPr>
        <w:t>、省道、县级公路沿线形成餐饮、休息、问询</w:t>
      </w:r>
      <w:r>
        <w:rPr>
          <w:rFonts w:hint="eastAsia" w:ascii="Times New Roman" w:hAnsi="Times New Roman" w:eastAsia="仿宋_GB2312" w:cs="仿宋_GB2312"/>
          <w:i w:val="0"/>
          <w:color w:val="auto"/>
          <w:sz w:val="32"/>
          <w:szCs w:val="32"/>
          <w:highlight w:val="none"/>
          <w:lang w:eastAsia="zh-CN"/>
        </w:rPr>
        <w:t>、</w:t>
      </w:r>
      <w:r>
        <w:rPr>
          <w:rFonts w:hint="eastAsia" w:ascii="Times New Roman" w:hAnsi="Times New Roman" w:eastAsia="仿宋_GB2312" w:cs="仿宋_GB2312"/>
          <w:i w:val="0"/>
          <w:color w:val="auto"/>
          <w:sz w:val="32"/>
          <w:szCs w:val="32"/>
          <w:highlight w:val="none"/>
          <w:lang w:val="en-US" w:eastAsia="zh-CN"/>
        </w:rPr>
        <w:t>加油、加气</w:t>
      </w:r>
      <w:r>
        <w:rPr>
          <w:rFonts w:ascii="Times New Roman" w:hAnsi="Times New Roman" w:eastAsia="仿宋_GB2312" w:cs="仿宋_GB2312"/>
          <w:i w:val="0"/>
          <w:color w:val="auto"/>
          <w:sz w:val="32"/>
          <w:szCs w:val="32"/>
          <w:highlight w:val="none"/>
        </w:rPr>
        <w:t>等独立区域内的商店</w:t>
      </w:r>
      <w:r>
        <w:rPr>
          <w:rFonts w:hint="eastAsia" w:ascii="仿宋_GB2312" w:hAnsi="仿宋_GB2312" w:eastAsia="仿宋_GB2312" w:cs="仿宋_GB2312"/>
          <w:i w:val="0"/>
          <w:color w:val="auto"/>
          <w:sz w:val="32"/>
          <w:szCs w:val="32"/>
          <w:highlight w:val="none"/>
        </w:rPr>
        <w:t>，可设置1个零售点。</w:t>
      </w:r>
    </w:p>
    <w:p>
      <w:pPr>
        <w:pStyle w:val="11"/>
        <w:widowControl/>
        <w:numPr>
          <w:ilvl w:val="0"/>
          <w:numId w:val="0"/>
        </w:numPr>
        <w:topLinePunct w:val="0"/>
        <w:ind w:left="0" w:leftChars="0" w:firstLine="616"/>
        <w:rPr>
          <w:rFonts w:hint="default" w:cs="仿宋_GB2312"/>
          <w:i w:val="0"/>
          <w:color w:val="auto"/>
          <w:sz w:val="32"/>
          <w:szCs w:val="32"/>
          <w:highlight w:val="none"/>
          <w:lang w:eastAsia="zh-CN"/>
        </w:rPr>
      </w:pPr>
      <w:r>
        <w:rPr>
          <w:rFonts w:hint="eastAsia" w:cs="仿宋_GB2312"/>
          <w:i w:val="0"/>
          <w:color w:val="auto"/>
          <w:sz w:val="32"/>
          <w:szCs w:val="32"/>
          <w:highlight w:val="none"/>
          <w:lang w:eastAsia="zh-CN"/>
        </w:rPr>
        <w:t>（八）</w:t>
      </w:r>
      <w:r>
        <w:rPr>
          <w:rFonts w:ascii="Times New Roman" w:hAnsi="Times New Roman" w:eastAsia="仿宋_GB2312" w:cs="仿宋_GB2312"/>
          <w:i w:val="0"/>
          <w:color w:val="auto"/>
          <w:sz w:val="32"/>
          <w:szCs w:val="32"/>
          <w:highlight w:val="none"/>
        </w:rPr>
        <w:t>跨年度建设工程项目在项目建设</w:t>
      </w:r>
      <w:r>
        <w:rPr>
          <w:rFonts w:hint="eastAsia" w:ascii="Times New Roman" w:hAnsi="Times New Roman" w:eastAsia="仿宋_GB2312" w:cs="仿宋_GB2312"/>
          <w:i w:val="0"/>
          <w:color w:val="auto"/>
          <w:sz w:val="32"/>
          <w:szCs w:val="32"/>
          <w:highlight w:val="none"/>
          <w:lang w:val="en-US" w:eastAsia="zh-CN"/>
        </w:rPr>
        <w:t>生活区</w:t>
      </w:r>
      <w:r>
        <w:rPr>
          <w:rFonts w:ascii="Times New Roman" w:hAnsi="Times New Roman" w:eastAsia="仿宋_GB2312" w:cs="仿宋_GB2312"/>
          <w:i w:val="0"/>
          <w:color w:val="auto"/>
          <w:sz w:val="32"/>
          <w:szCs w:val="32"/>
          <w:highlight w:val="none"/>
        </w:rPr>
        <w:t>视情况可设置</w:t>
      </w:r>
      <w:r>
        <w:rPr>
          <w:rFonts w:hint="eastAsia" w:ascii="仿宋_GB2312" w:hAnsi="仿宋_GB2312" w:eastAsia="仿宋_GB2312" w:cs="仿宋_GB2312"/>
          <w:i w:val="0"/>
          <w:color w:val="auto"/>
          <w:sz w:val="32"/>
          <w:szCs w:val="32"/>
          <w:highlight w:val="none"/>
          <w:lang w:val="en-US" w:eastAsia="zh-CN"/>
        </w:rPr>
        <w:t>不超过3个</w:t>
      </w:r>
      <w:r>
        <w:rPr>
          <w:rFonts w:hint="eastAsia" w:ascii="仿宋_GB2312" w:hAnsi="仿宋_GB2312" w:eastAsia="仿宋_GB2312" w:cs="仿宋_GB2312"/>
          <w:i w:val="0"/>
          <w:color w:val="auto"/>
          <w:sz w:val="32"/>
          <w:szCs w:val="32"/>
          <w:highlight w:val="none"/>
          <w:lang w:eastAsia="zh-CN"/>
        </w:rPr>
        <w:t>零售点。</w:t>
      </w:r>
    </w:p>
    <w:p>
      <w:pPr>
        <w:pStyle w:val="11"/>
        <w:widowControl/>
        <w:numPr>
          <w:ilvl w:val="0"/>
          <w:numId w:val="0"/>
        </w:numPr>
        <w:topLinePunct w:val="0"/>
        <w:spacing w:line="580" w:lineRule="exact"/>
        <w:ind w:left="0" w:leftChars="0" w:firstLine="616" w:firstLineChars="200"/>
        <w:rPr>
          <w:rFonts w:ascii="Times New Roman" w:hAnsi="Times New Roman" w:eastAsia="仿宋_GB2312" w:cs="仿宋_GB2312"/>
          <w:i w:val="0"/>
          <w:snapToGrid w:val="0"/>
          <w:color w:val="auto"/>
          <w:spacing w:val="-6"/>
          <w:kern w:val="0"/>
          <w:sz w:val="32"/>
          <w:szCs w:val="32"/>
          <w:highlight w:val="none"/>
          <w:lang w:val="en-US" w:eastAsia="en-US" w:bidi="ar-SA"/>
        </w:rPr>
      </w:pPr>
      <w:r>
        <w:rPr>
          <w:rFonts w:hint="default" w:ascii="Times New Roman" w:hAnsi="Times New Roman" w:eastAsia="仿宋_GB2312" w:cs="仿宋_GB2312"/>
          <w:i w:val="0"/>
          <w:color w:val="auto"/>
          <w:sz w:val="32"/>
          <w:szCs w:val="32"/>
          <w:highlight w:val="none"/>
          <w:lang w:val="en-US" w:eastAsia="zh-CN"/>
        </w:rPr>
        <w:t>（</w:t>
      </w:r>
      <w:r>
        <w:rPr>
          <w:rFonts w:hint="eastAsia" w:ascii="Times New Roman" w:hAnsi="Times New Roman" w:eastAsia="仿宋_GB2312" w:cs="仿宋_GB2312"/>
          <w:i w:val="0"/>
          <w:snapToGrid w:val="0"/>
          <w:color w:val="auto"/>
          <w:spacing w:val="-6"/>
          <w:kern w:val="0"/>
          <w:sz w:val="32"/>
          <w:szCs w:val="32"/>
          <w:highlight w:val="none"/>
          <w:lang w:val="en-US" w:eastAsia="zh-CN" w:bidi="ar-SA"/>
        </w:rPr>
        <w:t>九</w:t>
      </w:r>
      <w:r>
        <w:rPr>
          <w:rFonts w:hint="default" w:ascii="Times New Roman" w:hAnsi="Times New Roman" w:eastAsia="仿宋_GB2312" w:cs="仿宋_GB2312"/>
          <w:i w:val="0"/>
          <w:snapToGrid w:val="0"/>
          <w:color w:val="auto"/>
          <w:spacing w:val="-6"/>
          <w:kern w:val="0"/>
          <w:sz w:val="32"/>
          <w:szCs w:val="32"/>
          <w:highlight w:val="none"/>
          <w:lang w:val="en-US" w:eastAsia="zh-CN" w:bidi="ar-SA"/>
        </w:rPr>
        <w:t>）新建小区等新增</w:t>
      </w:r>
      <w:r>
        <w:rPr>
          <w:rFonts w:hint="eastAsia" w:cs="仿宋_GB2312"/>
          <w:i w:val="0"/>
          <w:snapToGrid w:val="0"/>
          <w:color w:val="auto"/>
          <w:spacing w:val="-6"/>
          <w:kern w:val="0"/>
          <w:sz w:val="32"/>
          <w:szCs w:val="32"/>
          <w:highlight w:val="none"/>
          <w:lang w:val="en-US" w:eastAsia="zh-CN" w:bidi="ar-SA"/>
        </w:rPr>
        <w:t>区域</w:t>
      </w:r>
      <w:r>
        <w:rPr>
          <w:rFonts w:hint="default" w:ascii="Times New Roman" w:hAnsi="Times New Roman" w:eastAsia="仿宋_GB2312" w:cs="仿宋_GB2312"/>
          <w:i w:val="0"/>
          <w:snapToGrid w:val="0"/>
          <w:color w:val="auto"/>
          <w:spacing w:val="-6"/>
          <w:kern w:val="0"/>
          <w:sz w:val="32"/>
          <w:szCs w:val="32"/>
          <w:highlight w:val="none"/>
          <w:lang w:val="en-US" w:eastAsia="zh-CN" w:bidi="ar-SA"/>
        </w:rPr>
        <w:t>，在人口入住稳定前，由</w:t>
      </w:r>
      <w:r>
        <w:rPr>
          <w:rFonts w:hint="eastAsia" w:cs="仿宋_GB2312"/>
          <w:i w:val="0"/>
          <w:snapToGrid w:val="0"/>
          <w:color w:val="auto"/>
          <w:spacing w:val="-6"/>
          <w:kern w:val="0"/>
          <w:sz w:val="32"/>
          <w:szCs w:val="32"/>
          <w:highlight w:val="none"/>
          <w:lang w:val="en-US" w:eastAsia="zh-CN" w:bidi="ar-SA"/>
        </w:rPr>
        <w:t>托里</w:t>
      </w:r>
      <w:r>
        <w:rPr>
          <w:rFonts w:hint="default" w:ascii="Times New Roman" w:hAnsi="Times New Roman" w:eastAsia="仿宋_GB2312" w:cs="仿宋_GB2312"/>
          <w:i w:val="0"/>
          <w:snapToGrid w:val="0"/>
          <w:color w:val="auto"/>
          <w:spacing w:val="-6"/>
          <w:kern w:val="0"/>
          <w:sz w:val="32"/>
          <w:szCs w:val="32"/>
          <w:highlight w:val="none"/>
          <w:lang w:val="en-US" w:eastAsia="zh-CN" w:bidi="ar-SA"/>
        </w:rPr>
        <w:t>县烟草专卖局根据该区域实际建设规模，参照</w:t>
      </w:r>
      <w:r>
        <w:rPr>
          <w:rFonts w:hint="eastAsia" w:cs="仿宋_GB2312"/>
          <w:i w:val="0"/>
          <w:snapToGrid w:val="0"/>
          <w:color w:val="auto"/>
          <w:spacing w:val="-6"/>
          <w:kern w:val="0"/>
          <w:sz w:val="32"/>
          <w:szCs w:val="32"/>
          <w:highlight w:val="none"/>
          <w:lang w:val="en-US" w:eastAsia="zh-CN" w:bidi="ar-SA"/>
        </w:rPr>
        <w:t>该新增区域所在市场单元</w:t>
      </w:r>
      <w:r>
        <w:rPr>
          <w:rFonts w:hint="default" w:ascii="Times New Roman" w:hAnsi="Times New Roman" w:eastAsia="仿宋_GB2312" w:cs="仿宋_GB2312"/>
          <w:i w:val="0"/>
          <w:snapToGrid w:val="0"/>
          <w:color w:val="auto"/>
          <w:spacing w:val="-6"/>
          <w:kern w:val="0"/>
          <w:sz w:val="32"/>
          <w:szCs w:val="32"/>
          <w:highlight w:val="none"/>
          <w:lang w:val="en-US" w:eastAsia="zh-CN" w:bidi="ar-SA"/>
        </w:rPr>
        <w:t>预设户数</w:t>
      </w:r>
      <w:r>
        <w:rPr>
          <w:rFonts w:hint="eastAsia" w:cs="仿宋_GB2312"/>
          <w:i w:val="0"/>
          <w:snapToGrid w:val="0"/>
          <w:color w:val="auto"/>
          <w:spacing w:val="-6"/>
          <w:kern w:val="0"/>
          <w:sz w:val="32"/>
          <w:szCs w:val="32"/>
          <w:highlight w:val="none"/>
          <w:lang w:val="en-US" w:eastAsia="zh-CN" w:bidi="ar-SA"/>
        </w:rPr>
        <w:t>的标准设定</w:t>
      </w:r>
      <w:r>
        <w:rPr>
          <w:rFonts w:hint="default" w:ascii="Times New Roman" w:hAnsi="Times New Roman" w:eastAsia="仿宋_GB2312" w:cs="仿宋_GB2312"/>
          <w:i w:val="0"/>
          <w:snapToGrid w:val="0"/>
          <w:color w:val="auto"/>
          <w:spacing w:val="-6"/>
          <w:kern w:val="0"/>
          <w:sz w:val="32"/>
          <w:szCs w:val="32"/>
          <w:highlight w:val="none"/>
          <w:lang w:val="en-US" w:eastAsia="zh-CN" w:bidi="ar-SA"/>
        </w:rPr>
        <w:t>零售点</w:t>
      </w:r>
      <w:r>
        <w:rPr>
          <w:rFonts w:hint="eastAsia" w:cs="仿宋_GB2312"/>
          <w:i w:val="0"/>
          <w:snapToGrid w:val="0"/>
          <w:color w:val="auto"/>
          <w:spacing w:val="-6"/>
          <w:kern w:val="0"/>
          <w:sz w:val="32"/>
          <w:szCs w:val="32"/>
          <w:highlight w:val="none"/>
          <w:lang w:val="en-US" w:eastAsia="zh-CN" w:bidi="ar-SA"/>
        </w:rPr>
        <w:t>上限，</w:t>
      </w:r>
      <w:r>
        <w:rPr>
          <w:rFonts w:hint="default" w:ascii="Times New Roman" w:hAnsi="Times New Roman" w:eastAsia="仿宋_GB2312" w:cs="仿宋_GB2312"/>
          <w:i w:val="0"/>
          <w:snapToGrid w:val="0"/>
          <w:color w:val="auto"/>
          <w:spacing w:val="-6"/>
          <w:kern w:val="0"/>
          <w:sz w:val="32"/>
          <w:szCs w:val="32"/>
          <w:highlight w:val="none"/>
          <w:lang w:val="en-US" w:eastAsia="zh-CN" w:bidi="ar-SA"/>
        </w:rPr>
        <w:t>待该</w:t>
      </w:r>
      <w:r>
        <w:rPr>
          <w:rFonts w:hint="eastAsia" w:cs="仿宋_GB2312"/>
          <w:i w:val="0"/>
          <w:snapToGrid w:val="0"/>
          <w:color w:val="auto"/>
          <w:spacing w:val="-6"/>
          <w:kern w:val="0"/>
          <w:sz w:val="32"/>
          <w:szCs w:val="32"/>
          <w:highlight w:val="none"/>
          <w:lang w:val="en-US" w:eastAsia="zh-CN" w:bidi="ar-SA"/>
        </w:rPr>
        <w:t>区域</w:t>
      </w:r>
      <w:r>
        <w:rPr>
          <w:rFonts w:hint="default" w:ascii="Times New Roman" w:hAnsi="Times New Roman" w:eastAsia="仿宋_GB2312" w:cs="仿宋_GB2312"/>
          <w:i w:val="0"/>
          <w:snapToGrid w:val="0"/>
          <w:color w:val="auto"/>
          <w:spacing w:val="-6"/>
          <w:kern w:val="0"/>
          <w:sz w:val="32"/>
          <w:szCs w:val="32"/>
          <w:highlight w:val="none"/>
          <w:lang w:val="en-US" w:eastAsia="zh-CN" w:bidi="ar-SA"/>
        </w:rPr>
        <w:t>内人口入住稳定</w:t>
      </w:r>
      <w:r>
        <w:rPr>
          <w:rFonts w:hint="eastAsia" w:cs="仿宋_GB2312"/>
          <w:i w:val="0"/>
          <w:snapToGrid w:val="0"/>
          <w:color w:val="auto"/>
          <w:spacing w:val="-6"/>
          <w:kern w:val="0"/>
          <w:sz w:val="32"/>
          <w:szCs w:val="32"/>
          <w:highlight w:val="none"/>
          <w:lang w:val="en-US" w:eastAsia="zh-CN" w:bidi="ar-SA"/>
        </w:rPr>
        <w:t>或</w:t>
      </w:r>
      <w:r>
        <w:rPr>
          <w:rFonts w:hint="default" w:ascii="Times New Roman" w:hAnsi="Times New Roman" w:eastAsia="仿宋_GB2312" w:cs="仿宋_GB2312"/>
          <w:i w:val="0"/>
          <w:snapToGrid w:val="0"/>
          <w:color w:val="auto"/>
          <w:spacing w:val="-6"/>
          <w:kern w:val="0"/>
          <w:sz w:val="32"/>
          <w:szCs w:val="32"/>
          <w:highlight w:val="none"/>
          <w:lang w:val="en-US" w:eastAsia="zh-CN" w:bidi="ar-SA"/>
        </w:rPr>
        <w:t>零售点数量达到预设户数上限后，正式将该区域并入对应的</w:t>
      </w:r>
      <w:r>
        <w:rPr>
          <w:rFonts w:hint="eastAsia" w:cs="仿宋_GB2312"/>
          <w:i w:val="0"/>
          <w:snapToGrid w:val="0"/>
          <w:color w:val="auto"/>
          <w:spacing w:val="-6"/>
          <w:kern w:val="0"/>
          <w:sz w:val="32"/>
          <w:szCs w:val="32"/>
          <w:highlight w:val="none"/>
          <w:lang w:val="en-US" w:eastAsia="zh-CN" w:bidi="ar-SA"/>
        </w:rPr>
        <w:t>市场单元</w:t>
      </w:r>
      <w:r>
        <w:rPr>
          <w:rFonts w:hint="default" w:ascii="Times New Roman" w:hAnsi="Times New Roman" w:eastAsia="仿宋_GB2312" w:cs="仿宋_GB2312"/>
          <w:i w:val="0"/>
          <w:snapToGrid w:val="0"/>
          <w:color w:val="auto"/>
          <w:spacing w:val="-6"/>
          <w:kern w:val="0"/>
          <w:sz w:val="32"/>
          <w:szCs w:val="32"/>
          <w:highlight w:val="none"/>
          <w:lang w:val="en-US" w:eastAsia="zh-CN" w:bidi="ar-SA"/>
        </w:rPr>
        <w:t>统一管理。</w:t>
      </w:r>
    </w:p>
    <w:p>
      <w:pPr>
        <w:pStyle w:val="11"/>
        <w:widowControl/>
        <w:numPr>
          <w:ilvl w:val="0"/>
          <w:numId w:val="0"/>
        </w:numPr>
        <w:topLinePunct w:val="0"/>
        <w:spacing w:line="580" w:lineRule="exact"/>
        <w:ind w:left="0" w:leftChars="0" w:firstLine="616"/>
        <w:rPr>
          <w:rFonts w:hint="default" w:ascii="Times New Roman" w:hAnsi="Times New Roman" w:eastAsia="仿宋_GB2312" w:cs="仿宋_GB2312"/>
          <w:i w:val="0"/>
          <w:color w:val="auto"/>
          <w:sz w:val="32"/>
          <w:szCs w:val="32"/>
          <w:highlight w:val="none"/>
        </w:rPr>
      </w:pPr>
      <w:r>
        <w:rPr>
          <w:rFonts w:hint="eastAsia" w:ascii="Times New Roman" w:hAnsi="Times New Roman" w:eastAsia="仿宋_GB2312" w:cs="仿宋_GB2312"/>
          <w:b/>
          <w:bCs/>
          <w:i w:val="0"/>
          <w:color w:val="auto"/>
          <w:sz w:val="32"/>
          <w:szCs w:val="32"/>
          <w:highlight w:val="none"/>
          <w:lang w:eastAsia="zh-CN"/>
        </w:rPr>
        <w:t>第九条</w:t>
      </w:r>
      <w:r>
        <w:rPr>
          <w:rFonts w:hint="default" w:ascii="Times New Roman" w:hAnsi="Times New Roman" w:eastAsia="仿宋_GB2312" w:cs="仿宋_GB2312"/>
          <w:i w:val="0"/>
          <w:color w:val="auto"/>
          <w:sz w:val="32"/>
          <w:szCs w:val="32"/>
          <w:highlight w:val="none"/>
        </w:rPr>
        <w:t>　</w:t>
      </w:r>
      <w:r>
        <w:rPr>
          <w:rFonts w:hint="eastAsia" w:cs="仿宋_GB2312"/>
          <w:i w:val="0"/>
          <w:color w:val="auto"/>
          <w:sz w:val="32"/>
          <w:szCs w:val="32"/>
          <w:highlight w:val="none"/>
          <w:lang w:eastAsia="zh-CN"/>
        </w:rPr>
        <w:t>市场单元</w:t>
      </w:r>
      <w:r>
        <w:rPr>
          <w:rFonts w:hint="default" w:ascii="Times New Roman" w:hAnsi="Times New Roman" w:eastAsia="仿宋_GB2312" w:cs="仿宋_GB2312"/>
          <w:i w:val="0"/>
          <w:color w:val="auto"/>
          <w:sz w:val="32"/>
          <w:szCs w:val="32"/>
          <w:highlight w:val="none"/>
        </w:rPr>
        <w:t>内零售点数量实行动态管理和分区分类管控：</w:t>
      </w:r>
    </w:p>
    <w:p>
      <w:pPr>
        <w:pStyle w:val="11"/>
        <w:widowControl/>
        <w:numPr>
          <w:ilvl w:val="0"/>
          <w:numId w:val="0"/>
        </w:numPr>
        <w:topLinePunct w:val="0"/>
        <w:spacing w:line="580" w:lineRule="exact"/>
        <w:ind w:left="0" w:leftChars="0" w:firstLine="616"/>
        <w:rPr>
          <w:rFonts w:hint="eastAsia" w:ascii="仿宋_GB2312" w:hAnsi="仿宋_GB2312" w:eastAsia="仿宋_GB2312" w:cs="仿宋_GB2312"/>
          <w:b w:val="0"/>
          <w:color w:val="auto"/>
          <w:sz w:val="32"/>
          <w:highlight w:val="none"/>
          <w:lang w:val="en-US" w:eastAsia="zh-CN"/>
        </w:rPr>
      </w:pPr>
      <w:r>
        <w:rPr>
          <w:rFonts w:hint="eastAsia" w:ascii="楷体" w:hAnsi="楷体" w:eastAsia="楷体" w:cs="楷体"/>
          <w:b w:val="0"/>
          <w:bCs w:val="0"/>
          <w:color w:val="000000"/>
          <w:sz w:val="32"/>
          <w:szCs w:val="32"/>
          <w:highlight w:val="none"/>
          <w:lang w:val="en-US" w:eastAsia="zh-CN"/>
        </w:rPr>
        <w:t>（一）饱和区。</w:t>
      </w:r>
      <w:r>
        <w:rPr>
          <w:rFonts w:hint="eastAsia" w:ascii="仿宋_GB2312" w:hAnsi="仿宋_GB2312" w:eastAsia="仿宋_GB2312" w:cs="仿宋_GB2312"/>
          <w:b w:val="0"/>
          <w:color w:val="auto"/>
          <w:sz w:val="32"/>
          <w:highlight w:val="none"/>
          <w:lang w:val="en-US" w:eastAsia="zh-CN"/>
        </w:rPr>
        <w:t>零售点数量达到或超过合理容量上限的市场单元，按照“只退不增”原则优化零售点布局（放宽情形除外），直至该市场单元状态变为稳定状态或发展状态。</w:t>
      </w:r>
    </w:p>
    <w:p>
      <w:pPr>
        <w:pStyle w:val="11"/>
        <w:widowControl/>
        <w:numPr>
          <w:ilvl w:val="0"/>
          <w:numId w:val="0"/>
        </w:numPr>
        <w:topLinePunct w:val="0"/>
        <w:spacing w:line="580" w:lineRule="exact"/>
        <w:ind w:left="0" w:leftChars="0" w:firstLine="616"/>
        <w:rPr>
          <w:rFonts w:hint="eastAsia" w:ascii="仿宋_GB2312" w:hAnsi="仿宋_GB2312" w:eastAsia="仿宋_GB2312" w:cs="仿宋_GB2312"/>
          <w:b w:val="0"/>
          <w:color w:val="auto"/>
          <w:sz w:val="32"/>
          <w:highlight w:val="none"/>
          <w:lang w:val="en-US" w:eastAsia="zh-CN"/>
        </w:rPr>
      </w:pPr>
      <w:r>
        <w:rPr>
          <w:rFonts w:hint="eastAsia" w:ascii="楷体" w:hAnsi="楷体" w:eastAsia="楷体" w:cs="楷体"/>
          <w:b w:val="0"/>
          <w:bCs w:val="0"/>
          <w:color w:val="000000"/>
          <w:sz w:val="32"/>
          <w:szCs w:val="32"/>
          <w:highlight w:val="none"/>
          <w:lang w:val="en-US" w:eastAsia="zh-CN"/>
        </w:rPr>
        <w:t>（二）稳定区。</w:t>
      </w:r>
      <w:r>
        <w:rPr>
          <w:rFonts w:hint="eastAsia" w:ascii="仿宋_GB2312" w:hAnsi="仿宋_GB2312" w:eastAsia="仿宋_GB2312" w:cs="仿宋_GB2312"/>
          <w:b w:val="0"/>
          <w:color w:val="auto"/>
          <w:sz w:val="32"/>
          <w:highlight w:val="none"/>
          <w:lang w:val="en-US" w:eastAsia="zh-CN"/>
        </w:rPr>
        <w:t>零售点数量接近合理容量上限的市场单元，根据“退一进一”原则设置零售点。</w:t>
      </w:r>
    </w:p>
    <w:p>
      <w:pPr>
        <w:pStyle w:val="11"/>
        <w:widowControl/>
        <w:numPr>
          <w:ilvl w:val="0"/>
          <w:numId w:val="0"/>
        </w:numPr>
        <w:topLinePunct w:val="0"/>
        <w:spacing w:line="580" w:lineRule="exact"/>
        <w:ind w:left="0" w:leftChars="0" w:firstLine="616"/>
        <w:rPr>
          <w:rFonts w:hint="eastAsia" w:ascii="仿宋_GB2312" w:hAnsi="仿宋_GB2312" w:eastAsia="仿宋_GB2312" w:cs="仿宋_GB2312"/>
          <w:b w:val="0"/>
          <w:color w:val="auto"/>
          <w:sz w:val="32"/>
          <w:highlight w:val="none"/>
          <w:lang w:val="en-US" w:eastAsia="zh-CN"/>
        </w:rPr>
      </w:pPr>
      <w:r>
        <w:rPr>
          <w:rFonts w:hint="eastAsia" w:ascii="楷体" w:hAnsi="楷体" w:eastAsia="楷体" w:cs="楷体"/>
          <w:b w:val="0"/>
          <w:bCs w:val="0"/>
          <w:color w:val="000000"/>
          <w:sz w:val="32"/>
          <w:szCs w:val="32"/>
          <w:highlight w:val="none"/>
          <w:lang w:val="en-US" w:eastAsia="zh-CN"/>
        </w:rPr>
        <w:t>（三）发展区。</w:t>
      </w:r>
      <w:r>
        <w:rPr>
          <w:rFonts w:hint="eastAsia" w:ascii="仿宋_GB2312" w:hAnsi="仿宋_GB2312" w:eastAsia="仿宋_GB2312" w:cs="仿宋_GB2312"/>
          <w:b w:val="0"/>
          <w:color w:val="auto"/>
          <w:sz w:val="32"/>
          <w:highlight w:val="none"/>
          <w:lang w:val="en-US" w:eastAsia="zh-CN"/>
        </w:rPr>
        <w:t>零售点数量未达到合理容量上限的市场单元，根据“自然增长”原则设置零售点，不得超过公布周期内新增零售点指导数，直至该市场单元状态变为饱和状态。</w:t>
      </w:r>
    </w:p>
    <w:p>
      <w:pPr>
        <w:pStyle w:val="11"/>
        <w:widowControl/>
        <w:spacing w:line="600" w:lineRule="exact"/>
        <w:rPr>
          <w:rFonts w:ascii="Times New Roman" w:hAnsi="Times New Roman" w:eastAsia="仿宋_GB2312" w:cs="仿宋_GB2312"/>
          <w:i w:val="0"/>
          <w:color w:val="auto"/>
          <w:sz w:val="32"/>
          <w:szCs w:val="32"/>
          <w:highlight w:val="none"/>
        </w:rPr>
      </w:pPr>
      <w:r>
        <w:rPr>
          <w:rFonts w:hint="eastAsia" w:cs="仿宋_GB2312"/>
          <w:b/>
          <w:bCs/>
          <w:i w:val="0"/>
          <w:color w:val="auto"/>
          <w:sz w:val="32"/>
          <w:szCs w:val="32"/>
          <w:highlight w:val="none"/>
          <w:lang w:eastAsia="zh-CN"/>
        </w:rPr>
        <w:t>第十条</w:t>
      </w:r>
      <w:r>
        <w:rPr>
          <w:rFonts w:hint="eastAsia" w:cs="仿宋_GB2312"/>
          <w:i w:val="0"/>
          <w:color w:val="auto"/>
          <w:sz w:val="32"/>
          <w:szCs w:val="32"/>
          <w:highlight w:val="none"/>
          <w:lang w:val="en-US" w:eastAsia="zh-CN"/>
        </w:rPr>
        <w:t xml:space="preserve"> </w:t>
      </w:r>
      <w:r>
        <w:rPr>
          <w:rFonts w:ascii="Times New Roman" w:hAnsi="Times New Roman" w:eastAsia="仿宋_GB2312" w:cs="仿宋_GB2312"/>
          <w:i w:val="0"/>
          <w:color w:val="auto"/>
          <w:sz w:val="32"/>
          <w:szCs w:val="32"/>
          <w:highlight w:val="none"/>
        </w:rPr>
        <w:t>有下列情形之一的，不予设置烟草制品零售点：</w:t>
      </w:r>
    </w:p>
    <w:p>
      <w:pPr>
        <w:widowControl w:val="0"/>
        <w:kinsoku/>
        <w:autoSpaceDE/>
        <w:autoSpaceDN/>
        <w:adjustRightInd/>
        <w:snapToGrid/>
        <w:spacing w:line="600" w:lineRule="exact"/>
        <w:ind w:left="0" w:leftChars="0" w:firstLine="618" w:firstLineChars="0"/>
        <w:textAlignment w:val="auto"/>
        <w:rPr>
          <w:rStyle w:val="20"/>
          <w:rFonts w:hint="default" w:cs="楷体_GB2312"/>
          <w:i w:val="0"/>
          <w:color w:val="auto"/>
          <w:spacing w:val="-6"/>
          <w:sz w:val="32"/>
          <w:szCs w:val="32"/>
          <w:highlight w:val="none"/>
          <w:lang w:eastAsia="en-US"/>
        </w:rPr>
      </w:pPr>
      <w:r>
        <w:rPr>
          <w:rStyle w:val="20"/>
          <w:rFonts w:hint="default" w:eastAsia="楷体_GB2312"/>
          <w:color w:val="auto"/>
          <w:spacing w:val="-6"/>
          <w:highlight w:val="none"/>
          <w:lang w:eastAsia="en-US"/>
        </w:rPr>
        <w:t>（</w:t>
      </w:r>
      <w:r>
        <w:rPr>
          <w:rStyle w:val="20"/>
          <w:rFonts w:hint="default" w:ascii="Times New Roman" w:hAnsi="Times New Roman" w:eastAsia="楷体_GB2312" w:cs="楷体_GB2312"/>
          <w:b w:val="0"/>
          <w:bCs w:val="0"/>
          <w:color w:val="auto"/>
          <w:spacing w:val="-6"/>
          <w:sz w:val="32"/>
          <w:szCs w:val="32"/>
          <w:highlight w:val="none"/>
          <w:lang w:val="en-US" w:eastAsia="en-US"/>
        </w:rPr>
        <w:t>一</w:t>
      </w:r>
      <w:r>
        <w:rPr>
          <w:rStyle w:val="20"/>
          <w:rFonts w:hint="default" w:eastAsia="楷体_GB2312"/>
          <w:color w:val="auto"/>
          <w:spacing w:val="-6"/>
          <w:highlight w:val="none"/>
          <w:lang w:eastAsia="en-US"/>
        </w:rPr>
        <w:t>）</w:t>
      </w:r>
      <w:r>
        <w:rPr>
          <w:rStyle w:val="20"/>
          <w:rFonts w:hint="default" w:ascii="Times New Roman" w:hAnsi="Times New Roman" w:eastAsia="楷体_GB2312" w:cs="楷体_GB2312"/>
          <w:b w:val="0"/>
          <w:bCs w:val="0"/>
          <w:color w:val="auto"/>
          <w:spacing w:val="-6"/>
          <w:sz w:val="32"/>
          <w:szCs w:val="32"/>
          <w:highlight w:val="none"/>
          <w:lang w:val="en-US" w:eastAsia="en-US"/>
        </w:rPr>
        <w:t>申请主体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1.未成年人、无民事行为能力人及限制民事行为能力人；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2.外商投资的商业企业或者个体工商户，又或以特许、吸纳加盟店等其他外商再投资形式变相经营的，但国家烟草专卖行政主管部门明文规定的例外情形除外；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3.取消从事烟草专卖业务资格不满三年的；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4.因申请人隐瞒有关情况或者提供虚假材料，烟草专卖行政主管部门作出不予受理或者不予发证决定后，申请人一年内再次提出申请的；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5.申请人以欺骗、贿赂等不正当手段取得的烟草专卖零售许可证被撤销后，申请人三年内再次提出申请的；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6.未领取烟草专卖零售许可证经营烟草制品业务，并且一年内被执法机关处罚两次以上，在三年内申请领取烟草专卖零售许可证的；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7.未领取烟草专卖零售许可证经营烟草制品业务被追究刑事责任，在三年内申请领取烟草专卖零售许可证的；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8.未持有合法有效的营业执照。</w:t>
      </w:r>
    </w:p>
    <w:p>
      <w:pPr>
        <w:widowControl w:val="0"/>
        <w:kinsoku/>
        <w:autoSpaceDE/>
        <w:autoSpaceDN/>
        <w:adjustRightInd/>
        <w:snapToGrid/>
        <w:spacing w:line="600" w:lineRule="exact"/>
        <w:ind w:left="0" w:leftChars="0" w:firstLine="618" w:firstLineChars="0"/>
        <w:textAlignment w:val="auto"/>
        <w:rPr>
          <w:rStyle w:val="20"/>
          <w:rFonts w:hint="default" w:cs="楷体_GB2312"/>
          <w:i w:val="0"/>
          <w:color w:val="auto"/>
          <w:spacing w:val="-6"/>
          <w:sz w:val="32"/>
          <w:szCs w:val="32"/>
          <w:highlight w:val="none"/>
          <w:lang w:eastAsia="en-US"/>
        </w:rPr>
      </w:pPr>
      <w:r>
        <w:rPr>
          <w:rStyle w:val="20"/>
          <w:rFonts w:hint="default" w:eastAsia="楷体_GB2312"/>
          <w:color w:val="auto"/>
          <w:spacing w:val="-6"/>
          <w:highlight w:val="none"/>
          <w:lang w:eastAsia="en-US"/>
        </w:rPr>
        <w:t>（</w:t>
      </w:r>
      <w:r>
        <w:rPr>
          <w:rStyle w:val="20"/>
          <w:rFonts w:hint="default" w:ascii="Times New Roman" w:hAnsi="Times New Roman" w:eastAsia="楷体_GB2312" w:cs="楷体_GB2312"/>
          <w:b w:val="0"/>
          <w:bCs w:val="0"/>
          <w:color w:val="auto"/>
          <w:spacing w:val="-6"/>
          <w:sz w:val="32"/>
          <w:szCs w:val="32"/>
          <w:highlight w:val="none"/>
          <w:lang w:val="en-US" w:eastAsia="en-US"/>
        </w:rPr>
        <w:t>二</w:t>
      </w:r>
      <w:r>
        <w:rPr>
          <w:rStyle w:val="20"/>
          <w:rFonts w:hint="default" w:eastAsia="楷体_GB2312"/>
          <w:color w:val="auto"/>
          <w:spacing w:val="-6"/>
          <w:highlight w:val="none"/>
          <w:lang w:eastAsia="en-US"/>
        </w:rPr>
        <w:t>）</w:t>
      </w:r>
      <w:r>
        <w:rPr>
          <w:rStyle w:val="20"/>
          <w:rFonts w:hint="default" w:ascii="Times New Roman" w:hAnsi="Times New Roman" w:eastAsia="楷体_GB2312" w:cs="楷体_GB2312"/>
          <w:b w:val="0"/>
          <w:bCs w:val="0"/>
          <w:color w:val="auto"/>
          <w:spacing w:val="-6"/>
          <w:sz w:val="32"/>
          <w:szCs w:val="32"/>
          <w:highlight w:val="none"/>
          <w:lang w:val="en-US" w:eastAsia="en-US"/>
        </w:rPr>
        <w:t>经营场所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1.无固定经营场所的，如流动摊点（车、棚、柜）、违章建筑、临时建筑、集装箱屋、危房以及尚未竣工或未交付使用的场所等；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2.经营场所与住所不相独立的，如住宅公寓、仓库、生活住所的车库、地下室、储藏室等未对消费者全开放的场所等；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3.经营场所基于安全因素不适宜经营卷烟的，包括但不限于生产、经营、储存有毒有害、易燃易爆、放射性、易挥发及具有刺激性气味等物品，容易造成烟草制品污染的油漆化工、农药化肥、烟花爆竹、机油制品等的场所（符合法定条件，具备安全保障措施的加油站、加气站便利店除外）。</w:t>
      </w:r>
    </w:p>
    <w:p>
      <w:pPr>
        <w:keepNext w:val="0"/>
        <w:keepLines w:val="0"/>
        <w:pageBreakBefore w:val="0"/>
        <w:widowControl w:val="0"/>
        <w:kinsoku/>
        <w:wordWrap/>
        <w:overflowPunct/>
        <w:topLinePunct w:val="0"/>
        <w:autoSpaceDE/>
        <w:autoSpaceDN/>
        <w:bidi w:val="0"/>
        <w:adjustRightInd/>
        <w:snapToGrid/>
        <w:spacing w:line="600" w:lineRule="exact"/>
        <w:ind w:firstLine="618" w:firstLineChars="0"/>
        <w:jc w:val="left"/>
        <w:textAlignment w:val="auto"/>
        <w:rPr>
          <w:rStyle w:val="20"/>
          <w:rFonts w:hint="default" w:ascii="楷体" w:hAnsi="楷体" w:eastAsia="楷体_GB2312" w:cs="楷体"/>
          <w:b w:val="0"/>
          <w:bCs w:val="0"/>
          <w:color w:val="auto"/>
          <w:spacing w:val="-6"/>
          <w:sz w:val="32"/>
          <w:szCs w:val="32"/>
          <w:highlight w:val="none"/>
          <w:lang w:val="en-US" w:eastAsia="en-US"/>
        </w:rPr>
      </w:pPr>
      <w:r>
        <w:rPr>
          <w:rStyle w:val="20"/>
          <w:rFonts w:hint="default" w:eastAsia="楷体_GB2312"/>
          <w:color w:val="auto"/>
          <w:spacing w:val="-6"/>
          <w:highlight w:val="none"/>
          <w:lang w:eastAsia="en-US"/>
        </w:rPr>
        <w:t>（</w:t>
      </w:r>
      <w:r>
        <w:rPr>
          <w:rStyle w:val="20"/>
          <w:rFonts w:hint="default" w:ascii="Times New Roman" w:hAnsi="Times New Roman" w:eastAsia="楷体_GB2312" w:cs="楷体_GB2312"/>
          <w:b w:val="0"/>
          <w:bCs w:val="0"/>
          <w:color w:val="auto"/>
          <w:spacing w:val="-6"/>
          <w:sz w:val="32"/>
          <w:szCs w:val="32"/>
          <w:highlight w:val="none"/>
          <w:lang w:val="en-US" w:eastAsia="en-US"/>
        </w:rPr>
        <w:t>三</w:t>
      </w:r>
      <w:r>
        <w:rPr>
          <w:rStyle w:val="20"/>
          <w:rFonts w:hint="default" w:eastAsia="楷体_GB2312"/>
          <w:color w:val="auto"/>
          <w:spacing w:val="-6"/>
          <w:highlight w:val="none"/>
          <w:lang w:eastAsia="en-US"/>
        </w:rPr>
        <w:t>）</w:t>
      </w:r>
      <w:r>
        <w:rPr>
          <w:rStyle w:val="20"/>
          <w:rFonts w:hint="default" w:ascii="Times New Roman" w:hAnsi="Times New Roman" w:eastAsia="楷体_GB2312" w:cs="楷体_GB2312"/>
          <w:b w:val="0"/>
          <w:bCs w:val="0"/>
          <w:color w:val="auto"/>
          <w:spacing w:val="-6"/>
          <w:sz w:val="32"/>
          <w:szCs w:val="32"/>
          <w:highlight w:val="none"/>
          <w:lang w:val="en-US" w:eastAsia="en-US"/>
        </w:rPr>
        <w:t>经营模式</w:t>
      </w:r>
    </w:p>
    <w:p>
      <w:pPr>
        <w:pStyle w:val="11"/>
        <w:widowControl/>
        <w:numPr>
          <w:ilvl w:val="0"/>
          <w:numId w:val="0"/>
        </w:numPr>
        <w:autoSpaceDE/>
        <w:autoSpaceDN/>
        <w:spacing w:line="600" w:lineRule="exact"/>
        <w:ind w:left="0" w:leftChars="0" w:firstLine="618" w:firstLineChars="0"/>
        <w:rPr>
          <w:rFonts w:hint="default" w:cs="仿宋_GB2312"/>
          <w:i w:val="0"/>
          <w:color w:val="auto"/>
          <w:sz w:val="32"/>
          <w:szCs w:val="32"/>
          <w:highlight w:val="none"/>
          <w:lang w:val="en-US" w:eastAsia="zh-CN"/>
        </w:rPr>
      </w:pPr>
      <w:r>
        <w:rPr>
          <w:rFonts w:hint="eastAsia" w:ascii="仿宋_GB2312" w:hAnsi="仿宋_GB2312" w:eastAsia="仿宋_GB2312" w:cs="仿宋_GB2312"/>
          <w:b w:val="0"/>
          <w:color w:val="auto"/>
          <w:sz w:val="32"/>
          <w:highlight w:val="none"/>
          <w:lang w:val="en-US" w:eastAsia="zh-CN"/>
        </w:rPr>
        <w:t>1.利用自动售货机或其他自动售货形式，销售或者变相销售烟草制品的</w:t>
      </w:r>
      <w:r>
        <w:rPr>
          <w:rFonts w:hint="eastAsia" w:ascii="仿宋_GB2312" w:hAnsi="仿宋_GB2312" w:eastAsia="仿宋_GB2312" w:cs="仿宋_GB2312"/>
          <w:b w:val="0"/>
          <w:bCs w:val="0"/>
          <w:color w:val="auto"/>
          <w:sz w:val="32"/>
          <w:highlight w:val="none"/>
          <w:lang w:val="en-US" w:eastAsia="zh-CN"/>
        </w:rPr>
        <w:t>（含无人现场值守的自助商店）</w:t>
      </w:r>
      <w:r>
        <w:rPr>
          <w:rFonts w:hint="eastAsia" w:ascii="仿宋_GB2312" w:hAnsi="仿宋_GB2312" w:cs="仿宋_GB2312"/>
          <w:b w:val="0"/>
          <w:bCs w:val="0"/>
          <w:color w:val="auto"/>
          <w:sz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18" w:firstLineChars="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2.利用信息网络渠道销售烟草制品的。</w:t>
      </w:r>
    </w:p>
    <w:p>
      <w:pPr>
        <w:widowControl w:val="0"/>
        <w:kinsoku/>
        <w:autoSpaceDE/>
        <w:autoSpaceDN/>
        <w:adjustRightInd/>
        <w:snapToGrid/>
        <w:spacing w:line="600" w:lineRule="exact"/>
        <w:ind w:left="0" w:leftChars="0" w:firstLine="618" w:firstLineChars="0"/>
        <w:textAlignment w:val="auto"/>
        <w:rPr>
          <w:rStyle w:val="20"/>
          <w:rFonts w:hint="default" w:eastAsia="楷体_GB2312" w:cs="仿宋_GB2312"/>
          <w:i w:val="0"/>
          <w:color w:val="auto"/>
          <w:spacing w:val="-6"/>
          <w:sz w:val="32"/>
          <w:szCs w:val="32"/>
          <w:highlight w:val="none"/>
          <w:lang w:eastAsia="en-US"/>
        </w:rPr>
      </w:pPr>
      <w:r>
        <w:rPr>
          <w:rStyle w:val="20"/>
          <w:rFonts w:hint="default" w:eastAsia="楷体_GB2312"/>
          <w:color w:val="auto"/>
          <w:spacing w:val="-6"/>
          <w:highlight w:val="none"/>
          <w:lang w:eastAsia="en-US"/>
        </w:rPr>
        <w:t>（</w:t>
      </w:r>
      <w:r>
        <w:rPr>
          <w:rStyle w:val="20"/>
          <w:rFonts w:hint="default" w:ascii="Times New Roman" w:hAnsi="Times New Roman" w:eastAsia="楷体_GB2312" w:cs="楷体_GB2312"/>
          <w:b w:val="0"/>
          <w:bCs w:val="0"/>
          <w:color w:val="auto"/>
          <w:spacing w:val="-6"/>
          <w:sz w:val="32"/>
          <w:szCs w:val="32"/>
          <w:highlight w:val="none"/>
          <w:lang w:val="en-US" w:eastAsia="en-US"/>
        </w:rPr>
        <w:t>四</w:t>
      </w:r>
      <w:r>
        <w:rPr>
          <w:rStyle w:val="20"/>
          <w:rFonts w:hint="default" w:eastAsia="楷体_GB2312"/>
          <w:color w:val="auto"/>
          <w:spacing w:val="-6"/>
          <w:highlight w:val="none"/>
          <w:lang w:eastAsia="en-US"/>
        </w:rPr>
        <w:t>）</w:t>
      </w:r>
      <w:r>
        <w:rPr>
          <w:rStyle w:val="20"/>
          <w:rFonts w:hint="default" w:ascii="Times New Roman" w:hAnsi="Times New Roman" w:eastAsia="楷体_GB2312" w:cs="楷体_GB2312"/>
          <w:b w:val="0"/>
          <w:bCs w:val="0"/>
          <w:color w:val="auto"/>
          <w:spacing w:val="-6"/>
          <w:sz w:val="32"/>
          <w:szCs w:val="32"/>
          <w:highlight w:val="none"/>
          <w:lang w:val="en-US" w:eastAsia="en-US"/>
        </w:rPr>
        <w:t>特殊区域</w:t>
      </w:r>
    </w:p>
    <w:p>
      <w:pPr>
        <w:pStyle w:val="11"/>
        <w:widowControl/>
        <w:numPr>
          <w:ilvl w:val="0"/>
          <w:numId w:val="0"/>
        </w:numPr>
        <w:autoSpaceDE/>
        <w:autoSpaceDN/>
        <w:spacing w:line="600" w:lineRule="exact"/>
        <w:ind w:left="0" w:leftChars="0" w:firstLine="618" w:firstLineChars="0"/>
        <w:rPr>
          <w:rFonts w:hint="eastAsia" w:ascii="仿宋_GB2312" w:hAnsi="仿宋_GB2312" w:eastAsia="仿宋_GB2312" w:cs="仿宋_GB2312"/>
          <w:b w:val="0"/>
          <w:i w:val="0"/>
          <w:color w:val="auto"/>
          <w:sz w:val="32"/>
          <w:szCs w:val="32"/>
          <w:highlight w:val="none"/>
        </w:rPr>
      </w:pPr>
      <w:r>
        <w:rPr>
          <w:rFonts w:hint="eastAsia" w:ascii="仿宋_GB2312" w:hAnsi="仿宋_GB2312" w:eastAsia="仿宋_GB2312" w:cs="仿宋_GB2312"/>
          <w:i w:val="0"/>
          <w:color w:val="auto"/>
          <w:sz w:val="32"/>
          <w:szCs w:val="32"/>
          <w:highlight w:val="none"/>
          <w:lang w:val="en-US" w:eastAsia="zh-CN"/>
        </w:rPr>
        <w:t>1.</w:t>
      </w:r>
      <w:r>
        <w:rPr>
          <w:rFonts w:hint="eastAsia" w:ascii="仿宋_GB2312" w:hAnsi="仿宋_GB2312" w:eastAsia="仿宋_GB2312" w:cs="仿宋_GB2312"/>
          <w:i w:val="0"/>
          <w:color w:val="auto"/>
          <w:sz w:val="32"/>
          <w:szCs w:val="32"/>
          <w:highlight w:val="none"/>
        </w:rPr>
        <w:t>位于</w:t>
      </w:r>
      <w:r>
        <w:rPr>
          <w:rFonts w:hint="eastAsia" w:ascii="仿宋_GB2312" w:hAnsi="仿宋_GB2312" w:cs="仿宋_GB2312"/>
          <w:i w:val="0"/>
          <w:color w:val="auto"/>
          <w:sz w:val="32"/>
          <w:szCs w:val="32"/>
          <w:highlight w:val="none"/>
          <w:lang w:eastAsia="zh-CN"/>
        </w:rPr>
        <w:t>普通</w:t>
      </w:r>
      <w:r>
        <w:rPr>
          <w:rFonts w:hint="eastAsia" w:ascii="仿宋_GB2312" w:hAnsi="仿宋_GB2312" w:eastAsia="仿宋_GB2312" w:cs="仿宋_GB2312"/>
          <w:i w:val="0"/>
          <w:color w:val="auto"/>
          <w:sz w:val="32"/>
          <w:szCs w:val="32"/>
          <w:highlight w:val="none"/>
        </w:rPr>
        <w:t>中小学校、特殊教育学校、中等职业学校、专门学校及幼儿园等以未成年人为教育对象的机构内部及</w:t>
      </w:r>
      <w:r>
        <w:rPr>
          <w:rFonts w:hint="eastAsia" w:ascii="仿宋_GB2312" w:hAnsi="仿宋_GB2312" w:cs="仿宋_GB2312"/>
          <w:i w:val="0"/>
          <w:color w:val="auto"/>
          <w:sz w:val="32"/>
          <w:szCs w:val="32"/>
          <w:highlight w:val="none"/>
          <w:lang w:eastAsia="zh-CN"/>
        </w:rPr>
        <w:t>进出通道口</w:t>
      </w:r>
      <w:r>
        <w:rPr>
          <w:rFonts w:hint="eastAsia" w:ascii="仿宋_GB2312" w:hAnsi="仿宋_GB2312" w:eastAsia="仿宋_GB2312" w:cs="仿宋_GB2312"/>
          <w:i w:val="0"/>
          <w:color w:val="auto"/>
          <w:sz w:val="32"/>
          <w:szCs w:val="32"/>
          <w:highlight w:val="none"/>
        </w:rPr>
        <w:t>城</w:t>
      </w:r>
      <w:r>
        <w:rPr>
          <w:rFonts w:hint="eastAsia" w:ascii="仿宋_GB2312" w:hAnsi="仿宋_GB2312" w:cs="仿宋_GB2312"/>
          <w:i w:val="0"/>
          <w:color w:val="auto"/>
          <w:sz w:val="32"/>
          <w:szCs w:val="32"/>
          <w:highlight w:val="none"/>
          <w:lang w:eastAsia="zh-CN"/>
        </w:rPr>
        <w:t>区（包含城乡结合部）</w:t>
      </w:r>
      <w:r>
        <w:rPr>
          <w:rFonts w:hint="eastAsia" w:ascii="仿宋_GB2312" w:hAnsi="仿宋_GB2312" w:eastAsia="仿宋_GB2312" w:cs="仿宋_GB2312"/>
          <w:i w:val="0"/>
          <w:color w:val="auto"/>
          <w:sz w:val="32"/>
          <w:szCs w:val="32"/>
          <w:highlight w:val="none"/>
          <w:lang w:val="en-US" w:eastAsia="zh-CN"/>
        </w:rPr>
        <w:t>100</w:t>
      </w:r>
      <w:r>
        <w:rPr>
          <w:rFonts w:hint="eastAsia" w:ascii="仿宋_GB2312" w:hAnsi="仿宋_GB2312" w:eastAsia="仿宋_GB2312" w:cs="仿宋_GB2312"/>
          <w:i w:val="0"/>
          <w:color w:val="auto"/>
          <w:sz w:val="32"/>
          <w:szCs w:val="32"/>
          <w:highlight w:val="none"/>
        </w:rPr>
        <w:t>米、</w:t>
      </w:r>
      <w:r>
        <w:rPr>
          <w:rFonts w:hint="eastAsia" w:ascii="仿宋_GB2312" w:hAnsi="仿宋_GB2312" w:cs="仿宋_GB2312"/>
          <w:i w:val="0"/>
          <w:color w:val="auto"/>
          <w:sz w:val="32"/>
          <w:szCs w:val="32"/>
          <w:highlight w:val="none"/>
          <w:lang w:eastAsia="zh-CN"/>
        </w:rPr>
        <w:t>农村</w:t>
      </w:r>
      <w:r>
        <w:rPr>
          <w:rFonts w:hint="eastAsia" w:ascii="仿宋_GB2312" w:hAnsi="仿宋_GB2312" w:eastAsia="仿宋_GB2312" w:cs="仿宋_GB2312"/>
          <w:i w:val="0"/>
          <w:color w:val="auto"/>
          <w:sz w:val="32"/>
          <w:szCs w:val="32"/>
          <w:highlight w:val="none"/>
          <w:lang w:val="en-US" w:eastAsia="zh-CN"/>
        </w:rPr>
        <w:t>50</w:t>
      </w:r>
      <w:r>
        <w:rPr>
          <w:rFonts w:hint="eastAsia" w:ascii="仿宋_GB2312" w:hAnsi="仿宋_GB2312" w:eastAsia="仿宋_GB2312" w:cs="仿宋_GB2312"/>
          <w:i w:val="0"/>
          <w:color w:val="auto"/>
          <w:sz w:val="32"/>
          <w:szCs w:val="32"/>
          <w:highlight w:val="none"/>
        </w:rPr>
        <w:t>米范围</w:t>
      </w:r>
      <w:r>
        <w:rPr>
          <w:rFonts w:hint="eastAsia" w:ascii="仿宋_GB2312" w:hAnsi="仿宋_GB2312" w:cs="仿宋_GB2312"/>
          <w:i w:val="0"/>
          <w:color w:val="auto"/>
          <w:sz w:val="32"/>
          <w:szCs w:val="32"/>
          <w:highlight w:val="none"/>
          <w:lang w:eastAsia="zh-CN"/>
        </w:rPr>
        <w:t>以</w:t>
      </w:r>
      <w:r>
        <w:rPr>
          <w:rFonts w:hint="eastAsia" w:ascii="仿宋_GB2312" w:hAnsi="仿宋_GB2312" w:eastAsia="仿宋_GB2312" w:cs="仿宋_GB2312"/>
          <w:i w:val="0"/>
          <w:color w:val="auto"/>
          <w:sz w:val="32"/>
          <w:szCs w:val="32"/>
          <w:highlight w:val="none"/>
        </w:rPr>
        <w:t>内的。</w:t>
      </w:r>
    </w:p>
    <w:p>
      <w:pPr>
        <w:pStyle w:val="11"/>
        <w:keepNext w:val="0"/>
        <w:keepLines w:val="0"/>
        <w:pageBreakBefore w:val="0"/>
        <w:numPr>
          <w:ilvl w:val="0"/>
          <w:numId w:val="0"/>
        </w:numPr>
        <w:wordWrap/>
        <w:overflowPunct/>
        <w:topLinePunct w:val="0"/>
        <w:bidi w:val="0"/>
        <w:spacing w:before="8" w:line="560" w:lineRule="exact"/>
        <w:ind w:right="146" w:rightChars="0" w:firstLine="616" w:firstLineChars="200"/>
        <w:jc w:val="left"/>
        <w:rPr>
          <w:rFonts w:hint="eastAsia" w:ascii="仿宋_GB2312" w:hAnsi="仿宋_GB2312" w:eastAsia="仿宋_GB2312" w:cs="仿宋_GB2312"/>
          <w:i w:val="0"/>
          <w:color w:val="auto"/>
          <w:sz w:val="32"/>
          <w:szCs w:val="32"/>
          <w:highlight w:val="none"/>
          <w:lang w:eastAsia="zh-CN"/>
        </w:rPr>
      </w:pPr>
      <w:r>
        <w:rPr>
          <w:rFonts w:hint="eastAsia" w:ascii="仿宋_GB2312" w:hAnsi="仿宋_GB2312" w:eastAsia="仿宋_GB2312" w:cs="仿宋_GB2312"/>
          <w:i w:val="0"/>
          <w:color w:val="auto"/>
          <w:sz w:val="32"/>
          <w:szCs w:val="32"/>
          <w:highlight w:val="none"/>
          <w:lang w:val="en-US" w:eastAsia="zh-CN"/>
        </w:rPr>
        <w:t>2.</w:t>
      </w:r>
      <w:r>
        <w:rPr>
          <w:rFonts w:hint="eastAsia" w:ascii="仿宋_GB2312" w:hAnsi="仿宋_GB2312" w:eastAsia="仿宋_GB2312" w:cs="仿宋_GB2312"/>
          <w:i w:val="0"/>
          <w:color w:val="auto"/>
          <w:sz w:val="32"/>
          <w:szCs w:val="32"/>
          <w:highlight w:val="none"/>
        </w:rPr>
        <w:t>经营场所位于国家机关、党政机关、政务服务中心、公共资源交易中心</w:t>
      </w:r>
      <w:r>
        <w:rPr>
          <w:rFonts w:hint="eastAsia" w:ascii="仿宋_GB2312" w:hAnsi="仿宋_GB2312" w:eastAsia="仿宋_GB2312" w:cs="仿宋_GB2312"/>
          <w:i w:val="0"/>
          <w:color w:val="auto"/>
          <w:sz w:val="32"/>
          <w:szCs w:val="32"/>
          <w:highlight w:val="none"/>
          <w:lang w:eastAsia="zh-CN"/>
        </w:rPr>
        <w:t>、</w:t>
      </w:r>
      <w:r>
        <w:rPr>
          <w:rFonts w:hint="eastAsia" w:ascii="仿宋_GB2312" w:hAnsi="仿宋_GB2312" w:eastAsia="仿宋_GB2312" w:cs="仿宋_GB2312"/>
          <w:b w:val="0"/>
          <w:color w:val="auto"/>
          <w:sz w:val="32"/>
          <w:highlight w:val="none"/>
          <w:lang w:val="en-US" w:eastAsia="zh-CN"/>
        </w:rPr>
        <w:t>医疗卫生机构内部</w:t>
      </w:r>
      <w:r>
        <w:rPr>
          <w:rFonts w:hint="eastAsia" w:ascii="仿宋_GB2312" w:hAnsi="仿宋_GB2312" w:eastAsia="仿宋_GB2312" w:cs="仿宋_GB2312"/>
          <w:i w:val="0"/>
          <w:color w:val="auto"/>
          <w:sz w:val="32"/>
          <w:szCs w:val="32"/>
          <w:highlight w:val="none"/>
        </w:rPr>
        <w:t>等明文规定不得设置零售点的场所</w:t>
      </w:r>
      <w:r>
        <w:rPr>
          <w:rFonts w:hint="eastAsia" w:ascii="仿宋_GB2312" w:hAnsi="仿宋_GB2312" w:eastAsia="仿宋_GB2312" w:cs="仿宋_GB2312"/>
          <w:i w:val="0"/>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i w:val="0"/>
          <w:color w:val="auto"/>
          <w:sz w:val="32"/>
          <w:szCs w:val="32"/>
          <w:highlight w:val="none"/>
          <w:lang w:val="en-US" w:eastAsia="zh-CN"/>
        </w:rPr>
        <w:t>3.主营业务属于专业性较强、与烟草制品零售业务无直接或间接互补营销关系的经营业态</w:t>
      </w:r>
      <w:r>
        <w:rPr>
          <w:rFonts w:hint="default" w:ascii="CESI仿宋-GB2312" w:hAnsi="CESI仿宋-GB2312" w:eastAsia="CESI仿宋-GB2312" w:cs="CESI仿宋-GB2312"/>
          <w:sz w:val="30"/>
          <w:szCs w:val="30"/>
          <w:highlight w:val="none"/>
          <w:lang w:val="en-US" w:eastAsia="zh-CN"/>
        </w:rPr>
        <w:t>。</w:t>
      </w:r>
      <w:r>
        <w:rPr>
          <w:rFonts w:hint="eastAsia" w:ascii="仿宋_GB2312" w:hAnsi="仿宋_GB2312" w:eastAsia="仿宋_GB2312" w:cs="仿宋_GB2312"/>
          <w:b w:val="0"/>
          <w:color w:val="auto"/>
          <w:sz w:val="32"/>
          <w:highlight w:val="none"/>
          <w:lang w:val="en-US" w:eastAsia="zh-CN"/>
        </w:rPr>
        <w:t>如母婴用品、文具、玩具、五金建材、建筑装潢、美容美发、化妆品店、药妆医械、中草药售卖、宠物店、文化体育用品、音像制品、家电家具、修理修配、洗涤护理、服装制售、鞋帽箱包、寄卖典当、古董店、汽车相关（维修、销售、美容等）、殡葬用品店、成人用品店等。</w:t>
      </w:r>
    </w:p>
    <w:p>
      <w:pPr>
        <w:pStyle w:val="11"/>
        <w:keepNext w:val="0"/>
        <w:keepLines w:val="0"/>
        <w:pageBreakBefore w:val="0"/>
        <w:numPr>
          <w:ilvl w:val="0"/>
          <w:numId w:val="0"/>
        </w:numPr>
        <w:wordWrap/>
        <w:overflowPunct/>
        <w:topLinePunct w:val="0"/>
        <w:autoSpaceDE/>
        <w:autoSpaceDN/>
        <w:bidi w:val="0"/>
        <w:spacing w:before="8" w:line="600" w:lineRule="exact"/>
        <w:ind w:right="146" w:rightChars="0" w:firstLine="618" w:firstLineChars="0"/>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容易诱导未成年人关注、购买、吸食卷烟的经营场所包括但不限于母婴用品店、文具店（以学生、家长为主要消费群体，主营商品为文具、学习用品等）、玩具店、</w:t>
      </w:r>
      <w:r>
        <w:rPr>
          <w:rFonts w:hint="eastAsia" w:ascii="仿宋_GB2312" w:hAnsi="仿宋_GB2312" w:cs="仿宋_GB2312"/>
          <w:color w:val="auto"/>
          <w:sz w:val="32"/>
          <w:szCs w:val="32"/>
          <w:highlight w:val="none"/>
          <w:lang w:eastAsia="zh-CN"/>
        </w:rPr>
        <w:t>儿童</w:t>
      </w:r>
      <w:r>
        <w:rPr>
          <w:rFonts w:hint="eastAsia" w:ascii="仿宋_GB2312" w:hAnsi="仿宋_GB2312" w:eastAsia="仿宋_GB2312" w:cs="仿宋_GB2312"/>
          <w:color w:val="auto"/>
          <w:sz w:val="32"/>
          <w:szCs w:val="32"/>
          <w:highlight w:val="none"/>
          <w:lang w:eastAsia="zh-CN"/>
        </w:rPr>
        <w:t>游乐场所、早教中心、辅导班、托幼机构、儿童社会福利机构、青少年活动中心、青少年教育培训机构、自习室和其他可能对未成年人身心健康造成不良影响的场所。</w:t>
      </w:r>
    </w:p>
    <w:p>
      <w:pPr>
        <w:keepNext w:val="0"/>
        <w:keepLines w:val="0"/>
        <w:pageBreakBefore w:val="0"/>
        <w:widowControl w:val="0"/>
        <w:kinsoku/>
        <w:wordWrap/>
        <w:overflowPunct/>
        <w:topLinePunct w:val="0"/>
        <w:autoSpaceDE/>
        <w:autoSpaceDN/>
        <w:bidi w:val="0"/>
        <w:adjustRightInd/>
        <w:snapToGrid/>
        <w:spacing w:line="600" w:lineRule="exact"/>
        <w:ind w:firstLine="618" w:firstLineChars="0"/>
        <w:jc w:val="both"/>
        <w:textAlignment w:val="auto"/>
        <w:rPr>
          <w:rFonts w:hint="eastAsia" w:ascii="仿宋_GB2312" w:hAnsi="仿宋_GB2312" w:cs="仿宋_GB2312"/>
          <w:color w:val="auto"/>
          <w:sz w:val="32"/>
          <w:szCs w:val="32"/>
          <w:highlight w:val="none"/>
          <w:lang w:eastAsia="zh-CN"/>
        </w:rPr>
      </w:pPr>
      <w:r>
        <w:rPr>
          <w:rFonts w:hint="eastAsia" w:ascii="仿宋_GB2312" w:hAnsi="仿宋_GB2312" w:eastAsia="仿宋_GB2312" w:cs="仿宋_GB2312"/>
          <w:b w:val="0"/>
          <w:color w:val="auto"/>
          <w:spacing w:val="-6"/>
          <w:sz w:val="32"/>
          <w:szCs w:val="32"/>
          <w:highlight w:val="none"/>
          <w:lang w:val="en-US" w:eastAsia="zh-CN"/>
        </w:rPr>
        <w:t>5.法律、法规、规章和国家烟草专卖局规定的其他不予发证的情形，以及当地烟草专卖局依照规定设定的不予设置零售点的其他情形。</w:t>
      </w:r>
    </w:p>
    <w:p>
      <w:pPr>
        <w:pStyle w:val="19"/>
        <w:widowControl/>
        <w:shd w:val="clear" w:fill="FFFFFF"/>
        <w:rPr>
          <w:highlight w:val="none"/>
        </w:rPr>
      </w:pPr>
      <w:r>
        <w:rPr>
          <w:highlight w:val="none"/>
        </w:rPr>
        <w:t>第</w:t>
      </w:r>
      <w:r>
        <w:rPr>
          <w:rFonts w:hint="eastAsia"/>
          <w:highlight w:val="none"/>
          <w:lang w:eastAsia="zh-CN"/>
        </w:rPr>
        <w:t>三</w:t>
      </w:r>
      <w:r>
        <w:rPr>
          <w:highlight w:val="none"/>
        </w:rPr>
        <w:t>章　放宽情形</w:t>
      </w:r>
    </w:p>
    <w:p>
      <w:pPr>
        <w:pStyle w:val="15"/>
        <w:keepNext w:val="0"/>
        <w:keepLines w:val="0"/>
        <w:widowControl/>
        <w:suppressLineNumbers w:val="0"/>
        <w:shd w:val="clear" w:fill="FFFFFF"/>
        <w:autoSpaceDE/>
        <w:autoSpaceDN/>
        <w:spacing w:before="0" w:beforeAutospacing="0" w:after="0" w:afterAutospacing="0" w:line="600" w:lineRule="exact"/>
        <w:ind w:left="0" w:right="0" w:firstLine="618" w:firstLineChars="0"/>
        <w:rPr>
          <w:rFonts w:ascii="Times New Roman" w:hAnsi="Times New Roman" w:eastAsia="仿宋_GB2312" w:cs="仿宋_GB2312"/>
          <w:i w:val="0"/>
          <w:iCs w:val="0"/>
          <w:caps w:val="0"/>
          <w:color w:val="auto"/>
          <w:spacing w:val="-6"/>
          <w:sz w:val="32"/>
          <w:szCs w:val="32"/>
          <w:highlight w:val="none"/>
        </w:rPr>
      </w:pPr>
      <w:r>
        <w:rPr>
          <w:rFonts w:ascii="Times New Roman" w:hAnsi="Times New Roman" w:eastAsia="仿宋_GB2312" w:cs="仿宋_GB2312"/>
          <w:b/>
          <w:i w:val="0"/>
          <w:color w:val="0F1115"/>
          <w:sz w:val="32"/>
          <w:szCs w:val="32"/>
          <w:highlight w:val="none"/>
        </w:rPr>
        <w:t>第十</w:t>
      </w:r>
      <w:r>
        <w:rPr>
          <w:rFonts w:hint="eastAsia" w:ascii="Times New Roman" w:hAnsi="Times New Roman" w:eastAsia="仿宋_GB2312" w:cs="仿宋_GB2312"/>
          <w:b/>
          <w:i w:val="0"/>
          <w:color w:val="0F1115"/>
          <w:sz w:val="32"/>
          <w:szCs w:val="32"/>
          <w:highlight w:val="none"/>
          <w:lang w:val="en-US" w:eastAsia="zh-CN"/>
        </w:rPr>
        <w:t>一</w:t>
      </w:r>
      <w:r>
        <w:rPr>
          <w:rFonts w:ascii="Times New Roman" w:hAnsi="Times New Roman" w:eastAsia="仿宋_GB2312" w:cs="仿宋_GB2312"/>
          <w:b/>
          <w:i w:val="0"/>
          <w:color w:val="0F1115"/>
          <w:sz w:val="32"/>
          <w:szCs w:val="32"/>
          <w:highlight w:val="none"/>
        </w:rPr>
        <w:t>条</w:t>
      </w:r>
      <w:r>
        <w:rPr>
          <w:rFonts w:hint="eastAsia" w:ascii="Times New Roman" w:hAnsi="Times New Roman" w:eastAsia="仿宋_GB2312" w:cs="仿宋_GB2312"/>
          <w:b/>
          <w:i w:val="0"/>
          <w:color w:val="0F1115"/>
          <w:sz w:val="32"/>
          <w:szCs w:val="32"/>
          <w:highlight w:val="none"/>
          <w:lang w:val="en-US" w:eastAsia="zh-CN"/>
        </w:rPr>
        <w:t xml:space="preserve"> </w:t>
      </w:r>
      <w:r>
        <w:rPr>
          <w:rFonts w:hint="default" w:ascii="Times New Roman" w:hAnsi="Times New Roman" w:eastAsia="仿宋_GB2312" w:cs="仿宋_GB2312"/>
          <w:i w:val="0"/>
          <w:iCs w:val="0"/>
          <w:caps w:val="0"/>
          <w:color w:val="auto"/>
          <w:spacing w:val="-6"/>
          <w:sz w:val="32"/>
          <w:szCs w:val="32"/>
          <w:highlight w:val="none"/>
          <w:shd w:val="clear" w:fill="auto"/>
        </w:rPr>
        <w:t>符合下列情形之一的，数量不予放宽，间隔距离放</w:t>
      </w:r>
      <w:r>
        <w:rPr>
          <w:rFonts w:hint="eastAsia" w:ascii="仿宋_GB2312" w:hAnsi="仿宋_GB2312" w:eastAsia="仿宋_GB2312" w:cs="仿宋_GB2312"/>
          <w:i w:val="0"/>
          <w:iCs w:val="0"/>
          <w:caps w:val="0"/>
          <w:color w:val="auto"/>
          <w:spacing w:val="-6"/>
          <w:sz w:val="32"/>
          <w:szCs w:val="32"/>
          <w:highlight w:val="none"/>
          <w:shd w:val="clear" w:fill="auto"/>
        </w:rPr>
        <w:t>宽50%：</w:t>
      </w:r>
    </w:p>
    <w:p>
      <w:pPr>
        <w:pStyle w:val="15"/>
        <w:keepNext w:val="0"/>
        <w:keepLines w:val="0"/>
        <w:widowControl/>
        <w:suppressLineNumbers w:val="0"/>
        <w:shd w:val="clear" w:fill="FFFFFF"/>
        <w:autoSpaceDE/>
        <w:autoSpaceDN/>
        <w:spacing w:before="0" w:beforeAutospacing="0" w:after="0" w:afterAutospacing="0" w:line="600" w:lineRule="exact"/>
        <w:ind w:left="0" w:right="0" w:firstLine="618" w:firstLineChars="0"/>
        <w:rPr>
          <w:rFonts w:hint="eastAsia" w:ascii="Times New Roman" w:hAnsi="Times New Roman" w:eastAsia="仿宋_GB2312" w:cs="仿宋_GB2312"/>
          <w:i w:val="0"/>
          <w:iCs w:val="0"/>
          <w:caps w:val="0"/>
          <w:color w:val="auto"/>
          <w:spacing w:val="-6"/>
          <w:sz w:val="32"/>
          <w:szCs w:val="32"/>
          <w:highlight w:val="none"/>
          <w:lang w:eastAsia="zh-CN"/>
        </w:rPr>
      </w:pPr>
      <w:r>
        <w:rPr>
          <w:rFonts w:hint="default" w:ascii="Times New Roman" w:hAnsi="Times New Roman" w:eastAsia="仿宋_GB2312" w:cs="仿宋_GB2312"/>
          <w:i w:val="0"/>
          <w:iCs w:val="0"/>
          <w:caps w:val="0"/>
          <w:color w:val="auto"/>
          <w:spacing w:val="-6"/>
          <w:sz w:val="32"/>
          <w:szCs w:val="32"/>
          <w:highlight w:val="none"/>
          <w:shd w:val="clear" w:fill="auto"/>
        </w:rPr>
        <w:t>（一）持有三级以上（含三级）残疾人证（含视力残疾、听力残疾、言语残疾或肢体残疾）的个体工商户，本人首次申请办理烟草专卖零售许可证的</w:t>
      </w:r>
      <w:r>
        <w:rPr>
          <w:rFonts w:hint="eastAsia" w:ascii="Times New Roman" w:hAnsi="Times New Roman" w:eastAsia="仿宋_GB2312" w:cs="仿宋_GB2312"/>
          <w:i w:val="0"/>
          <w:iCs w:val="0"/>
          <w:caps w:val="0"/>
          <w:color w:val="auto"/>
          <w:spacing w:val="-6"/>
          <w:sz w:val="32"/>
          <w:szCs w:val="32"/>
          <w:highlight w:val="none"/>
          <w:shd w:val="clear" w:fill="auto"/>
          <w:lang w:eastAsia="zh-CN"/>
        </w:rPr>
        <w:t>。</w:t>
      </w:r>
    </w:p>
    <w:p>
      <w:pPr>
        <w:pStyle w:val="15"/>
        <w:keepNext w:val="0"/>
        <w:keepLines w:val="0"/>
        <w:widowControl/>
        <w:suppressLineNumbers w:val="0"/>
        <w:shd w:val="clear" w:fill="FFFFFF"/>
        <w:autoSpaceDE/>
        <w:autoSpaceDN/>
        <w:spacing w:before="0" w:beforeAutospacing="0" w:after="0" w:afterAutospacing="0" w:line="600" w:lineRule="exact"/>
        <w:ind w:left="0" w:right="0" w:firstLine="618" w:firstLineChars="0"/>
        <w:rPr>
          <w:rFonts w:hint="eastAsia" w:ascii="Times New Roman" w:hAnsi="Times New Roman" w:eastAsia="仿宋_GB2312" w:cs="仿宋_GB2312"/>
          <w:i w:val="0"/>
          <w:iCs w:val="0"/>
          <w:caps w:val="0"/>
          <w:color w:val="auto"/>
          <w:spacing w:val="-6"/>
          <w:sz w:val="32"/>
          <w:szCs w:val="32"/>
          <w:highlight w:val="none"/>
          <w:lang w:eastAsia="zh-CN"/>
        </w:rPr>
      </w:pPr>
      <w:r>
        <w:rPr>
          <w:rFonts w:hint="default" w:ascii="Times New Roman" w:hAnsi="Times New Roman" w:eastAsia="仿宋_GB2312" w:cs="仿宋_GB2312"/>
          <w:i w:val="0"/>
          <w:iCs w:val="0"/>
          <w:caps w:val="0"/>
          <w:color w:val="auto"/>
          <w:spacing w:val="-6"/>
          <w:sz w:val="32"/>
          <w:szCs w:val="32"/>
          <w:highlight w:val="none"/>
          <w:shd w:val="clear" w:fill="auto"/>
        </w:rPr>
        <w:t>（二）持有本县户籍且两年内未落实就业的退役军人，本人首次申请办理烟草专卖零售许可证的</w:t>
      </w:r>
      <w:r>
        <w:rPr>
          <w:rFonts w:hint="eastAsia" w:ascii="Times New Roman" w:hAnsi="Times New Roman" w:eastAsia="仿宋_GB2312" w:cs="仿宋_GB2312"/>
          <w:i w:val="0"/>
          <w:iCs w:val="0"/>
          <w:caps w:val="0"/>
          <w:color w:val="auto"/>
          <w:spacing w:val="-6"/>
          <w:sz w:val="32"/>
          <w:szCs w:val="32"/>
          <w:highlight w:val="none"/>
          <w:shd w:val="clear" w:fill="auto"/>
          <w:lang w:eastAsia="zh-CN"/>
        </w:rPr>
        <w:t>。</w:t>
      </w:r>
    </w:p>
    <w:p>
      <w:pPr>
        <w:pStyle w:val="15"/>
        <w:widowControl/>
        <w:shd w:val="clear" w:fill="FFFFFF"/>
        <w:autoSpaceDE/>
        <w:autoSpaceDN/>
        <w:spacing w:line="600" w:lineRule="exact"/>
        <w:ind w:firstLine="618" w:firstLineChars="0"/>
        <w:rPr>
          <w:rFonts w:hint="default" w:ascii="Times New Roman" w:hAnsi="Times New Roman" w:eastAsia="仿宋_GB2312" w:cs="仿宋_GB2312"/>
          <w:i w:val="0"/>
          <w:iCs w:val="0"/>
          <w:caps w:val="0"/>
          <w:color w:val="auto"/>
          <w:spacing w:val="-6"/>
          <w:sz w:val="32"/>
          <w:szCs w:val="32"/>
          <w:highlight w:val="none"/>
          <w:shd w:val="clear" w:fill="auto"/>
        </w:rPr>
      </w:pPr>
      <w:r>
        <w:rPr>
          <w:rFonts w:hint="default" w:ascii="Times New Roman" w:hAnsi="Times New Roman" w:eastAsia="仿宋_GB2312" w:cs="仿宋_GB2312"/>
          <w:i w:val="0"/>
          <w:iCs w:val="0"/>
          <w:caps w:val="0"/>
          <w:color w:val="auto"/>
          <w:spacing w:val="-6"/>
          <w:sz w:val="32"/>
          <w:szCs w:val="32"/>
          <w:highlight w:val="none"/>
          <w:shd w:val="clear" w:fill="auto"/>
        </w:rPr>
        <w:t>（三）国家或当地政府明文规定给予政策扶持并经属地烟草专卖局集体研究认为可以扶持照顾的对象，本人首次申请办理烟草专卖零售许可证的。</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right="0" w:firstLine="616" w:firstLineChars="200"/>
        <w:jc w:val="left"/>
        <w:textAlignment w:val="auto"/>
        <w:rPr>
          <w:rFonts w:hint="default" w:ascii="Times New Roman" w:hAnsi="Times New Roman" w:eastAsia="仿宋_GB2312" w:cs="仿宋_GB2312"/>
          <w:i w:val="0"/>
          <w:iCs w:val="0"/>
          <w:caps w:val="0"/>
          <w:color w:val="auto"/>
          <w:spacing wpsCustomData:val="-6" w:val="-6"/>
          <w:sz w:val="32"/>
          <w:szCs w:val="32"/>
          <w:highlight w:val="none"/>
          <w:shd w:val="clear" w:fill="auto"/>
          <w:lang w:val="en-US" w:eastAsia="zh-CN"/>
        </w:rPr>
      </w:pPr>
      <w:r>
        <w:rPr>
          <w:rFonts w:hint="eastAsia" w:ascii="仿宋_GB2312" w:hAnsi="仿宋_GB2312" w:eastAsia="仿宋_GB2312" w:cs="仿宋_GB2312"/>
          <w:i w:val="0"/>
          <w:iCs w:val="0"/>
          <w:caps w:val="0"/>
          <w:color w:val="auto"/>
          <w:spacing wpsCustomData:val="-6" w:val="-6"/>
          <w:sz w:val="32"/>
          <w:szCs w:val="32"/>
          <w:highlight w:val="none"/>
          <w:shd w:val="clear" w:fill="auto"/>
          <w:lang w:eastAsia="zh-CN"/>
        </w:rPr>
        <w:t>以上情形对经营场所基于安全要求及中小学、幼儿园周围的限制规定等不得放宽。</w:t>
      </w:r>
      <w:r>
        <w:rPr>
          <w:rFonts w:hint="eastAsia" w:ascii="仿宋_GB2312" w:hAnsi="仿宋_GB2312" w:eastAsia="仿宋_GB2312" w:cs="仿宋_GB2312"/>
          <w:b w:val="0"/>
          <w:bCs w:val="0"/>
          <w:color w:val="auto"/>
          <w:sz w:val="32"/>
          <w:szCs w:val="32"/>
          <w:highlight w:val="none"/>
          <w:lang w:val="en-US" w:eastAsia="zh-CN"/>
        </w:rPr>
        <w:t>符合本条款放宽情形办理的零售点，应作为新增</w:t>
      </w:r>
      <w:r>
        <w:rPr>
          <w:rFonts w:hint="default" w:ascii="Times New Roman" w:hAnsi="Times New Roman" w:eastAsia="仿宋_GB2312" w:cs="仿宋_GB2312"/>
          <w:i w:val="0"/>
          <w:iCs w:val="0"/>
          <w:caps w:val="0"/>
          <w:color w:val="auto"/>
          <w:spacing w:val="-6"/>
          <w:sz w:val="32"/>
          <w:szCs w:val="32"/>
          <w:highlight w:val="none"/>
          <w:shd w:val="clear" w:fill="auto"/>
        </w:rPr>
        <w:t>零售点数量、间距的参照物。</w:t>
      </w:r>
    </w:p>
    <w:p>
      <w:pPr>
        <w:pStyle w:val="11"/>
        <w:widowControl/>
        <w:autoSpaceDE/>
        <w:autoSpaceDN/>
        <w:spacing w:line="600" w:lineRule="exact"/>
        <w:ind w:firstLine="618" w:firstLineChars="0"/>
        <w:rPr>
          <w:rFonts w:hint="eastAsia" w:ascii="仿宋_GB2312" w:hAnsi="仿宋_GB2312" w:eastAsia="仿宋_GB2312" w:cs="仿宋_GB2312"/>
          <w:i w:val="0"/>
          <w:color w:val="auto"/>
          <w:sz w:val="32"/>
          <w:szCs w:val="32"/>
          <w:highlight w:val="none"/>
          <w:lang w:eastAsia="zh-CN"/>
        </w:rPr>
      </w:pPr>
      <w:r>
        <w:rPr>
          <w:rFonts w:hint="eastAsia" w:ascii="仿宋_GB2312" w:hAnsi="仿宋_GB2312" w:eastAsia="仿宋_GB2312" w:cs="仿宋_GB2312"/>
          <w:b/>
          <w:i w:val="0"/>
          <w:color w:val="auto"/>
          <w:sz w:val="32"/>
          <w:szCs w:val="32"/>
          <w:highlight w:val="none"/>
        </w:rPr>
        <w:t>第十</w:t>
      </w:r>
      <w:r>
        <w:rPr>
          <w:rFonts w:hint="eastAsia" w:ascii="仿宋_GB2312" w:hAnsi="仿宋_GB2312" w:eastAsia="仿宋_GB2312" w:cs="仿宋_GB2312"/>
          <w:b/>
          <w:i w:val="0"/>
          <w:color w:val="auto"/>
          <w:sz w:val="32"/>
          <w:szCs w:val="32"/>
          <w:highlight w:val="none"/>
          <w:lang w:val="en-US" w:eastAsia="zh-CN"/>
        </w:rPr>
        <w:t>二</w:t>
      </w:r>
      <w:r>
        <w:rPr>
          <w:rFonts w:hint="eastAsia" w:ascii="仿宋_GB2312" w:hAnsi="仿宋_GB2312" w:eastAsia="仿宋_GB2312" w:cs="仿宋_GB2312"/>
          <w:b/>
          <w:i w:val="0"/>
          <w:color w:val="auto"/>
          <w:sz w:val="32"/>
          <w:szCs w:val="32"/>
          <w:highlight w:val="none"/>
        </w:rPr>
        <w:t>条</w:t>
      </w:r>
      <w:r>
        <w:rPr>
          <w:rFonts w:hint="eastAsia" w:ascii="仿宋_GB2312" w:hAnsi="仿宋_GB2312" w:cs="仿宋_GB2312"/>
          <w:b/>
          <w:i w:val="0"/>
          <w:color w:val="auto"/>
          <w:sz w:val="32"/>
          <w:szCs w:val="32"/>
          <w:highlight w:val="none"/>
          <w:lang w:val="en-US" w:eastAsia="zh-CN"/>
        </w:rPr>
        <w:t xml:space="preserve"> </w:t>
      </w:r>
      <w:r>
        <w:rPr>
          <w:rFonts w:hint="eastAsia" w:ascii="仿宋_GB2312" w:hAnsi="仿宋_GB2312" w:eastAsia="仿宋_GB2312" w:cs="仿宋_GB2312"/>
          <w:i w:val="0"/>
          <w:color w:val="auto"/>
          <w:sz w:val="32"/>
          <w:szCs w:val="32"/>
          <w:highlight w:val="none"/>
        </w:rPr>
        <w:t>符合下列情形之一的，可将零售点</w:t>
      </w:r>
      <w:r>
        <w:rPr>
          <w:rFonts w:hint="eastAsia" w:ascii="仿宋_GB2312" w:hAnsi="仿宋_GB2312" w:cs="仿宋_GB2312"/>
          <w:i w:val="0"/>
          <w:color w:val="auto"/>
          <w:sz w:val="32"/>
          <w:szCs w:val="32"/>
          <w:highlight w:val="none"/>
          <w:lang w:eastAsia="zh-CN"/>
        </w:rPr>
        <w:t>数量</w:t>
      </w:r>
      <w:r>
        <w:rPr>
          <w:rFonts w:hint="eastAsia" w:ascii="仿宋_GB2312" w:hAnsi="仿宋_GB2312" w:eastAsia="仿宋_GB2312" w:cs="仿宋_GB2312"/>
          <w:i w:val="0"/>
          <w:color w:val="auto"/>
          <w:sz w:val="32"/>
          <w:szCs w:val="32"/>
          <w:highlight w:val="none"/>
        </w:rPr>
        <w:t>上限放宽</w:t>
      </w:r>
      <w:r>
        <w:rPr>
          <w:rFonts w:hint="eastAsia" w:ascii="仿宋_GB2312" w:hAnsi="仿宋_GB2312" w:eastAsia="仿宋_GB2312" w:cs="仿宋_GB2312"/>
          <w:i w:val="0"/>
          <w:color w:val="auto"/>
          <w:sz w:val="32"/>
          <w:szCs w:val="32"/>
          <w:highlight w:val="none"/>
          <w:lang w:val="en-US" w:eastAsia="zh-CN"/>
        </w:rPr>
        <w:t>30</w:t>
      </w:r>
      <w:r>
        <w:rPr>
          <w:rFonts w:hint="eastAsia" w:ascii="仿宋_GB2312" w:hAnsi="仿宋_GB2312" w:eastAsia="仿宋_GB2312" w:cs="仿宋_GB2312"/>
          <w:i w:val="0"/>
          <w:color w:val="auto"/>
          <w:spacing wpsCustomData:val="0" w:val="-6"/>
          <w:sz w:val="32"/>
          <w:szCs w:val="32"/>
          <w:highlight w:val="none"/>
        </w:rPr>
        <w:t>％，间隔距离放宽</w:t>
      </w:r>
      <w:r>
        <w:rPr>
          <w:rFonts w:hint="eastAsia" w:ascii="仿宋_GB2312" w:hAnsi="仿宋_GB2312" w:eastAsia="仿宋_GB2312" w:cs="仿宋_GB2312"/>
          <w:i w:val="0"/>
          <w:color w:val="auto"/>
          <w:spacing wpsCustomData:val="0" w:val="-6"/>
          <w:sz w:val="32"/>
          <w:szCs w:val="32"/>
          <w:highlight w:val="none"/>
          <w:lang w:val="en-US" w:eastAsia="zh-CN"/>
        </w:rPr>
        <w:t>50</w:t>
      </w:r>
      <w:r>
        <w:rPr>
          <w:rFonts w:hint="eastAsia" w:ascii="仿宋_GB2312" w:hAnsi="仿宋_GB2312" w:eastAsia="仿宋_GB2312" w:cs="仿宋_GB2312"/>
          <w:i w:val="0"/>
          <w:color w:val="auto"/>
          <w:spacing wpsCustomData:val="0" w:val="-6"/>
          <w:sz w:val="32"/>
          <w:szCs w:val="32"/>
          <w:highlight w:val="none"/>
        </w:rPr>
        <w:t>％</w:t>
      </w:r>
      <w:r>
        <w:rPr>
          <w:rFonts w:hint="eastAsia" w:ascii="仿宋_GB2312" w:hAnsi="仿宋_GB2312" w:eastAsia="仿宋_GB2312" w:cs="仿宋_GB2312"/>
          <w:i w:val="0"/>
          <w:color w:val="auto"/>
          <w:sz w:val="32"/>
          <w:szCs w:val="32"/>
          <w:highlight w:val="none"/>
          <w:lang w:eastAsia="zh-CN"/>
        </w:rPr>
        <w:t>：</w:t>
      </w:r>
    </w:p>
    <w:p>
      <w:pPr>
        <w:pStyle w:val="11"/>
        <w:widowControl/>
        <w:autoSpaceDE/>
        <w:autoSpaceDN/>
        <w:spacing w:line="600" w:lineRule="exact"/>
        <w:ind w:firstLine="618" w:firstLineChars="0"/>
        <w:rPr>
          <w:rFonts w:hint="eastAsia" w:ascii="仿宋_GB2312" w:hAnsi="仿宋_GB2312" w:eastAsia="仿宋_GB2312" w:cs="仿宋_GB2312"/>
          <w:i w:val="0"/>
          <w:iCs w:val="0"/>
          <w:caps w:val="0"/>
          <w:color w:val="auto"/>
          <w:spacing wpsCustomData:val="-6" w:val="-6"/>
          <w:sz w:val="32"/>
          <w:szCs w:val="32"/>
          <w:highlight w:val="none"/>
          <w:shd w:val="clear" w:fill="auto"/>
          <w:lang w:eastAsia="zh-CN"/>
        </w:rPr>
      </w:pPr>
      <w:r>
        <w:rPr>
          <w:rFonts w:hint="eastAsia" w:ascii="仿宋_GB2312" w:hAnsi="仿宋_GB2312" w:eastAsia="仿宋_GB2312" w:cs="仿宋_GB2312"/>
          <w:i w:val="0"/>
          <w:iCs w:val="0"/>
          <w:caps w:val="0"/>
          <w:color w:val="auto"/>
          <w:spacing wpsCustomData:val="-6" w:val="-6"/>
          <w:sz w:val="32"/>
          <w:szCs w:val="32"/>
          <w:highlight w:val="none"/>
          <w:shd w:val="clear" w:fill="auto"/>
          <w:lang w:eastAsia="zh-CN"/>
        </w:rPr>
        <w:t>（一）因道路规划、城市建设、房屋征收等客观原因造成无法在核定经营场所经营，持证人在6个月内申请变更到原发证机关辖区内其他地址经营的。</w:t>
      </w:r>
    </w:p>
    <w:p>
      <w:pPr>
        <w:pStyle w:val="11"/>
        <w:widowControl/>
        <w:autoSpaceDE/>
        <w:autoSpaceDN/>
        <w:spacing w:line="600" w:lineRule="exact"/>
        <w:ind w:firstLine="618" w:firstLineChars="0"/>
        <w:rPr>
          <w:rFonts w:hint="eastAsia" w:ascii="仿宋_GB2312" w:hAnsi="仿宋_GB2312" w:eastAsia="仿宋_GB2312" w:cs="仿宋_GB2312"/>
          <w:i w:val="0"/>
          <w:iCs w:val="0"/>
          <w:caps w:val="0"/>
          <w:color w:val="auto"/>
          <w:spacing wpsCustomData:val="-6" w:val="-6"/>
          <w:sz w:val="32"/>
          <w:szCs w:val="32"/>
          <w:highlight w:val="none"/>
          <w:shd w:val="clear" w:fill="auto"/>
          <w:lang w:eastAsia="zh-CN"/>
        </w:rPr>
      </w:pPr>
      <w:r>
        <w:rPr>
          <w:rFonts w:hint="eastAsia" w:ascii="仿宋_GB2312" w:hAnsi="仿宋_GB2312" w:cs="仿宋_GB2312"/>
          <w:i w:val="0"/>
          <w:iCs w:val="0"/>
          <w:caps w:val="0"/>
          <w:color w:val="auto"/>
          <w:spacing wpsCustomData:val="-6" w:val="-6"/>
          <w:sz w:val="32"/>
          <w:szCs w:val="32"/>
          <w:highlight w:val="none"/>
          <w:shd w:val="clear" w:fill="auto"/>
          <w:lang w:eastAsia="zh-CN"/>
        </w:rPr>
        <w:t>（二）</w:t>
      </w:r>
      <w:r>
        <w:rPr>
          <w:rFonts w:hint="eastAsia" w:ascii="仿宋_GB2312" w:hAnsi="仿宋_GB2312" w:eastAsia="仿宋_GB2312" w:cs="仿宋_GB2312"/>
          <w:i w:val="0"/>
          <w:iCs w:val="0"/>
          <w:caps w:val="0"/>
          <w:color w:val="auto"/>
          <w:spacing wpsCustomData:val="-6" w:val="-6"/>
          <w:sz w:val="32"/>
          <w:szCs w:val="32"/>
          <w:highlight w:val="none"/>
          <w:shd w:val="clear" w:fill="auto"/>
          <w:lang w:eastAsia="zh-CN"/>
        </w:rPr>
        <w:t>因中小学、幼儿园新建、改造导致的先店后校、先店后门等情况，以及合理布局规划修订等客观原因造成零售点不符合相关要求的，持证人在6个月内申请变更到原发证机关辖区内其他地址经营的。</w:t>
      </w:r>
    </w:p>
    <w:p>
      <w:pPr>
        <w:pStyle w:val="11"/>
        <w:widowControl/>
        <w:autoSpaceDE/>
        <w:autoSpaceDN/>
        <w:spacing w:line="600" w:lineRule="exact"/>
        <w:ind w:firstLine="618" w:firstLineChars="0"/>
        <w:rPr>
          <w:rFonts w:hint="eastAsia" w:ascii="仿宋_GB2312" w:hAnsi="仿宋_GB2312" w:eastAsia="仿宋_GB2312" w:cs="仿宋_GB2312"/>
          <w:i w:val="0"/>
          <w:iCs w:val="0"/>
          <w:caps w:val="0"/>
          <w:color w:val="auto"/>
          <w:spacing wpsCustomData:val="-6" w:val="-6"/>
          <w:sz w:val="32"/>
          <w:szCs w:val="32"/>
          <w:highlight w:val="none"/>
          <w:lang w:eastAsia="zh-CN"/>
        </w:rPr>
      </w:pPr>
      <w:r>
        <w:rPr>
          <w:rFonts w:hint="eastAsia" w:ascii="仿宋_GB2312" w:hAnsi="仿宋_GB2312" w:cs="仿宋_GB2312"/>
          <w:i w:val="0"/>
          <w:iCs w:val="0"/>
          <w:caps w:val="0"/>
          <w:color w:val="auto"/>
          <w:spacing wpsCustomData:val="-6" w:val="-6"/>
          <w:sz w:val="32"/>
          <w:szCs w:val="32"/>
          <w:highlight w:val="none"/>
          <w:shd w:val="clear" w:fill="auto"/>
          <w:lang w:eastAsia="zh-CN"/>
        </w:rPr>
        <w:t>（三）</w:t>
      </w:r>
      <w:r>
        <w:rPr>
          <w:rFonts w:hint="eastAsia" w:ascii="仿宋_GB2312" w:hAnsi="仿宋_GB2312" w:eastAsia="仿宋_GB2312" w:cs="仿宋_GB2312"/>
          <w:i w:val="0"/>
          <w:iCs w:val="0"/>
          <w:caps w:val="0"/>
          <w:color w:val="auto"/>
          <w:spacing wpsCustomData:val="-6" w:val="-6"/>
          <w:sz w:val="32"/>
          <w:szCs w:val="32"/>
          <w:highlight w:val="none"/>
          <w:shd w:val="clear" w:fill="auto"/>
          <w:lang w:eastAsia="zh-CN"/>
        </w:rPr>
        <w:t>非家庭经营的个体工商户，两年内无涉烟违法记录，因持证人死亡或者丧失民事行为能力，烟草专卖零售许可证被依法注销后30个自然日内，原持证人的家庭成员（具有完全民事行为能力的配偶、父母或子女）在原经营场所提出新办申请的。</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right="0" w:firstLine="616" w:firstLineChars="200"/>
        <w:jc w:val="left"/>
        <w:textAlignment w:val="auto"/>
        <w:rPr>
          <w:rFonts w:hint="default" w:ascii="Times New Roman" w:hAnsi="Times New Roman" w:eastAsia="仿宋_GB2312" w:cs="仿宋_GB2312"/>
          <w:i w:val="0"/>
          <w:iCs w:val="0"/>
          <w:caps w:val="0"/>
          <w:color w:val="auto"/>
          <w:spacing wpsCustomData:val="-6" w:val="-6"/>
          <w:sz w:val="32"/>
          <w:szCs w:val="32"/>
          <w:highlight w:val="none"/>
          <w:shd w:val="clear" w:fill="auto"/>
          <w:lang w:val="en-US" w:eastAsia="zh-CN"/>
        </w:rPr>
      </w:pPr>
      <w:r>
        <w:rPr>
          <w:rFonts w:hint="eastAsia" w:ascii="仿宋_GB2312" w:hAnsi="仿宋_GB2312" w:eastAsia="仿宋_GB2312" w:cs="仿宋_GB2312"/>
          <w:i w:val="0"/>
          <w:iCs w:val="0"/>
          <w:caps w:val="0"/>
          <w:color w:val="auto"/>
          <w:spacing wpsCustomData:val="-6" w:val="-6"/>
          <w:sz w:val="32"/>
          <w:szCs w:val="32"/>
          <w:highlight w:val="none"/>
          <w:shd w:val="clear" w:fill="auto"/>
          <w:lang w:eastAsia="zh-CN"/>
        </w:rPr>
        <w:t>以上情形对经营场所基于安全要求及中小学、幼儿园周围的限制规定等不得放宽。</w:t>
      </w:r>
      <w:r>
        <w:rPr>
          <w:rFonts w:hint="eastAsia" w:ascii="仿宋_GB2312" w:hAnsi="仿宋_GB2312" w:eastAsia="仿宋_GB2312" w:cs="仿宋_GB2312"/>
          <w:b w:val="0"/>
          <w:bCs w:val="0"/>
          <w:color w:val="auto"/>
          <w:sz w:val="32"/>
          <w:szCs w:val="32"/>
          <w:highlight w:val="none"/>
          <w:lang w:val="en-US" w:eastAsia="zh-CN"/>
        </w:rPr>
        <w:t>符合本条款放宽情形办理的零售点，应作为新增</w:t>
      </w:r>
      <w:r>
        <w:rPr>
          <w:rFonts w:hint="default" w:ascii="Times New Roman" w:hAnsi="Times New Roman" w:eastAsia="仿宋_GB2312" w:cs="仿宋_GB2312"/>
          <w:i w:val="0"/>
          <w:iCs w:val="0"/>
          <w:caps w:val="0"/>
          <w:color w:val="auto"/>
          <w:spacing w:val="-6"/>
          <w:sz w:val="32"/>
          <w:szCs w:val="32"/>
          <w:highlight w:val="none"/>
          <w:shd w:val="clear" w:fill="auto"/>
        </w:rPr>
        <w:t>零售点数量、间距的参照物。</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right="0" w:firstLine="616"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cs="仿宋_GB2312"/>
          <w:b/>
          <w:bCs/>
          <w:color w:val="auto"/>
          <w:sz w:val="32"/>
          <w:szCs w:val="32"/>
          <w:highlight w:val="none"/>
          <w:lang w:val="en-US" w:eastAsia="zh-CN"/>
        </w:rPr>
        <w:t xml:space="preserve">第十三条 </w:t>
      </w:r>
      <w:r>
        <w:rPr>
          <w:rFonts w:hint="eastAsia" w:ascii="仿宋_GB2312" w:hAnsi="仿宋_GB2312" w:eastAsia="仿宋_GB2312" w:cs="仿宋_GB2312"/>
          <w:b w:val="0"/>
          <w:color w:val="auto"/>
          <w:sz w:val="32"/>
          <w:highlight w:val="none"/>
          <w:lang w:val="en-US" w:eastAsia="zh-CN"/>
        </w:rPr>
        <w:t>未持有烟草专卖零售许可证且具备完全民事行为能力的申请人，符合以下情形之一的，可以结合本地实际不受数量、间距限制：（1）属于军烈属（含烈士遗属、因公牺牲军人遗属等）、残疾军人的个体工商户，本人首次申请办理烟草专卖零售许可证</w:t>
      </w:r>
      <w:r>
        <w:rPr>
          <w:rFonts w:hint="eastAsia" w:ascii="仿宋_GB2312" w:hAnsi="仿宋_GB2312" w:cs="仿宋_GB2312"/>
          <w:b w:val="0"/>
          <w:color w:val="auto"/>
          <w:sz w:val="32"/>
          <w:highlight w:val="none"/>
          <w:lang w:val="en-US" w:eastAsia="zh-CN"/>
        </w:rPr>
        <w:t>；（2）</w:t>
      </w:r>
      <w:r>
        <w:rPr>
          <w:rFonts w:hint="eastAsia" w:ascii="仿宋_GB2312" w:hAnsi="仿宋_GB2312" w:eastAsia="仿宋_GB2312" w:cs="仿宋_GB2312"/>
          <w:b w:val="0"/>
          <w:color w:val="auto"/>
          <w:sz w:val="32"/>
          <w:highlight w:val="none"/>
          <w:lang w:val="en-US" w:eastAsia="zh-CN"/>
        </w:rPr>
        <w:t>《警民共建、从优待警、惠警帮扶合作备忘录》《新疆维吾尔自治区烟草专卖局 自治区公安厅特侦队警民共建、从优待警、惠警帮扶合作备忘录》等制度规定的情形。</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right="0" w:firstLine="616" w:firstLineChars="200"/>
        <w:jc w:val="left"/>
        <w:textAlignment w:val="auto"/>
        <w:rPr>
          <w:rFonts w:hint="default" w:ascii="Times New Roman" w:hAnsi="Times New Roman" w:eastAsia="仿宋_GB2312" w:cs="仿宋_GB2312"/>
          <w:i w:val="0"/>
          <w:iCs w:val="0"/>
          <w:caps w:val="0"/>
          <w:color w:val="auto"/>
          <w:spacing wpsCustomData:val="-6" w:val="-6"/>
          <w:sz w:val="32"/>
          <w:szCs w:val="32"/>
          <w:highlight w:val="none"/>
          <w:shd w:val="clear" w:fill="auto"/>
          <w:lang w:val="en-US" w:eastAsia="zh-CN"/>
        </w:rPr>
      </w:pPr>
      <w:r>
        <w:rPr>
          <w:rFonts w:hint="eastAsia" w:ascii="仿宋_GB2312" w:hAnsi="仿宋_GB2312" w:eastAsia="仿宋_GB2312" w:cs="仿宋_GB2312"/>
          <w:i w:val="0"/>
          <w:iCs w:val="0"/>
          <w:caps w:val="0"/>
          <w:color w:val="auto"/>
          <w:spacing wpsCustomData:val="-6" w:val="-6"/>
          <w:sz w:val="32"/>
          <w:szCs w:val="32"/>
          <w:highlight w:val="none"/>
          <w:shd w:val="clear" w:fill="auto"/>
          <w:lang w:eastAsia="zh-CN"/>
        </w:rPr>
        <w:t>以上情形对经营场所基于安全要求及中小学、幼儿园周围的限制规定等不得放宽。</w:t>
      </w:r>
      <w:r>
        <w:rPr>
          <w:rFonts w:hint="eastAsia" w:ascii="仿宋_GB2312" w:hAnsi="仿宋_GB2312" w:eastAsia="仿宋_GB2312" w:cs="仿宋_GB2312"/>
          <w:b w:val="0"/>
          <w:bCs w:val="0"/>
          <w:color w:val="auto"/>
          <w:sz w:val="32"/>
          <w:szCs w:val="32"/>
          <w:highlight w:val="none"/>
          <w:lang w:val="en-US" w:eastAsia="zh-CN"/>
        </w:rPr>
        <w:t>符合本条款放宽情形办理的零售点，应作为新增</w:t>
      </w:r>
      <w:r>
        <w:rPr>
          <w:rFonts w:hint="default" w:ascii="Times New Roman" w:hAnsi="Times New Roman" w:eastAsia="仿宋_GB2312" w:cs="仿宋_GB2312"/>
          <w:i w:val="0"/>
          <w:iCs w:val="0"/>
          <w:caps w:val="0"/>
          <w:color w:val="auto"/>
          <w:spacing w:val="-6"/>
          <w:sz w:val="32"/>
          <w:szCs w:val="32"/>
          <w:highlight w:val="none"/>
          <w:shd w:val="clear" w:fill="auto"/>
        </w:rPr>
        <w:t>零售点数量、间距的参照物。</w:t>
      </w:r>
    </w:p>
    <w:p>
      <w:pPr>
        <w:pStyle w:val="11"/>
        <w:widowControl/>
        <w:numPr>
          <w:ilvl w:val="0"/>
          <w:numId w:val="0"/>
        </w:numPr>
        <w:topLinePunct w:val="0"/>
        <w:spacing w:line="600" w:lineRule="exact"/>
        <w:ind w:left="0" w:leftChars="0" w:firstLine="618"/>
        <w:rPr>
          <w:rFonts w:hint="eastAsia" w:ascii="Times New Roman" w:hAnsi="Times New Roman" w:eastAsia="仿宋_GB2312" w:cs="仿宋_GB2312"/>
          <w:i w:val="0"/>
          <w:iCs w:val="0"/>
          <w:caps w:val="0"/>
          <w:color w:val="auto"/>
          <w:spacing w:val="-6"/>
          <w:sz w:val="32"/>
          <w:szCs w:val="32"/>
          <w:highlight w:val="none"/>
          <w:shd w:val="clear" w:fill="auto"/>
          <w:lang w:eastAsia="zh-CN"/>
        </w:rPr>
      </w:pPr>
      <w:r>
        <w:rPr>
          <w:rFonts w:hint="default" w:ascii="Times New Roman" w:hAnsi="Times New Roman" w:eastAsia="仿宋_GB2312" w:cs="仿宋_GB2312"/>
          <w:b/>
          <w:bCs/>
          <w:i w:val="0"/>
          <w:iCs w:val="0"/>
          <w:caps w:val="0"/>
          <w:color w:val="auto"/>
          <w:spacing w:val="-6"/>
          <w:sz w:val="32"/>
          <w:szCs w:val="32"/>
          <w:highlight w:val="none"/>
          <w:shd w:val="clear" w:fill="auto"/>
        </w:rPr>
        <w:t>第</w:t>
      </w:r>
      <w:r>
        <w:rPr>
          <w:rFonts w:hint="eastAsia" w:cs="仿宋_GB2312"/>
          <w:b/>
          <w:bCs/>
          <w:i w:val="0"/>
          <w:iCs w:val="0"/>
          <w:caps w:val="0"/>
          <w:color w:val="auto"/>
          <w:spacing w:val="-6"/>
          <w:sz w:val="32"/>
          <w:szCs w:val="32"/>
          <w:highlight w:val="none"/>
          <w:shd w:val="clear" w:fill="auto"/>
          <w:lang w:val="en-US" w:eastAsia="zh-CN"/>
        </w:rPr>
        <w:t>十四</w:t>
      </w:r>
      <w:r>
        <w:rPr>
          <w:rFonts w:hint="default" w:ascii="Times New Roman" w:hAnsi="Times New Roman" w:eastAsia="仿宋_GB2312" w:cs="仿宋_GB2312"/>
          <w:b/>
          <w:bCs/>
          <w:i w:val="0"/>
          <w:iCs w:val="0"/>
          <w:caps w:val="0"/>
          <w:color w:val="auto"/>
          <w:spacing w:val="-6"/>
          <w:sz w:val="32"/>
          <w:szCs w:val="32"/>
          <w:highlight w:val="none"/>
          <w:shd w:val="clear" w:fill="auto"/>
        </w:rPr>
        <w:t>条</w:t>
      </w:r>
      <w:r>
        <w:rPr>
          <w:rFonts w:hint="eastAsia" w:cs="仿宋_GB2312"/>
          <w:b/>
          <w:bCs/>
          <w:i w:val="0"/>
          <w:iCs w:val="0"/>
          <w:caps w:val="0"/>
          <w:color w:val="auto"/>
          <w:spacing w:val="-6"/>
          <w:sz w:val="32"/>
          <w:szCs w:val="32"/>
          <w:highlight w:val="none"/>
          <w:shd w:val="clear" w:fill="auto"/>
          <w:lang w:val="en-US" w:eastAsia="zh-CN"/>
        </w:rPr>
        <w:t xml:space="preserve"> </w:t>
      </w:r>
      <w:r>
        <w:rPr>
          <w:rFonts w:hint="default" w:ascii="Times New Roman" w:hAnsi="Times New Roman" w:eastAsia="仿宋_GB2312" w:cs="仿宋_GB2312"/>
          <w:i w:val="0"/>
          <w:iCs w:val="0"/>
          <w:caps w:val="0"/>
          <w:color w:val="auto"/>
          <w:spacing w:val="-6"/>
          <w:sz w:val="32"/>
          <w:szCs w:val="32"/>
          <w:highlight w:val="none"/>
          <w:shd w:val="clear" w:fill="auto"/>
        </w:rPr>
        <w:t>申请烟草专卖零售许可范围仅为</w:t>
      </w:r>
      <w:r>
        <w:rPr>
          <w:rFonts w:hint="eastAsia" w:ascii="Times New Roman" w:hAnsi="Times New Roman" w:eastAsia="仿宋_GB2312" w:cs="仿宋_GB2312"/>
          <w:i w:val="0"/>
          <w:iCs w:val="0"/>
          <w:caps w:val="0"/>
          <w:color w:val="auto"/>
          <w:spacing w:val="-6"/>
          <w:sz w:val="32"/>
          <w:szCs w:val="32"/>
          <w:highlight w:val="none"/>
          <w:shd w:val="clear" w:fill="auto"/>
          <w:lang w:eastAsia="zh-CN"/>
        </w:rPr>
        <w:t>“</w:t>
      </w:r>
      <w:r>
        <w:rPr>
          <w:rFonts w:hint="default" w:ascii="Times New Roman" w:hAnsi="Times New Roman" w:eastAsia="仿宋_GB2312" w:cs="仿宋_GB2312"/>
          <w:i w:val="0"/>
          <w:iCs w:val="0"/>
          <w:caps w:val="0"/>
          <w:color w:val="auto"/>
          <w:spacing w:val="-6"/>
          <w:sz w:val="32"/>
          <w:szCs w:val="32"/>
          <w:highlight w:val="none"/>
          <w:shd w:val="clear" w:fill="auto"/>
        </w:rPr>
        <w:t>雪茄烟本店零</w:t>
      </w:r>
      <w:r>
        <w:rPr>
          <w:rFonts w:hint="eastAsia" w:ascii="Times New Roman" w:hAnsi="Times New Roman" w:eastAsia="仿宋_GB2312" w:cs="仿宋_GB2312"/>
          <w:i w:val="0"/>
          <w:iCs w:val="0"/>
          <w:caps w:val="0"/>
          <w:color w:val="auto"/>
          <w:spacing w:val="-6"/>
          <w:sz w:val="32"/>
          <w:szCs w:val="32"/>
          <w:highlight w:val="none"/>
          <w:shd w:val="clear" w:fill="auto"/>
          <w:lang w:eastAsia="zh-CN"/>
        </w:rPr>
        <w:t>售</w:t>
      </w:r>
      <w:r>
        <w:rPr>
          <w:rFonts w:hint="eastAsia" w:cs="仿宋_GB2312"/>
          <w:i w:val="0"/>
          <w:iCs w:val="0"/>
          <w:caps w:val="0"/>
          <w:color w:val="auto"/>
          <w:spacing w:val="-6"/>
          <w:sz w:val="32"/>
          <w:szCs w:val="32"/>
          <w:highlight w:val="none"/>
          <w:shd w:val="clear" w:fill="auto"/>
          <w:lang w:eastAsia="zh-CN"/>
        </w:rPr>
        <w:t>”</w:t>
      </w:r>
      <w:r>
        <w:rPr>
          <w:rFonts w:hint="default" w:ascii="Times New Roman" w:hAnsi="Times New Roman" w:eastAsia="仿宋_GB2312" w:cs="仿宋_GB2312"/>
          <w:i w:val="0"/>
          <w:iCs w:val="0"/>
          <w:caps w:val="0"/>
          <w:color w:val="auto"/>
          <w:spacing w:val="-6"/>
          <w:sz w:val="32"/>
          <w:szCs w:val="32"/>
          <w:highlight w:val="none"/>
          <w:shd w:val="clear" w:fill="auto"/>
        </w:rPr>
        <w:t>的零售点，不划定市场单元，不受间距限制，采取数量限制模式</w:t>
      </w:r>
      <w:r>
        <w:rPr>
          <w:rFonts w:hint="eastAsia" w:cs="仿宋_GB2312"/>
          <w:i w:val="0"/>
          <w:iCs w:val="0"/>
          <w:caps w:val="0"/>
          <w:color w:val="auto"/>
          <w:spacing w:val="-6"/>
          <w:sz w:val="32"/>
          <w:szCs w:val="32"/>
          <w:highlight w:val="none"/>
          <w:shd w:val="clear" w:fill="auto"/>
          <w:lang w:eastAsia="zh-CN"/>
        </w:rPr>
        <w:t>。</w:t>
      </w:r>
      <w:r>
        <w:rPr>
          <w:rFonts w:hint="default" w:ascii="Times New Roman" w:hAnsi="Times New Roman" w:eastAsia="仿宋_GB2312" w:cs="仿宋_GB2312"/>
          <w:i w:val="0"/>
          <w:iCs w:val="0"/>
          <w:caps w:val="0"/>
          <w:color w:val="auto"/>
          <w:spacing w:val="-6"/>
          <w:sz w:val="32"/>
          <w:szCs w:val="32"/>
          <w:highlight w:val="none"/>
          <w:shd w:val="clear" w:fill="auto"/>
        </w:rPr>
        <w:t>雪茄烟专营店指导数由</w:t>
      </w:r>
      <w:r>
        <w:rPr>
          <w:rFonts w:hint="eastAsia" w:cs="仿宋_GB2312"/>
          <w:i w:val="0"/>
          <w:iCs w:val="0"/>
          <w:caps w:val="0"/>
          <w:color w:val="auto"/>
          <w:spacing w:val="-6"/>
          <w:sz w:val="32"/>
          <w:szCs w:val="32"/>
          <w:highlight w:val="none"/>
          <w:shd w:val="clear" w:fill="auto"/>
          <w:lang w:eastAsia="zh-CN"/>
        </w:rPr>
        <w:t>托里</w:t>
      </w:r>
      <w:r>
        <w:rPr>
          <w:rFonts w:hint="default" w:ascii="Times New Roman" w:hAnsi="Times New Roman" w:eastAsia="仿宋_GB2312" w:cs="仿宋_GB2312"/>
          <w:i w:val="0"/>
          <w:iCs w:val="0"/>
          <w:caps w:val="0"/>
          <w:color w:val="auto"/>
          <w:spacing w:val="-6"/>
          <w:sz w:val="32"/>
          <w:szCs w:val="32"/>
          <w:highlight w:val="none"/>
          <w:shd w:val="clear" w:fill="auto"/>
        </w:rPr>
        <w:t>县烟草专卖局根据辖区人口数量结构、经济发展水平、雪茄烟消费特点和市场需求等因素设定并进行动态调整，原则上不超过上年度本辖区烟草制品零售点总数的千分之五</w:t>
      </w:r>
      <w:r>
        <w:rPr>
          <w:rFonts w:hint="eastAsia" w:cs="仿宋_GB2312"/>
          <w:i w:val="0"/>
          <w:iCs w:val="0"/>
          <w:caps w:val="0"/>
          <w:color w:val="auto"/>
          <w:spacing w:val="-6"/>
          <w:sz w:val="32"/>
          <w:szCs w:val="32"/>
          <w:highlight w:val="none"/>
          <w:shd w:val="clear" w:fill="auto"/>
          <w:lang w:eastAsia="zh-CN"/>
        </w:rPr>
        <w:t>。</w:t>
      </w:r>
      <w:r>
        <w:rPr>
          <w:rFonts w:hint="default" w:ascii="Times New Roman" w:hAnsi="Times New Roman" w:eastAsia="仿宋_GB2312" w:cs="仿宋_GB2312"/>
          <w:i w:val="0"/>
          <w:iCs w:val="0"/>
          <w:caps w:val="0"/>
          <w:color w:val="auto"/>
          <w:spacing w:val="-6"/>
          <w:sz w:val="32"/>
          <w:szCs w:val="32"/>
          <w:highlight w:val="none"/>
          <w:shd w:val="clear" w:fill="auto"/>
        </w:rPr>
        <w:t>达到指导数上限的，按</w:t>
      </w:r>
      <w:r>
        <w:rPr>
          <w:rFonts w:hint="eastAsia" w:ascii="Times New Roman" w:hAnsi="Times New Roman" w:eastAsia="仿宋_GB2312" w:cs="仿宋_GB2312"/>
          <w:i w:val="0"/>
          <w:iCs w:val="0"/>
          <w:caps w:val="0"/>
          <w:color w:val="auto"/>
          <w:spacing w:val="-6"/>
          <w:sz w:val="32"/>
          <w:szCs w:val="32"/>
          <w:highlight w:val="none"/>
          <w:shd w:val="clear" w:fill="auto"/>
          <w:lang w:eastAsia="zh-CN"/>
        </w:rPr>
        <w:t>照“退一进一”原</w:t>
      </w:r>
      <w:r>
        <w:rPr>
          <w:rFonts w:hint="default" w:ascii="Times New Roman" w:hAnsi="Times New Roman" w:eastAsia="仿宋_GB2312" w:cs="仿宋_GB2312"/>
          <w:i w:val="0"/>
          <w:iCs w:val="0"/>
          <w:caps w:val="0"/>
          <w:color w:val="auto"/>
          <w:spacing w:val="-6"/>
          <w:sz w:val="32"/>
          <w:szCs w:val="32"/>
          <w:highlight w:val="none"/>
          <w:shd w:val="clear" w:fill="auto"/>
        </w:rPr>
        <w:t>则办理。雪茄烟专营店申请增加或调整为卷烟零售的，应当申请变更许可范围，且须符合卷烟零售点布局规划要求。雪茄烟专营店与非雪茄烟专营店之间，互不作为零售点数量、间距的参照物。</w:t>
      </w:r>
    </w:p>
    <w:p>
      <w:pPr>
        <w:pStyle w:val="19"/>
        <w:widowControl/>
        <w:shd w:val="clear" w:fill="FFFFFF"/>
        <w:rPr>
          <w:highlight w:val="none"/>
        </w:rPr>
      </w:pPr>
      <w:r>
        <w:rPr>
          <w:highlight w:val="none"/>
        </w:rPr>
        <w:t>第</w:t>
      </w:r>
      <w:r>
        <w:rPr>
          <w:rFonts w:hint="eastAsia"/>
          <w:highlight w:val="none"/>
          <w:lang w:eastAsia="zh-CN"/>
        </w:rPr>
        <w:t>四</w:t>
      </w:r>
      <w:r>
        <w:rPr>
          <w:highlight w:val="none"/>
        </w:rPr>
        <w:t>章　其他标准</w:t>
      </w:r>
    </w:p>
    <w:p>
      <w:pPr>
        <w:pStyle w:val="11"/>
        <w:widowControl/>
        <w:rPr>
          <w:rFonts w:hint="default" w:ascii="仿宋_GB2312" w:hAnsi="仿宋_GB2312" w:eastAsia="仿宋_GB2312" w:cs="仿宋_GB2312"/>
          <w:b/>
          <w:i w:val="0"/>
          <w:color w:val="0F1115"/>
          <w:sz w:val="32"/>
          <w:szCs w:val="32"/>
          <w:highlight w:val="none"/>
        </w:rPr>
      </w:pPr>
      <w:r>
        <w:rPr>
          <w:rFonts w:ascii="Times New Roman" w:hAnsi="Times New Roman" w:eastAsia="仿宋_GB2312" w:cs="仿宋_GB2312"/>
          <w:b/>
          <w:i w:val="0"/>
          <w:color w:val="0F1115"/>
          <w:sz w:val="32"/>
          <w:szCs w:val="32"/>
          <w:highlight w:val="none"/>
        </w:rPr>
        <w:t>第十</w:t>
      </w:r>
      <w:r>
        <w:rPr>
          <w:rFonts w:hint="eastAsia" w:cs="仿宋_GB2312"/>
          <w:b/>
          <w:i w:val="0"/>
          <w:color w:val="auto"/>
          <w:sz w:val="32"/>
          <w:szCs w:val="32"/>
          <w:highlight w:val="none"/>
          <w:lang w:val="en-US" w:eastAsia="zh-CN"/>
        </w:rPr>
        <w:t>五</w:t>
      </w:r>
      <w:r>
        <w:rPr>
          <w:rFonts w:ascii="Times New Roman" w:hAnsi="Times New Roman" w:eastAsia="仿宋_GB2312" w:cs="仿宋_GB2312"/>
          <w:b/>
          <w:i w:val="0"/>
          <w:color w:val="0F1115"/>
          <w:sz w:val="32"/>
          <w:szCs w:val="32"/>
          <w:highlight w:val="none"/>
        </w:rPr>
        <w:t>条</w:t>
      </w:r>
      <w:r>
        <w:rPr>
          <w:rFonts w:hint="eastAsia" w:cs="仿宋_GB2312"/>
          <w:b/>
          <w:i w:val="0"/>
          <w:color w:val="0F1115"/>
          <w:sz w:val="32"/>
          <w:szCs w:val="32"/>
          <w:highlight w:val="none"/>
          <w:lang w:val="en-US" w:eastAsia="zh-CN"/>
        </w:rPr>
        <w:t xml:space="preserve"> </w:t>
      </w:r>
      <w:r>
        <w:rPr>
          <w:rFonts w:hint="eastAsia" w:ascii="仿宋_GB2312" w:hAnsi="仿宋_GB2312" w:cs="仿宋_GB2312"/>
          <w:b w:val="0"/>
          <w:color w:val="auto"/>
          <w:sz w:val="32"/>
          <w:highlight w:val="none"/>
          <w:lang w:val="en-US" w:eastAsia="zh-CN"/>
        </w:rPr>
        <w:t>托里县烟草专卖局</w:t>
      </w:r>
      <w:r>
        <w:rPr>
          <w:rFonts w:hint="eastAsia" w:ascii="仿宋_GB2312" w:hAnsi="仿宋_GB2312" w:eastAsia="仿宋_GB2312" w:cs="仿宋_GB2312"/>
          <w:b w:val="0"/>
          <w:color w:val="auto"/>
          <w:sz w:val="32"/>
          <w:highlight w:val="none"/>
          <w:lang w:val="en-US" w:eastAsia="zh-CN"/>
        </w:rPr>
        <w:t>定期对市场单元划分和零售点指导数进行动态调整。调整频率原则上每半年不超过两次，调整结果应通过“新烟政务通”平台、政务服务大厅等渠道对外公示后实施。</w:t>
      </w:r>
    </w:p>
    <w:p>
      <w:pPr>
        <w:pStyle w:val="11"/>
        <w:widowControl/>
        <w:rPr>
          <w:rFonts w:ascii="Times New Roman" w:hAnsi="Times New Roman" w:eastAsia="仿宋_GB2312" w:cs="仿宋_GB2312"/>
          <w:i w:val="0"/>
          <w:color w:val="0F1115"/>
          <w:sz w:val="32"/>
          <w:szCs w:val="32"/>
          <w:highlight w:val="none"/>
        </w:rPr>
      </w:pPr>
      <w:r>
        <w:rPr>
          <w:rFonts w:ascii="Times New Roman" w:hAnsi="Times New Roman" w:eastAsia="仿宋_GB2312" w:cs="仿宋_GB2312"/>
          <w:b/>
          <w:i w:val="0"/>
          <w:color w:val="0F1115"/>
          <w:sz w:val="32"/>
          <w:szCs w:val="32"/>
          <w:highlight w:val="none"/>
        </w:rPr>
        <w:t>第十</w:t>
      </w:r>
      <w:r>
        <w:rPr>
          <w:rFonts w:hint="eastAsia" w:cs="仿宋_GB2312"/>
          <w:b/>
          <w:i w:val="0"/>
          <w:color w:val="auto"/>
          <w:sz w:val="32"/>
          <w:szCs w:val="32"/>
          <w:highlight w:val="none"/>
          <w:lang w:val="en-US" w:eastAsia="zh-CN"/>
        </w:rPr>
        <w:t>六</w:t>
      </w:r>
      <w:r>
        <w:rPr>
          <w:rFonts w:ascii="Times New Roman" w:hAnsi="Times New Roman" w:eastAsia="仿宋_GB2312" w:cs="仿宋_GB2312"/>
          <w:b/>
          <w:i w:val="0"/>
          <w:color w:val="0F1115"/>
          <w:sz w:val="32"/>
          <w:szCs w:val="32"/>
          <w:highlight w:val="none"/>
        </w:rPr>
        <w:t>条</w:t>
      </w:r>
      <w:r>
        <w:rPr>
          <w:rFonts w:hint="eastAsia" w:cs="仿宋_GB2312"/>
          <w:b/>
          <w:i w:val="0"/>
          <w:color w:val="0F1115"/>
          <w:sz w:val="32"/>
          <w:szCs w:val="32"/>
          <w:highlight w:val="none"/>
          <w:lang w:val="en-US" w:eastAsia="zh-CN"/>
        </w:rPr>
        <w:t xml:space="preserve"> </w:t>
      </w:r>
      <w:r>
        <w:rPr>
          <w:rFonts w:ascii="Times New Roman" w:hAnsi="Times New Roman" w:eastAsia="仿宋_GB2312" w:cs="仿宋_GB2312"/>
          <w:i w:val="0"/>
          <w:color w:val="0F1115"/>
          <w:sz w:val="32"/>
          <w:szCs w:val="32"/>
          <w:highlight w:val="none"/>
        </w:rPr>
        <w:t>间隔距离测量标准：</w:t>
      </w:r>
    </w:p>
    <w:p>
      <w:pPr>
        <w:pStyle w:val="11"/>
        <w:widowControl/>
        <w:numPr>
          <w:ilvl w:val="0"/>
          <w:numId w:val="0"/>
        </w:numPr>
        <w:topLinePunct w:val="0"/>
        <w:ind w:left="0" w:leftChars="0" w:firstLine="616"/>
        <w:rPr>
          <w:rFonts w:hint="eastAsia" w:ascii="楷体_GB2312" w:hAnsi="楷体_GB2312" w:eastAsia="楷体_GB2312" w:cs="楷体_GB2312"/>
          <w:b w:val="0"/>
          <w:i w:val="0"/>
          <w:color w:val="auto"/>
          <w:sz w:val="32"/>
          <w:szCs w:val="32"/>
          <w:highlight w:val="none"/>
        </w:rPr>
      </w:pPr>
      <w:r>
        <w:rPr>
          <w:rStyle w:val="20"/>
          <w:rFonts w:hint="eastAsia" w:eastAsia="楷体_GB2312"/>
          <w:highlight w:val="none"/>
          <w:lang w:eastAsia="zh-CN"/>
        </w:rPr>
        <w:t>（一）</w:t>
      </w:r>
      <w:r>
        <w:rPr>
          <w:rStyle w:val="20"/>
          <w:highlight w:val="none"/>
        </w:rPr>
        <w:t>测量工具</w:t>
      </w:r>
      <w:r>
        <w:rPr>
          <w:rFonts w:ascii="Times New Roman" w:hAnsi="Times New Roman" w:eastAsia="仿宋_GB2312" w:cs="仿宋_GB2312"/>
          <w:i w:val="0"/>
          <w:color w:val="0F1115"/>
          <w:sz w:val="32"/>
          <w:szCs w:val="32"/>
          <w:highlight w:val="none"/>
        </w:rPr>
        <w:t>：测量工具应当符合国家统一标准，以测距仪、卷尺、皮尺等工具为主。</w:t>
      </w:r>
    </w:p>
    <w:p>
      <w:pPr>
        <w:pStyle w:val="11"/>
        <w:widowControl/>
        <w:numPr>
          <w:ilvl w:val="0"/>
          <w:numId w:val="0"/>
        </w:numPr>
        <w:topLinePunct w:val="0"/>
        <w:ind w:left="0" w:leftChars="0" w:firstLine="616"/>
        <w:rPr>
          <w:rFonts w:hint="eastAsia" w:ascii="楷体_GB2312" w:hAnsi="楷体_GB2312" w:eastAsia="楷体_GB2312" w:cs="楷体_GB2312"/>
          <w:b w:val="0"/>
          <w:i w:val="0"/>
          <w:color w:val="auto"/>
          <w:sz w:val="32"/>
          <w:szCs w:val="32"/>
          <w:highlight w:val="none"/>
        </w:rPr>
      </w:pPr>
      <w:r>
        <w:rPr>
          <w:rStyle w:val="20"/>
          <w:rFonts w:hint="eastAsia" w:eastAsia="楷体_GB2312"/>
          <w:highlight w:val="none"/>
          <w:lang w:eastAsia="zh-CN"/>
        </w:rPr>
        <w:t>（二）</w:t>
      </w:r>
      <w:r>
        <w:rPr>
          <w:rStyle w:val="20"/>
          <w:highlight w:val="none"/>
        </w:rPr>
        <w:t>测量人员</w:t>
      </w:r>
      <w:r>
        <w:rPr>
          <w:rFonts w:ascii="Times New Roman" w:hAnsi="Times New Roman" w:eastAsia="仿宋_GB2312" w:cs="仿宋_GB2312"/>
          <w:i w:val="0"/>
          <w:color w:val="0F1115"/>
          <w:sz w:val="32"/>
          <w:szCs w:val="32"/>
          <w:highlight w:val="none"/>
        </w:rPr>
        <w:t>：间隔距离测量由两名以上（含两名）具有执法资格的烟草专卖执法人员共同实施，测量全过程使用执法记录仪记录。</w:t>
      </w:r>
    </w:p>
    <w:p>
      <w:pPr>
        <w:pStyle w:val="11"/>
        <w:widowControl/>
        <w:numPr>
          <w:ilvl w:val="0"/>
          <w:numId w:val="0"/>
        </w:numPr>
        <w:topLinePunct w:val="0"/>
        <w:ind w:left="0" w:leftChars="0" w:firstLine="616"/>
        <w:rPr>
          <w:rFonts w:hint="eastAsia" w:ascii="仿宋_GB2312" w:hAnsi="仿宋_GB2312" w:eastAsia="仿宋_GB2312" w:cs="仿宋_GB2312"/>
          <w:b w:val="0"/>
          <w:i w:val="0"/>
          <w:color w:val="auto"/>
          <w:sz w:val="32"/>
          <w:szCs w:val="32"/>
          <w:highlight w:val="none"/>
        </w:rPr>
      </w:pPr>
      <w:r>
        <w:rPr>
          <w:rStyle w:val="20"/>
          <w:rFonts w:hint="eastAsia" w:eastAsia="楷体_GB2312"/>
          <w:highlight w:val="none"/>
          <w:lang w:eastAsia="zh-CN"/>
        </w:rPr>
        <w:t>（三）</w:t>
      </w:r>
      <w:r>
        <w:rPr>
          <w:rStyle w:val="20"/>
          <w:highlight w:val="none"/>
        </w:rPr>
        <w:t>基本原则</w:t>
      </w:r>
      <w:r>
        <w:rPr>
          <w:rFonts w:ascii="Times New Roman" w:hAnsi="Times New Roman" w:eastAsia="仿宋_GB2312" w:cs="仿宋_GB2312"/>
          <w:i w:val="0"/>
          <w:color w:val="0F1115"/>
          <w:sz w:val="32"/>
          <w:szCs w:val="32"/>
          <w:highlight w:val="none"/>
        </w:rPr>
        <w:t>：</w:t>
      </w:r>
      <w:r>
        <w:rPr>
          <w:rFonts w:hint="eastAsia" w:ascii="仿宋_GB2312" w:hAnsi="仿宋_GB2312" w:eastAsia="仿宋_GB2312" w:cs="仿宋_GB2312"/>
          <w:i w:val="0"/>
          <w:color w:val="0F1115"/>
          <w:sz w:val="32"/>
          <w:szCs w:val="32"/>
          <w:highlight w:val="none"/>
        </w:rPr>
        <w:t>根据《中华人民共和国道路交通安全法》相关规定，按照交通规则行人可通行最短距离计算，中间有障碍物的，原则上测量应与障碍物保持50厘米的距离，可供行人安全通过，避免危险。申请人经营场所或现有零售点存在多个出入口（门）的，以测量结果最近的距离为准。政府有关部门在街道或道路中间已经设置的隔离带（栏）、单实线及双实线、绿化等视为障碍物。</w:t>
      </w:r>
    </w:p>
    <w:p>
      <w:pPr>
        <w:pStyle w:val="11"/>
        <w:widowControl/>
        <w:numPr>
          <w:ilvl w:val="0"/>
          <w:numId w:val="0"/>
        </w:numPr>
        <w:topLinePunct w:val="0"/>
        <w:ind w:left="0" w:leftChars="0" w:firstLine="616"/>
        <w:rPr>
          <w:rFonts w:hint="eastAsia" w:ascii="CESI仿宋-GB2312" w:hAnsi="CESI仿宋-GB2312" w:eastAsia="CESI仿宋-GB2312" w:cs="CESI仿宋-GB2312"/>
          <w:b w:val="0"/>
          <w:bCs w:val="0"/>
          <w:snapToGrid w:val="0"/>
          <w:color w:val="000000"/>
          <w:kern w:val="0"/>
          <w:sz w:val="30"/>
          <w:szCs w:val="30"/>
          <w:highlight w:val="none"/>
          <w:lang w:val="en-US" w:eastAsia="zh-CN" w:bidi="ar-SA"/>
        </w:rPr>
      </w:pPr>
      <w:r>
        <w:rPr>
          <w:rStyle w:val="20"/>
          <w:rFonts w:hint="eastAsia" w:eastAsia="楷体_GB2312"/>
          <w:highlight w:val="none"/>
          <w:lang w:eastAsia="zh-CN"/>
        </w:rPr>
        <w:t>（四）</w:t>
      </w:r>
      <w:r>
        <w:rPr>
          <w:rStyle w:val="20"/>
          <w:highlight w:val="none"/>
        </w:rPr>
        <w:t>测量标准</w:t>
      </w:r>
      <w:r>
        <w:rPr>
          <w:rFonts w:ascii="Times New Roman" w:hAnsi="Times New Roman" w:eastAsia="仿宋_GB2312" w:cs="仿宋_GB2312"/>
          <w:i w:val="0"/>
          <w:color w:val="0F1115"/>
          <w:sz w:val="32"/>
          <w:szCs w:val="32"/>
          <w:highlight w:val="none"/>
        </w:rPr>
        <w:t>：</w:t>
      </w: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val="en-US" w:eastAsia="zh-CN"/>
        </w:rPr>
      </w:pPr>
      <w:r>
        <w:rPr>
          <w:rFonts w:hint="eastAsia" w:ascii="仿宋_GB2312" w:hAnsi="仿宋_GB2312" w:eastAsia="仿宋_GB2312" w:cs="仿宋_GB2312"/>
          <w:b w:val="0"/>
          <w:bCs w:val="0"/>
          <w:snapToGrid w:val="0"/>
          <w:color w:val="000000"/>
          <w:kern w:val="0"/>
          <w:sz w:val="32"/>
          <w:szCs w:val="32"/>
          <w:highlight w:val="none"/>
          <w:lang w:val="en-US" w:eastAsia="zh-CN" w:bidi="ar-SA"/>
        </w:rPr>
        <w:t>1.</w:t>
      </w:r>
      <w:r>
        <w:rPr>
          <w:rFonts w:hint="eastAsia" w:ascii="Times New Roman" w:hAnsi="Times New Roman" w:eastAsia="仿宋_GB2312" w:cs="仿宋_GB2312"/>
          <w:i w:val="0"/>
          <w:color w:val="0F1115"/>
          <w:sz w:val="32"/>
          <w:szCs w:val="32"/>
          <w:highlight w:val="none"/>
          <w:lang w:eastAsia="zh-CN"/>
        </w:rPr>
        <w:t>申请人的经营场所与最近零售点的经营场所同侧无障碍物的，测量两点最短直线距离。</w:t>
      </w:r>
      <w:r>
        <w:rPr>
          <w:rFonts w:hint="eastAsia" w:ascii="仿宋_GB2312" w:hAnsi="仿宋_GB2312" w:eastAsia="仿宋_GB2312" w:cs="仿宋_GB2312"/>
          <w:i w:val="0"/>
          <w:color w:val="0F1115"/>
          <w:sz w:val="32"/>
          <w:szCs w:val="32"/>
          <w:highlight w:val="none"/>
          <w:lang w:eastAsia="zh-CN"/>
        </w:rPr>
        <w:t>（</w:t>
      </w:r>
      <w:r>
        <w:rPr>
          <w:rFonts w:hint="eastAsia" w:ascii="仿宋_GB2312" w:hAnsi="仿宋_GB2312" w:eastAsia="仿宋_GB2312" w:cs="仿宋_GB2312"/>
          <w:i w:val="0"/>
          <w:color w:val="0F1115"/>
          <w:sz w:val="32"/>
          <w:szCs w:val="32"/>
          <w:highlight w:val="none"/>
          <w:lang w:val="en-US" w:eastAsia="zh-CN"/>
        </w:rPr>
        <w:t>见图1）</w:t>
      </w: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val="en-US" w:eastAsia="zh-CN"/>
        </w:rPr>
      </w:pPr>
      <w:r>
        <w:rPr>
          <w:rFonts w:hint="default" w:ascii="仿宋_GB2312" w:hAnsi="仿宋" w:eastAsia="仿宋_GB2312" w:cs="宋体"/>
          <w:sz w:val="30"/>
          <w:szCs w:val="30"/>
          <w:highlight w:val="none"/>
          <w:lang w:val="en-US" w:eastAsia="zh-CN" w:bidi="ug-CN"/>
        </w:rPr>
        <w:drawing>
          <wp:anchor distT="0" distB="0" distL="114300" distR="114300" simplePos="0" relativeHeight="251661312" behindDoc="0" locked="0" layoutInCell="1" allowOverlap="1">
            <wp:simplePos x="0" y="0"/>
            <wp:positionH relativeFrom="column">
              <wp:posOffset>251460</wp:posOffset>
            </wp:positionH>
            <wp:positionV relativeFrom="paragraph">
              <wp:posOffset>147955</wp:posOffset>
            </wp:positionV>
            <wp:extent cx="4298950" cy="2444115"/>
            <wp:effectExtent l="0" t="0" r="6350" b="6985"/>
            <wp:wrapNone/>
            <wp:docPr id="4" name="图片 3" descr="1.同侧 无障碍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同侧 无障碍物"/>
                    <pic:cNvPicPr>
                      <a:picLocks noChangeAspect="1"/>
                    </pic:cNvPicPr>
                  </pic:nvPicPr>
                  <pic:blipFill>
                    <a:blip r:embed="rId10"/>
                    <a:stretch>
                      <a:fillRect/>
                    </a:stretch>
                  </pic:blipFill>
                  <pic:spPr>
                    <a:xfrm>
                      <a:off x="0" y="0"/>
                      <a:ext cx="4298950" cy="2444115"/>
                    </a:xfrm>
                    <a:prstGeom prst="rect">
                      <a:avLst/>
                    </a:prstGeom>
                    <a:noFill/>
                    <a:ln>
                      <a:noFill/>
                    </a:ln>
                  </pic:spPr>
                </pic:pic>
              </a:graphicData>
            </a:graphic>
          </wp:anchor>
        </w:drawing>
      </w: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val="en-US" w:eastAsia="zh-CN"/>
        </w:rPr>
      </w:pP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val="en-US" w:eastAsia="zh-CN"/>
        </w:rPr>
      </w:pP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val="en-US" w:eastAsia="zh-CN"/>
        </w:rPr>
      </w:pP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val="en-US" w:eastAsia="zh-CN"/>
        </w:rPr>
      </w:pP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val="en-US" w:eastAsia="zh-CN"/>
        </w:rPr>
      </w:pPr>
    </w:p>
    <w:p>
      <w:pPr>
        <w:pStyle w:val="11"/>
        <w:widowControl/>
        <w:numPr>
          <w:ilvl w:val="0"/>
          <w:numId w:val="0"/>
        </w:numPr>
        <w:topLinePunct w:val="0"/>
        <w:ind w:left="0" w:leftChars="0" w:firstLine="616"/>
        <w:rPr>
          <w:rFonts w:hint="eastAsia" w:ascii="仿宋_GB2312" w:hAnsi="仿宋_GB2312" w:eastAsia="仿宋_GB2312" w:cs="仿宋_GB2312"/>
          <w:i w:val="0"/>
          <w:color w:val="0F1115"/>
          <w:sz w:val="32"/>
          <w:szCs w:val="32"/>
          <w:highlight w:val="none"/>
          <w:lang w:val="en-US" w:eastAsia="zh-CN"/>
        </w:rPr>
      </w:pPr>
    </w:p>
    <w:p>
      <w:pPr>
        <w:pStyle w:val="11"/>
        <w:widowControl/>
        <w:numPr>
          <w:ilvl w:val="0"/>
          <w:numId w:val="0"/>
        </w:numPr>
        <w:topLinePunct w:val="0"/>
        <w:rPr>
          <w:rFonts w:hint="eastAsia" w:ascii="仿宋_GB2312" w:hAnsi="仿宋_GB2312" w:eastAsia="仿宋_GB2312" w:cs="仿宋_GB2312"/>
          <w:i w:val="0"/>
          <w:color w:val="0F1115"/>
          <w:sz w:val="32"/>
          <w:szCs w:val="32"/>
          <w:highlight w:val="none"/>
          <w:lang w:val="en-US" w:eastAsia="zh-CN"/>
        </w:rPr>
      </w:pPr>
    </w:p>
    <w:p>
      <w:pPr>
        <w:pStyle w:val="11"/>
        <w:widowControl/>
        <w:ind w:left="0" w:leftChars="0" w:firstLine="576" w:firstLineChars="200"/>
        <w:rPr>
          <w:rFonts w:hint="eastAsia" w:ascii="仿宋_GB2312" w:hAnsi="仿宋" w:eastAsia="仿宋_GB2312" w:cs="宋体"/>
          <w:sz w:val="30"/>
          <w:szCs w:val="30"/>
          <w:highlight w:val="none"/>
          <w:lang w:val="en-US" w:eastAsia="zh-CN" w:bidi="ug-CN"/>
        </w:rPr>
      </w:pPr>
      <w:r>
        <w:rPr>
          <w:rFonts w:hint="eastAsia" w:ascii="仿宋_GB2312" w:hAnsi="仿宋" w:eastAsia="仿宋_GB2312" w:cs="宋体"/>
          <w:sz w:val="30"/>
          <w:szCs w:val="30"/>
          <w:highlight w:val="none"/>
          <w:lang w:val="en-US" w:eastAsia="zh-CN" w:bidi="ug-CN"/>
        </w:rPr>
        <w:t>2.申请人的经营场所与最近零售点的经营场所同侧存在障碍物的，分段绕过障碍物测量，分段距离之和即为申请人的经营场所与最近零售点的经营场所间的距离。（见图2）</w:t>
      </w:r>
    </w:p>
    <w:p>
      <w:pPr>
        <w:pStyle w:val="11"/>
        <w:widowControl/>
        <w:ind w:left="0" w:leftChars="0" w:firstLine="576" w:firstLineChars="200"/>
        <w:rPr>
          <w:rFonts w:hint="eastAsia" w:ascii="仿宋_GB2312" w:hAnsi="仿宋" w:eastAsia="仿宋_GB2312" w:cs="宋体"/>
          <w:sz w:val="30"/>
          <w:szCs w:val="30"/>
          <w:highlight w:val="none"/>
          <w:lang w:val="en-US" w:eastAsia="zh-CN" w:bidi="ug-CN"/>
        </w:rPr>
      </w:pPr>
      <w:r>
        <w:rPr>
          <w:rFonts w:hint="default" w:ascii="仿宋_GB2312" w:hAnsi="仿宋" w:eastAsia="仿宋_GB2312" w:cs="宋体"/>
          <w:sz w:val="30"/>
          <w:szCs w:val="30"/>
          <w:highlight w:val="none"/>
          <w:lang w:val="en-US" w:eastAsia="zh-CN" w:bidi="ug-CN"/>
        </w:rPr>
        <w:drawing>
          <wp:anchor distT="0" distB="0" distL="114300" distR="114300" simplePos="0" relativeHeight="251666432" behindDoc="0" locked="0" layoutInCell="1" allowOverlap="1">
            <wp:simplePos x="0" y="0"/>
            <wp:positionH relativeFrom="column">
              <wp:posOffset>382270</wp:posOffset>
            </wp:positionH>
            <wp:positionV relativeFrom="paragraph">
              <wp:posOffset>-2446020</wp:posOffset>
            </wp:positionV>
            <wp:extent cx="4469765" cy="2726690"/>
            <wp:effectExtent l="0" t="0" r="635" b="3810"/>
            <wp:wrapTopAndBottom/>
            <wp:docPr id="5" name="图片 4" descr="2026-05-19_17-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2026-05-19_17-01-26"/>
                    <pic:cNvPicPr>
                      <a:picLocks noChangeAspect="1"/>
                    </pic:cNvPicPr>
                  </pic:nvPicPr>
                  <pic:blipFill>
                    <a:blip r:embed="rId11"/>
                    <a:stretch>
                      <a:fillRect/>
                    </a:stretch>
                  </pic:blipFill>
                  <pic:spPr>
                    <a:xfrm>
                      <a:off x="0" y="0"/>
                      <a:ext cx="4469765" cy="2726690"/>
                    </a:xfrm>
                    <a:prstGeom prst="rect">
                      <a:avLst/>
                    </a:prstGeom>
                    <a:noFill/>
                    <a:ln>
                      <a:noFill/>
                    </a:ln>
                  </pic:spPr>
                </pic:pic>
              </a:graphicData>
            </a:graphic>
          </wp:anchor>
        </w:drawing>
      </w:r>
    </w:p>
    <w:p>
      <w:pPr>
        <w:pStyle w:val="11"/>
        <w:widowControl/>
        <w:ind w:left="0" w:leftChars="0" w:firstLine="576" w:firstLineChars="200"/>
        <w:rPr>
          <w:rFonts w:hint="eastAsia" w:ascii="仿宋_GB2312" w:hAnsi="仿宋" w:eastAsia="仿宋_GB2312" w:cs="宋体"/>
          <w:sz w:val="30"/>
          <w:szCs w:val="30"/>
          <w:highlight w:val="none"/>
          <w:lang w:val="en-US" w:eastAsia="zh-CN" w:bidi="ug-CN"/>
        </w:rPr>
      </w:pPr>
    </w:p>
    <w:p>
      <w:pPr>
        <w:pStyle w:val="11"/>
        <w:widowControl/>
        <w:ind w:left="0" w:leftChars="0" w:firstLine="576" w:firstLineChars="200"/>
        <w:rPr>
          <w:rFonts w:hint="eastAsia" w:ascii="仿宋_GB2312" w:hAnsi="仿宋" w:eastAsia="仿宋_GB2312" w:cs="宋体"/>
          <w:sz w:val="30"/>
          <w:szCs w:val="30"/>
          <w:highlight w:val="none"/>
          <w:lang w:val="en-US" w:eastAsia="zh-CN" w:bidi="ug-CN"/>
        </w:rPr>
      </w:pPr>
    </w:p>
    <w:p>
      <w:pPr>
        <w:pStyle w:val="11"/>
        <w:widowControl/>
        <w:ind w:left="0" w:leftChars="0" w:firstLine="576" w:firstLineChars="200"/>
        <w:rPr>
          <w:rFonts w:hint="eastAsia" w:ascii="Times New Roman" w:hAnsi="Times New Roman" w:eastAsia="仿宋_GB2312" w:cs="仿宋_GB2312"/>
          <w:sz w:val="32"/>
          <w:szCs w:val="32"/>
          <w:highlight w:val="none"/>
          <w:lang w:eastAsia="zh-CN"/>
        </w:rPr>
      </w:pPr>
      <w:r>
        <w:rPr>
          <w:rFonts w:hint="eastAsia" w:ascii="仿宋_GB2312" w:hAnsi="仿宋" w:eastAsia="仿宋_GB2312" w:cs="宋体"/>
          <w:sz w:val="30"/>
          <w:szCs w:val="30"/>
          <w:highlight w:val="none"/>
          <w:lang w:val="en-US" w:eastAsia="zh-CN" w:bidi="ug-CN"/>
        </w:rPr>
        <w:t>3.</w:t>
      </w:r>
      <w:r>
        <w:rPr>
          <w:rFonts w:hint="eastAsia" w:ascii="仿宋_GB2312" w:hAnsi="仿宋" w:eastAsia="仿宋_GB2312" w:cs="宋体"/>
          <w:sz w:val="30"/>
          <w:szCs w:val="30"/>
          <w:highlight w:val="none"/>
          <w:lang w:eastAsia="zh-CN" w:bidi="ug-CN"/>
        </w:rPr>
        <w:t>申请人的经营场所与最近零售点的经营场所异侧无障碍物的,按分段测量最短距离，分段距离之和即为申请人的经营场所与最近零售点的经营场所的距离。（见图</w:t>
      </w:r>
      <w:r>
        <w:rPr>
          <w:rFonts w:hint="eastAsia" w:ascii="仿宋_GB2312" w:hAnsi="仿宋" w:eastAsia="仿宋_GB2312" w:cs="宋体"/>
          <w:sz w:val="30"/>
          <w:szCs w:val="30"/>
          <w:highlight w:val="none"/>
          <w:lang w:val="en-US" w:eastAsia="zh-CN" w:bidi="ug-CN"/>
        </w:rPr>
        <w:t>3</w:t>
      </w:r>
      <w:r>
        <w:rPr>
          <w:rFonts w:hint="eastAsia" w:ascii="仿宋_GB2312" w:hAnsi="仿宋" w:eastAsia="仿宋_GB2312" w:cs="宋体"/>
          <w:sz w:val="30"/>
          <w:szCs w:val="30"/>
          <w:highlight w:val="none"/>
          <w:lang w:eastAsia="zh-CN" w:bidi="ug-CN"/>
        </w:rPr>
        <w:t>）。</w:t>
      </w:r>
    </w:p>
    <w:p>
      <w:pPr>
        <w:pStyle w:val="11"/>
        <w:widowControl/>
        <w:ind w:left="0" w:leftChars="0" w:firstLine="0" w:firstLineChars="0"/>
        <w:rPr>
          <w:rFonts w:ascii="Times New Roman" w:hAnsi="Times New Roman" w:eastAsia="仿宋_GB2312" w:cs="仿宋_GB2312"/>
          <w:sz w:val="32"/>
          <w:szCs w:val="32"/>
          <w:highlight w:val="none"/>
        </w:rPr>
      </w:pPr>
      <w:r>
        <w:rPr>
          <w:rFonts w:hint="eastAsia" w:ascii="仿宋_GB2312" w:hAnsi="仿宋" w:eastAsia="仿宋_GB2312" w:cs="宋体"/>
          <w:sz w:val="30"/>
          <w:szCs w:val="30"/>
          <w:highlight w:val="none"/>
          <w:lang w:eastAsia="zh-CN" w:bidi="ug-CN"/>
        </w:rPr>
        <w:drawing>
          <wp:anchor distT="0" distB="0" distL="114300" distR="114300" simplePos="0" relativeHeight="251662336" behindDoc="0" locked="0" layoutInCell="1" allowOverlap="1">
            <wp:simplePos x="0" y="0"/>
            <wp:positionH relativeFrom="column">
              <wp:posOffset>455295</wp:posOffset>
            </wp:positionH>
            <wp:positionV relativeFrom="paragraph">
              <wp:posOffset>32385</wp:posOffset>
            </wp:positionV>
            <wp:extent cx="3733800" cy="3049270"/>
            <wp:effectExtent l="0" t="0" r="0" b="11430"/>
            <wp:wrapNone/>
            <wp:docPr id="6" name="图片 5" descr="3.异侧无障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3.异侧无障碍"/>
                    <pic:cNvPicPr>
                      <a:picLocks noChangeAspect="1"/>
                    </pic:cNvPicPr>
                  </pic:nvPicPr>
                  <pic:blipFill>
                    <a:blip r:embed="rId12">
                      <a:lum bright="-6000"/>
                    </a:blip>
                    <a:stretch>
                      <a:fillRect/>
                    </a:stretch>
                  </pic:blipFill>
                  <pic:spPr>
                    <a:xfrm>
                      <a:off x="0" y="0"/>
                      <a:ext cx="3733800" cy="3049270"/>
                    </a:xfrm>
                    <a:prstGeom prst="rect">
                      <a:avLst/>
                    </a:prstGeom>
                    <a:noFill/>
                    <a:ln>
                      <a:noFill/>
                    </a:ln>
                  </pic:spPr>
                </pic:pic>
              </a:graphicData>
            </a:graphic>
          </wp:anchor>
        </w:drawing>
      </w:r>
    </w:p>
    <w:p>
      <w:pPr>
        <w:pStyle w:val="11"/>
        <w:widowControl/>
        <w:ind w:left="0" w:leftChars="0" w:firstLine="0" w:firstLineChars="0"/>
        <w:rPr>
          <w:rFonts w:ascii="Times New Roman" w:hAnsi="Times New Roman" w:eastAsia="仿宋_GB2312" w:cs="仿宋_GB2312"/>
          <w:sz w:val="32"/>
          <w:szCs w:val="32"/>
          <w:highlight w:val="none"/>
        </w:rPr>
      </w:pPr>
    </w:p>
    <w:p>
      <w:pPr>
        <w:pStyle w:val="11"/>
        <w:widowControl/>
        <w:ind w:left="0" w:leftChars="0" w:firstLine="0" w:firstLineChars="0"/>
        <w:rPr>
          <w:rFonts w:ascii="Times New Roman" w:hAnsi="Times New Roman" w:eastAsia="仿宋_GB2312" w:cs="仿宋_GB2312"/>
          <w:sz w:val="32"/>
          <w:szCs w:val="32"/>
          <w:highlight w:val="none"/>
        </w:rPr>
      </w:pPr>
    </w:p>
    <w:p>
      <w:pPr>
        <w:pStyle w:val="11"/>
        <w:widowControl/>
        <w:ind w:left="0" w:leftChars="0" w:firstLine="0" w:firstLineChars="0"/>
        <w:rPr>
          <w:rFonts w:ascii="Times New Roman" w:hAnsi="Times New Roman" w:eastAsia="仿宋_GB2312" w:cs="仿宋_GB2312"/>
          <w:sz w:val="32"/>
          <w:szCs w:val="32"/>
          <w:highlight w:val="none"/>
        </w:rPr>
      </w:pPr>
    </w:p>
    <w:p>
      <w:pPr>
        <w:pStyle w:val="11"/>
        <w:widowControl/>
        <w:ind w:left="0" w:leftChars="0" w:firstLine="0" w:firstLineChars="0"/>
        <w:rPr>
          <w:rFonts w:ascii="Times New Roman" w:hAnsi="Times New Roman" w:eastAsia="仿宋_GB2312" w:cs="仿宋_GB2312"/>
          <w:sz w:val="32"/>
          <w:szCs w:val="32"/>
          <w:highlight w:val="none"/>
        </w:rPr>
      </w:pPr>
    </w:p>
    <w:p>
      <w:pPr>
        <w:pStyle w:val="11"/>
        <w:widowControl/>
        <w:ind w:left="0" w:leftChars="0" w:firstLine="0" w:firstLineChars="0"/>
        <w:rPr>
          <w:rFonts w:ascii="Times New Roman" w:hAnsi="Times New Roman" w:eastAsia="仿宋_GB2312" w:cs="仿宋_GB2312"/>
          <w:sz w:val="32"/>
          <w:szCs w:val="32"/>
          <w:highlight w:val="none"/>
        </w:rPr>
      </w:pPr>
    </w:p>
    <w:p>
      <w:pPr>
        <w:pStyle w:val="11"/>
        <w:widowControl/>
        <w:ind w:left="0" w:leftChars="0" w:firstLine="0" w:firstLineChars="0"/>
        <w:rPr>
          <w:rFonts w:ascii="Times New Roman" w:hAnsi="Times New Roman" w:eastAsia="仿宋_GB2312" w:cs="仿宋_GB2312"/>
          <w:sz w:val="32"/>
          <w:szCs w:val="32"/>
          <w:highlight w:val="none"/>
        </w:rPr>
      </w:pPr>
    </w:p>
    <w:p>
      <w:pPr>
        <w:pStyle w:val="11"/>
        <w:widowControl/>
        <w:ind w:left="0" w:leftChars="0" w:firstLine="0" w:firstLineChars="0"/>
        <w:rPr>
          <w:rFonts w:ascii="Times New Roman" w:hAnsi="Times New Roman" w:eastAsia="仿宋_GB2312" w:cs="仿宋_GB2312"/>
          <w:sz w:val="32"/>
          <w:szCs w:val="32"/>
          <w:highlight w:val="none"/>
        </w:rPr>
      </w:pPr>
    </w:p>
    <w:p>
      <w:pPr>
        <w:pStyle w:val="11"/>
        <w:widowControl/>
        <w:ind w:left="0" w:leftChars="0" w:firstLine="0" w:firstLineChars="0"/>
        <w:rPr>
          <w:rFonts w:ascii="Times New Roman" w:hAnsi="Times New Roman" w:eastAsia="仿宋_GB2312" w:cs="仿宋_GB2312"/>
          <w:sz w:val="32"/>
          <w:szCs w:val="32"/>
          <w:highlight w:val="none"/>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r>
        <w:rPr>
          <w:rFonts w:hint="eastAsia" w:ascii="仿宋_GB2312" w:hAnsi="仿宋_GB2312" w:eastAsia="仿宋_GB2312" w:cs="仿宋_GB2312"/>
          <w:sz w:val="30"/>
          <w:szCs w:val="30"/>
          <w:highlight w:val="none"/>
          <w:lang w:val="en-US" w:eastAsia="zh-CN" w:bidi="ug-CN"/>
        </w:rPr>
        <w:t>4.</w:t>
      </w:r>
      <w:r>
        <w:rPr>
          <w:rFonts w:hint="eastAsia" w:ascii="仿宋_GB2312" w:hAnsi="仿宋_GB2312" w:eastAsia="仿宋_GB2312" w:cs="仿宋_GB2312"/>
          <w:sz w:val="30"/>
          <w:szCs w:val="30"/>
          <w:highlight w:val="none"/>
          <w:lang w:eastAsia="zh-CN" w:bidi="ug-CN"/>
        </w:rPr>
        <w:t>申请人的经营场所与最近零售点的经营场所异侧存在障碍物的，</w:t>
      </w:r>
      <w:r>
        <w:rPr>
          <w:rFonts w:hint="eastAsia" w:ascii="仿宋_GB2312" w:hAnsi="仿宋_GB2312" w:eastAsia="仿宋_GB2312" w:cs="仿宋_GB2312"/>
          <w:b w:val="0"/>
          <w:bCs w:val="0"/>
          <w:snapToGrid w:val="0"/>
          <w:color w:val="000000"/>
          <w:kern w:val="0"/>
          <w:sz w:val="30"/>
          <w:szCs w:val="30"/>
          <w:highlight w:val="none"/>
          <w:lang w:val="en-US" w:eastAsia="zh-CN" w:bidi="ar-SA"/>
        </w:rPr>
        <w:t>分段绕过障碍物测量，分段距离之和即为申请人的经营场所与最近零售点的经营场所间的距离。</w:t>
      </w:r>
      <w:r>
        <w:rPr>
          <w:rFonts w:hint="eastAsia" w:ascii="仿宋_GB2312" w:hAnsi="仿宋_GB2312" w:eastAsia="仿宋_GB2312" w:cs="仿宋_GB2312"/>
          <w:sz w:val="30"/>
          <w:szCs w:val="30"/>
          <w:highlight w:val="none"/>
          <w:lang w:eastAsia="zh-CN" w:bidi="ug-CN"/>
        </w:rPr>
        <w:t>（见图</w:t>
      </w:r>
      <w:r>
        <w:rPr>
          <w:rFonts w:hint="eastAsia" w:ascii="仿宋_GB2312" w:hAnsi="仿宋_GB2312" w:eastAsia="仿宋_GB2312" w:cs="仿宋_GB2312"/>
          <w:sz w:val="30"/>
          <w:szCs w:val="30"/>
          <w:highlight w:val="none"/>
          <w:lang w:val="en-US" w:eastAsia="zh-CN" w:bidi="ug-CN"/>
        </w:rPr>
        <w:t>4</w:t>
      </w:r>
      <w:r>
        <w:rPr>
          <w:rFonts w:hint="eastAsia" w:ascii="仿宋_GB2312" w:hAnsi="仿宋_GB2312" w:eastAsia="仿宋_GB2312" w:cs="仿宋_GB2312"/>
          <w:sz w:val="30"/>
          <w:szCs w:val="30"/>
          <w:highlight w:val="none"/>
          <w:lang w:eastAsia="zh-CN" w:bidi="ug-CN"/>
        </w:rPr>
        <w:t>）</w:t>
      </w: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r>
        <w:rPr>
          <w:rFonts w:hint="eastAsia" w:ascii="仿宋_GB2312" w:hAnsi="仿宋" w:eastAsia="仿宋_GB2312" w:cs="宋体"/>
          <w:sz w:val="30"/>
          <w:szCs w:val="30"/>
          <w:highlight w:val="none"/>
          <w:lang w:eastAsia="zh-CN" w:bidi="ug-CN"/>
        </w:rPr>
        <w:drawing>
          <wp:anchor distT="0" distB="0" distL="114300" distR="114300" simplePos="0" relativeHeight="251663360" behindDoc="0" locked="0" layoutInCell="1" allowOverlap="1">
            <wp:simplePos x="0" y="0"/>
            <wp:positionH relativeFrom="column">
              <wp:posOffset>906145</wp:posOffset>
            </wp:positionH>
            <wp:positionV relativeFrom="paragraph">
              <wp:posOffset>103505</wp:posOffset>
            </wp:positionV>
            <wp:extent cx="2933700" cy="3191510"/>
            <wp:effectExtent l="0" t="0" r="0" b="8890"/>
            <wp:wrapNone/>
            <wp:docPr id="7" name="图片 6" descr="4.异侧 有障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4.异侧 有障碍"/>
                    <pic:cNvPicPr>
                      <a:picLocks noChangeAspect="1"/>
                    </pic:cNvPicPr>
                  </pic:nvPicPr>
                  <pic:blipFill>
                    <a:blip r:embed="rId13"/>
                    <a:stretch>
                      <a:fillRect/>
                    </a:stretch>
                  </pic:blipFill>
                  <pic:spPr>
                    <a:xfrm>
                      <a:off x="0" y="0"/>
                      <a:ext cx="2933700" cy="3191510"/>
                    </a:xfrm>
                    <a:prstGeom prst="rect">
                      <a:avLst/>
                    </a:prstGeom>
                    <a:noFill/>
                    <a:ln>
                      <a:noFill/>
                    </a:ln>
                  </pic:spPr>
                </pic:pic>
              </a:graphicData>
            </a:graphic>
          </wp:anchor>
        </w:drawing>
      </w: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ind w:firstLine="576" w:firstLineChars="200"/>
        <w:rPr>
          <w:rFonts w:hint="eastAsia" w:ascii="仿宋_GB2312" w:hAnsi="仿宋_GB2312" w:eastAsia="仿宋_GB2312" w:cs="仿宋_GB2312"/>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ind w:firstLine="576" w:firstLineChars="200"/>
        <w:jc w:val="both"/>
        <w:textAlignment w:val="baseline"/>
        <w:rPr>
          <w:rFonts w:hint="eastAsia" w:ascii="仿宋_GB2312" w:hAnsi="仿宋" w:eastAsia="仿宋_GB2312" w:cs="宋体"/>
          <w:sz w:val="30"/>
          <w:szCs w:val="30"/>
          <w:highlight w:val="none"/>
          <w:lang w:eastAsia="zh-CN" w:bidi="ug-CN"/>
        </w:rPr>
      </w:pPr>
      <w:r>
        <w:rPr>
          <w:rFonts w:hint="eastAsia" w:ascii="仿宋_GB2312" w:hAnsi="仿宋" w:eastAsia="仿宋_GB2312" w:cs="宋体"/>
          <w:sz w:val="30"/>
          <w:szCs w:val="30"/>
          <w:highlight w:val="none"/>
          <w:lang w:eastAsia="zh-CN" w:bidi="ug-CN"/>
        </w:rPr>
        <w:drawing>
          <wp:anchor distT="0" distB="0" distL="114300" distR="114300" simplePos="0" relativeHeight="251664384" behindDoc="0" locked="0" layoutInCell="1" allowOverlap="1">
            <wp:simplePos x="0" y="0"/>
            <wp:positionH relativeFrom="column">
              <wp:posOffset>640080</wp:posOffset>
            </wp:positionH>
            <wp:positionV relativeFrom="paragraph">
              <wp:posOffset>683260</wp:posOffset>
            </wp:positionV>
            <wp:extent cx="3837940" cy="2333625"/>
            <wp:effectExtent l="0" t="0" r="10160" b="3175"/>
            <wp:wrapNone/>
            <wp:docPr id="8" name="图片 7" descr="5有转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5有转角"/>
                    <pic:cNvPicPr>
                      <a:picLocks noChangeAspect="1"/>
                    </pic:cNvPicPr>
                  </pic:nvPicPr>
                  <pic:blipFill>
                    <a:blip r:embed="rId14"/>
                    <a:stretch>
                      <a:fillRect/>
                    </a:stretch>
                  </pic:blipFill>
                  <pic:spPr>
                    <a:xfrm>
                      <a:off x="0" y="0"/>
                      <a:ext cx="3837940" cy="2333625"/>
                    </a:xfrm>
                    <a:prstGeom prst="rect">
                      <a:avLst/>
                    </a:prstGeom>
                    <a:noFill/>
                    <a:ln>
                      <a:noFill/>
                    </a:ln>
                  </pic:spPr>
                </pic:pic>
              </a:graphicData>
            </a:graphic>
          </wp:anchor>
        </w:drawing>
      </w:r>
      <w:r>
        <w:rPr>
          <w:rFonts w:hint="eastAsia" w:ascii="仿宋_GB2312" w:hAnsi="仿宋" w:eastAsia="仿宋_GB2312" w:cs="宋体"/>
          <w:sz w:val="30"/>
          <w:szCs w:val="30"/>
          <w:highlight w:val="none"/>
          <w:lang w:val="en-US" w:eastAsia="zh-CN" w:bidi="ug-CN"/>
        </w:rPr>
        <w:t>5.申</w:t>
      </w:r>
      <w:r>
        <w:rPr>
          <w:rFonts w:hint="eastAsia" w:ascii="仿宋_GB2312" w:hAnsi="仿宋_GB2312" w:eastAsia="仿宋_GB2312" w:cs="仿宋_GB2312"/>
          <w:sz w:val="30"/>
          <w:szCs w:val="30"/>
          <w:highlight w:val="none"/>
          <w:lang w:eastAsia="zh-CN" w:bidi="ug-CN"/>
        </w:rPr>
        <w:t>请人的经营场所与最近零售点的经营场所</w:t>
      </w:r>
      <w:r>
        <w:rPr>
          <w:rFonts w:hint="eastAsia" w:ascii="仿宋_GB2312" w:hAnsi="黑体" w:eastAsia="仿宋_GB2312" w:cs="宋体"/>
          <w:sz w:val="30"/>
          <w:szCs w:val="30"/>
          <w:highlight w:val="none"/>
          <w:lang w:eastAsia="zh-CN" w:bidi="ug-CN"/>
        </w:rPr>
        <w:t>之间</w:t>
      </w:r>
      <w:r>
        <w:rPr>
          <w:rFonts w:hint="eastAsia" w:ascii="仿宋_GB2312" w:hAnsi="仿宋" w:eastAsia="仿宋_GB2312" w:cs="宋体"/>
          <w:sz w:val="30"/>
          <w:szCs w:val="30"/>
          <w:highlight w:val="none"/>
          <w:lang w:eastAsia="zh-CN" w:bidi="ug-CN"/>
        </w:rPr>
        <w:t>道路存在有转角的，按分段测量最短距离。（见图</w:t>
      </w:r>
      <w:r>
        <w:rPr>
          <w:rFonts w:hint="eastAsia" w:ascii="仿宋_GB2312" w:eastAsia="仿宋_GB2312" w:cs="宋体"/>
          <w:sz w:val="30"/>
          <w:szCs w:val="30"/>
          <w:highlight w:val="none"/>
          <w:lang w:val="en-US" w:eastAsia="zh-CN" w:bidi="ug-CN"/>
        </w:rPr>
        <w:t>5</w:t>
      </w:r>
      <w:r>
        <w:rPr>
          <w:rFonts w:hint="eastAsia" w:ascii="仿宋_GB2312" w:hAnsi="仿宋" w:eastAsia="仿宋_GB2312" w:cs="宋体"/>
          <w:sz w:val="30"/>
          <w:szCs w:val="30"/>
          <w:highlight w:val="none"/>
          <w:lang w:eastAsia="zh-CN" w:bidi="ug-CN"/>
        </w:rPr>
        <w:t>）</w:t>
      </w: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ind w:firstLine="576" w:firstLineChars="200"/>
        <w:jc w:val="both"/>
        <w:textAlignment w:val="baseline"/>
        <w:rPr>
          <w:rFonts w:hint="eastAsia" w:ascii="仿宋_GB2312" w:hAnsi="仿宋" w:eastAsia="仿宋_GB2312" w:cs="宋体"/>
          <w:sz w:val="30"/>
          <w:szCs w:val="30"/>
          <w:highlight w:val="none"/>
          <w:lang w:eastAsia="zh-CN" w:bidi="ug-CN"/>
        </w:rPr>
      </w:pPr>
      <w:r>
        <w:rPr>
          <w:rFonts w:hint="eastAsia" w:ascii="仿宋_GB2312" w:hAnsi="仿宋_GB2312" w:cs="仿宋_GB2312"/>
          <w:sz w:val="30"/>
          <w:szCs w:val="30"/>
          <w:highlight w:val="none"/>
          <w:lang w:val="en-US" w:eastAsia="zh-CN" w:bidi="ug-CN"/>
        </w:rPr>
        <w:t>6.</w:t>
      </w:r>
      <w:r>
        <w:rPr>
          <w:rFonts w:hint="eastAsia" w:ascii="仿宋_GB2312" w:hAnsi="仿宋_GB2312" w:eastAsia="仿宋_GB2312" w:cs="仿宋_GB2312"/>
          <w:sz w:val="30"/>
          <w:szCs w:val="30"/>
          <w:highlight w:val="none"/>
          <w:lang w:eastAsia="zh-CN" w:bidi="ug-CN"/>
        </w:rPr>
        <w:t>申请人的经营场所与最近零售点的经营场所</w:t>
      </w:r>
      <w:r>
        <w:rPr>
          <w:rFonts w:hint="eastAsia" w:ascii="仿宋_GB2312" w:hAnsi="仿宋" w:eastAsia="仿宋_GB2312" w:cs="宋体"/>
          <w:sz w:val="30"/>
          <w:szCs w:val="30"/>
          <w:highlight w:val="none"/>
          <w:lang w:eastAsia="zh-CN" w:bidi="ug-CN"/>
        </w:rPr>
        <w:t>之间有台阶、楼梯的，以其平面坡长进行测量；有电梯的，以层高进行测量；楼梯与电梯并存的，以最短距离的为准。（见图</w:t>
      </w:r>
      <w:r>
        <w:rPr>
          <w:rFonts w:hint="eastAsia" w:ascii="仿宋_GB2312" w:eastAsia="仿宋_GB2312" w:cs="宋体"/>
          <w:sz w:val="30"/>
          <w:szCs w:val="30"/>
          <w:highlight w:val="none"/>
          <w:lang w:val="en-US" w:eastAsia="zh-CN" w:bidi="ug-CN"/>
        </w:rPr>
        <w:t>6</w:t>
      </w:r>
      <w:r>
        <w:rPr>
          <w:rFonts w:hint="eastAsia" w:ascii="仿宋_GB2312" w:hAnsi="仿宋" w:eastAsia="仿宋_GB2312" w:cs="宋体"/>
          <w:sz w:val="30"/>
          <w:szCs w:val="30"/>
          <w:highlight w:val="none"/>
          <w:lang w:eastAsia="zh-CN" w:bidi="ug-CN"/>
        </w:rPr>
        <w:t>）</w:t>
      </w: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r>
        <w:rPr>
          <w:rFonts w:hint="eastAsia" w:ascii="仿宋_GB2312" w:eastAsia="仿宋_GB2312" w:cs="宋体"/>
          <w:sz w:val="30"/>
          <w:szCs w:val="30"/>
          <w:highlight w:val="none"/>
          <w:lang w:eastAsia="zh-CN" w:bidi="ug-CN"/>
        </w:rPr>
        <w:drawing>
          <wp:anchor distT="0" distB="0" distL="114300" distR="114300" simplePos="0" relativeHeight="251665408" behindDoc="0" locked="0" layoutInCell="1" allowOverlap="1">
            <wp:simplePos x="0" y="0"/>
            <wp:positionH relativeFrom="column">
              <wp:posOffset>628650</wp:posOffset>
            </wp:positionH>
            <wp:positionV relativeFrom="paragraph">
              <wp:posOffset>100965</wp:posOffset>
            </wp:positionV>
            <wp:extent cx="4224020" cy="2691765"/>
            <wp:effectExtent l="0" t="0" r="5080" b="635"/>
            <wp:wrapNone/>
            <wp:docPr id="9" name="图片 8" descr="6.有台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6.有台阶"/>
                    <pic:cNvPicPr>
                      <a:picLocks noChangeAspect="1"/>
                    </pic:cNvPicPr>
                  </pic:nvPicPr>
                  <pic:blipFill>
                    <a:blip r:embed="rId15"/>
                    <a:stretch>
                      <a:fillRect/>
                    </a:stretch>
                  </pic:blipFill>
                  <pic:spPr>
                    <a:xfrm>
                      <a:off x="0" y="0"/>
                      <a:ext cx="4224020" cy="2691765"/>
                    </a:xfrm>
                    <a:prstGeom prst="rect">
                      <a:avLst/>
                    </a:prstGeom>
                    <a:noFill/>
                    <a:ln>
                      <a:noFill/>
                    </a:ln>
                  </pic:spPr>
                </pic:pic>
              </a:graphicData>
            </a:graphic>
          </wp:anchor>
        </w:drawing>
      </w: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widowControl/>
        <w:numPr>
          <w:ilvl w:val="0"/>
          <w:numId w:val="0"/>
        </w:numPr>
        <w:kinsoku w:val="0"/>
        <w:autoSpaceDE w:val="0"/>
        <w:autoSpaceDN w:val="0"/>
        <w:adjustRightInd w:val="0"/>
        <w:snapToGrid w:val="0"/>
        <w:spacing w:line="560" w:lineRule="exact"/>
        <w:jc w:val="both"/>
        <w:textAlignment w:val="baseline"/>
        <w:rPr>
          <w:rFonts w:hint="eastAsia" w:ascii="仿宋_GB2312" w:hAnsi="仿宋" w:eastAsia="仿宋_GB2312" w:cs="宋体"/>
          <w:sz w:val="30"/>
          <w:szCs w:val="30"/>
          <w:highlight w:val="none"/>
          <w:lang w:eastAsia="zh-CN" w:bidi="ug-CN"/>
        </w:rPr>
      </w:pPr>
    </w:p>
    <w:p>
      <w:pPr>
        <w:pStyle w:val="11"/>
        <w:keepNext w:val="0"/>
        <w:keepLines w:val="0"/>
        <w:pageBreakBefore w:val="0"/>
        <w:widowControl/>
        <w:numPr>
          <w:ilvl w:val="0"/>
          <w:numId w:val="0"/>
        </w:numPr>
        <w:kinsoku w:val="0"/>
        <w:wordWrap/>
        <w:overflowPunct/>
        <w:topLinePunct w:val="0"/>
        <w:autoSpaceDE w:val="0"/>
        <w:autoSpaceDN w:val="0"/>
        <w:bidi w:val="0"/>
        <w:adjustRightInd w:val="0"/>
        <w:snapToGrid w:val="0"/>
        <w:spacing w:before="165" w:line="560" w:lineRule="exact"/>
        <w:ind w:right="61" w:rightChars="0" w:firstLine="576" w:firstLineChars="200"/>
        <w:jc w:val="both"/>
        <w:textAlignment w:val="baseline"/>
        <w:rPr>
          <w:rFonts w:hint="eastAsia" w:ascii="仿宋_GB2312" w:hAnsi="仿宋" w:eastAsia="仿宋_GB2312" w:cs="宋体"/>
          <w:sz w:val="30"/>
          <w:szCs w:val="30"/>
          <w:highlight w:val="none"/>
          <w:lang w:val="en-US" w:eastAsia="zh-CN" w:bidi="ug-CN"/>
        </w:rPr>
      </w:pPr>
    </w:p>
    <w:p>
      <w:pPr>
        <w:pStyle w:val="11"/>
        <w:keepNext w:val="0"/>
        <w:keepLines w:val="0"/>
        <w:pageBreakBefore w:val="0"/>
        <w:widowControl/>
        <w:numPr>
          <w:ilvl w:val="0"/>
          <w:numId w:val="0"/>
        </w:numPr>
        <w:kinsoku w:val="0"/>
        <w:wordWrap/>
        <w:overflowPunct/>
        <w:topLinePunct w:val="0"/>
        <w:autoSpaceDE w:val="0"/>
        <w:autoSpaceDN w:val="0"/>
        <w:bidi w:val="0"/>
        <w:adjustRightInd w:val="0"/>
        <w:snapToGrid w:val="0"/>
        <w:spacing w:before="165" w:line="560" w:lineRule="exact"/>
        <w:ind w:right="61" w:rightChars="0" w:firstLine="576" w:firstLineChars="200"/>
        <w:jc w:val="both"/>
        <w:textAlignment w:val="baseline"/>
        <w:rPr>
          <w:rFonts w:hint="eastAsia" w:ascii="仿宋_GB2312" w:hAnsi="仿宋" w:eastAsia="仿宋_GB2312" w:cs="宋体"/>
          <w:sz w:val="30"/>
          <w:szCs w:val="30"/>
          <w:highlight w:val="none"/>
          <w:lang w:eastAsia="zh-CN" w:bidi="ug-CN"/>
        </w:rPr>
      </w:pPr>
      <w:r>
        <w:rPr>
          <w:rFonts w:hint="eastAsia" w:ascii="仿宋_GB2312" w:hAnsi="仿宋" w:eastAsia="仿宋_GB2312" w:cs="宋体"/>
          <w:sz w:val="30"/>
          <w:szCs w:val="30"/>
          <w:highlight w:val="none"/>
          <w:lang w:val="en-US" w:eastAsia="zh-CN" w:bidi="ug-CN"/>
        </w:rPr>
        <w:t>7.</w:t>
      </w:r>
      <w:r>
        <w:rPr>
          <w:rFonts w:hint="eastAsia" w:ascii="仿宋_GB2312" w:hAnsi="仿宋" w:eastAsia="仿宋_GB2312" w:cs="宋体"/>
          <w:sz w:val="30"/>
          <w:szCs w:val="30"/>
          <w:highlight w:val="none"/>
          <w:lang w:eastAsia="zh-CN" w:bidi="ug-CN"/>
        </w:rPr>
        <w:t>特殊地形测量：因地形、地貌或设计等原因导致道路、通道成不规则形态，通过上述</w:t>
      </w:r>
      <w:r>
        <w:rPr>
          <w:rFonts w:hint="eastAsia" w:ascii="仿宋_GB2312" w:hAnsi="仿宋" w:eastAsia="仿宋_GB2312" w:cs="宋体"/>
          <w:sz w:val="30"/>
          <w:szCs w:val="30"/>
          <w:highlight w:val="none"/>
          <w:lang w:val="en-US" w:eastAsia="zh-CN" w:bidi="ug-CN"/>
        </w:rPr>
        <w:t>6种方法组合叠加后仍然</w:t>
      </w:r>
      <w:r>
        <w:rPr>
          <w:rFonts w:hint="eastAsia" w:ascii="仿宋_GB2312" w:hAnsi="仿宋" w:eastAsia="仿宋_GB2312" w:cs="宋体"/>
          <w:sz w:val="30"/>
          <w:szCs w:val="30"/>
          <w:highlight w:val="none"/>
          <w:lang w:eastAsia="zh-CN" w:bidi="ug-CN"/>
        </w:rPr>
        <w:t>无法测量的，取可安全通行路径最近距离进行测量。</w:t>
      </w:r>
    </w:p>
    <w:p>
      <w:pPr>
        <w:keepNext w:val="0"/>
        <w:keepLines w:val="0"/>
        <w:pageBreakBefore w:val="0"/>
        <w:wordWrap/>
        <w:overflowPunct/>
        <w:topLinePunct w:val="0"/>
        <w:bidi w:val="0"/>
        <w:snapToGrid w:val="0"/>
        <w:spacing w:line="560" w:lineRule="exact"/>
        <w:ind w:firstLine="600" w:firstLineChars="200"/>
        <w:jc w:val="left"/>
        <w:rPr>
          <w:rFonts w:hint="eastAsia" w:ascii="仿宋_GB2312" w:hAnsi="仿宋" w:eastAsia="仿宋_GB2312" w:cs="宋体"/>
          <w:sz w:val="30"/>
          <w:szCs w:val="30"/>
          <w:highlight w:val="none"/>
          <w:lang w:eastAsia="zh-CN" w:bidi="ug-CN"/>
        </w:rPr>
      </w:pPr>
      <w:r>
        <w:rPr>
          <w:rFonts w:hint="eastAsia" w:ascii="仿宋_GB2312" w:hAnsi="仿宋" w:eastAsia="仿宋_GB2312" w:cs="宋体"/>
          <w:sz w:val="30"/>
          <w:szCs w:val="30"/>
          <w:highlight w:val="none"/>
          <w:lang w:val="en-US" w:eastAsia="zh-CN" w:bidi="ug-CN"/>
        </w:rPr>
        <w:t>8.</w:t>
      </w:r>
      <w:r>
        <w:rPr>
          <w:rFonts w:hint="eastAsia" w:ascii="仿宋_GB2312" w:hAnsi="仿宋" w:eastAsia="仿宋_GB2312" w:cs="宋体"/>
          <w:sz w:val="30"/>
          <w:szCs w:val="30"/>
          <w:highlight w:val="none"/>
          <w:lang w:eastAsia="zh-CN" w:bidi="ug-CN"/>
        </w:rPr>
        <w:t>市场、封闭式小区内等区域零售点间距测量方法均以原设计道路、人行通道行人正常安全行走</w:t>
      </w:r>
      <w:r>
        <w:rPr>
          <w:rFonts w:hint="eastAsia" w:ascii="仿宋_GB2312" w:hAnsi="宋体" w:eastAsia="仿宋_GB2312" w:cs="宋体"/>
          <w:kern w:val="0"/>
          <w:sz w:val="30"/>
          <w:szCs w:val="30"/>
          <w:highlight w:val="none"/>
          <w:lang w:eastAsia="zh-CN" w:bidi="ug-CN"/>
        </w:rPr>
        <w:t>的最短距离进行测量。</w:t>
      </w:r>
      <w:r>
        <w:rPr>
          <w:rFonts w:hint="eastAsia" w:ascii="仿宋_GB2312" w:hAnsi="仿宋" w:eastAsia="仿宋_GB2312" w:cs="宋体"/>
          <w:sz w:val="30"/>
          <w:szCs w:val="30"/>
          <w:highlight w:val="none"/>
          <w:lang w:eastAsia="zh-CN" w:bidi="ug-CN"/>
        </w:rPr>
        <w:t>以中小学、</w:t>
      </w:r>
      <w:r>
        <w:rPr>
          <w:rFonts w:hint="eastAsia" w:ascii="仿宋_GB2312" w:hAnsi="黑体" w:eastAsia="仿宋_GB2312" w:cs="宋体"/>
          <w:sz w:val="30"/>
          <w:szCs w:val="30"/>
          <w:highlight w:val="none"/>
          <w:lang w:eastAsia="zh-CN" w:bidi="ug-CN"/>
        </w:rPr>
        <w:t>幼儿园进出口</w:t>
      </w:r>
      <w:r>
        <w:rPr>
          <w:rFonts w:hint="eastAsia" w:ascii="仿宋_GB2312" w:hAnsi="宋体" w:eastAsia="仿宋_GB2312" w:cs="宋体"/>
          <w:kern w:val="32"/>
          <w:sz w:val="30"/>
          <w:szCs w:val="30"/>
          <w:highlight w:val="none"/>
          <w:lang w:eastAsia="zh-CN" w:bidi="ug-CN"/>
        </w:rPr>
        <w:t>通道为</w:t>
      </w:r>
      <w:r>
        <w:rPr>
          <w:rFonts w:hint="eastAsia" w:ascii="仿宋_GB2312" w:hAnsi="黑体" w:eastAsia="仿宋_GB2312" w:cs="宋体"/>
          <w:sz w:val="30"/>
          <w:szCs w:val="30"/>
          <w:highlight w:val="none"/>
          <w:lang w:eastAsia="zh-CN" w:bidi="ug-CN"/>
        </w:rPr>
        <w:t>参照点的,参照上述方式进行测量。</w:t>
      </w:r>
    </w:p>
    <w:p>
      <w:pPr>
        <w:pStyle w:val="11"/>
        <w:widowControl/>
        <w:numPr>
          <w:ilvl w:val="0"/>
          <w:numId w:val="0"/>
        </w:numPr>
        <w:topLinePunct w:val="0"/>
        <w:ind w:left="0" w:leftChars="0" w:firstLine="616"/>
        <w:rPr>
          <w:rFonts w:hint="eastAsia" w:ascii="楷体_GB2312" w:hAnsi="楷体_GB2312" w:eastAsia="楷体_GB2312" w:cs="楷体_GB2312"/>
          <w:b w:val="0"/>
          <w:i w:val="0"/>
          <w:color w:val="auto"/>
          <w:sz w:val="32"/>
          <w:szCs w:val="32"/>
          <w:highlight w:val="none"/>
        </w:rPr>
      </w:pPr>
      <w:r>
        <w:rPr>
          <w:rStyle w:val="20"/>
          <w:rFonts w:hint="eastAsia" w:eastAsia="楷体_GB2312"/>
          <w:highlight w:val="none"/>
          <w:lang w:eastAsia="zh-CN"/>
        </w:rPr>
        <w:t>（五）</w:t>
      </w:r>
      <w:r>
        <w:rPr>
          <w:rStyle w:val="20"/>
          <w:highlight w:val="none"/>
        </w:rPr>
        <w:t>测量结果由申请人或者申请人的委托代理人现场确认</w:t>
      </w:r>
      <w:r>
        <w:rPr>
          <w:rFonts w:ascii="Times New Roman" w:hAnsi="Times New Roman" w:eastAsia="仿宋_GB2312" w:cs="仿宋_GB2312"/>
          <w:i w:val="0"/>
          <w:color w:val="0F1115"/>
          <w:sz w:val="32"/>
          <w:szCs w:val="32"/>
          <w:highlight w:val="none"/>
        </w:rPr>
        <w:t>。</w:t>
      </w:r>
    </w:p>
    <w:p>
      <w:pPr>
        <w:pStyle w:val="11"/>
        <w:keepNext w:val="0"/>
        <w:keepLines w:val="0"/>
        <w:pageBreakBefore w:val="0"/>
        <w:widowControl/>
        <w:numPr>
          <w:ilvl w:val="-1"/>
          <w:numId w:val="0"/>
        </w:numPr>
        <w:kinsoku/>
        <w:wordWrap/>
        <w:overflowPunct/>
        <w:topLinePunct w:val="0"/>
        <w:autoSpaceDE/>
        <w:autoSpaceDN/>
        <w:bidi w:val="0"/>
        <w:adjustRightInd/>
        <w:snapToGrid/>
        <w:spacing w:before="0" w:line="600" w:lineRule="exact"/>
        <w:ind w:right="0" w:rightChars="0" w:firstLine="616" w:firstLineChars="200"/>
        <w:jc w:val="left"/>
        <w:textAlignment w:val="auto"/>
        <w:rPr>
          <w:rFonts w:hint="eastAsia" w:ascii="仿宋_GB2312" w:hAnsi="仿宋_GB2312" w:eastAsia="仿宋_GB2312" w:cs="仿宋_GB2312"/>
          <w:b w:val="0"/>
          <w:color w:val="auto"/>
          <w:sz w:val="32"/>
          <w:szCs w:val="32"/>
          <w:highlight w:val="none"/>
          <w:lang w:val="en-US" w:eastAsia="zh-CN" w:bidi="ug-CN"/>
        </w:rPr>
      </w:pPr>
      <w:r>
        <w:rPr>
          <w:rFonts w:ascii="Times New Roman" w:hAnsi="Times New Roman" w:eastAsia="仿宋_GB2312" w:cs="仿宋_GB2312"/>
          <w:b/>
          <w:i w:val="0"/>
          <w:color w:val="0F1115"/>
          <w:sz w:val="32"/>
          <w:szCs w:val="32"/>
          <w:highlight w:val="none"/>
        </w:rPr>
        <w:t>第十</w:t>
      </w:r>
      <w:r>
        <w:rPr>
          <w:rFonts w:hint="eastAsia" w:cs="仿宋_GB2312"/>
          <w:b/>
          <w:i w:val="0"/>
          <w:color w:val="0F1115"/>
          <w:sz w:val="32"/>
          <w:szCs w:val="32"/>
          <w:highlight w:val="none"/>
          <w:lang w:eastAsia="zh-CN"/>
        </w:rPr>
        <w:t>七</w:t>
      </w:r>
      <w:r>
        <w:rPr>
          <w:rFonts w:ascii="Times New Roman" w:hAnsi="Times New Roman" w:eastAsia="仿宋_GB2312" w:cs="仿宋_GB2312"/>
          <w:b/>
          <w:i w:val="0"/>
          <w:color w:val="0F1115"/>
          <w:sz w:val="32"/>
          <w:szCs w:val="32"/>
          <w:highlight w:val="none"/>
        </w:rPr>
        <w:t>条</w:t>
      </w:r>
      <w:r>
        <w:rPr>
          <w:rFonts w:hint="eastAsia" w:cs="仿宋_GB2312"/>
          <w:b/>
          <w:i w:val="0"/>
          <w:color w:val="0F1115"/>
          <w:sz w:val="32"/>
          <w:szCs w:val="32"/>
          <w:highlight w:val="none"/>
          <w:lang w:val="en-US" w:eastAsia="zh-CN"/>
        </w:rPr>
        <w:t xml:space="preserve"> </w:t>
      </w:r>
      <w:r>
        <w:rPr>
          <w:rFonts w:hint="eastAsia" w:ascii="楷体_GB2312" w:hAnsi="楷体_GB2312" w:eastAsia="楷体_GB2312" w:cs="楷体_GB2312"/>
          <w:color w:val="auto"/>
          <w:sz w:val="32"/>
          <w:szCs w:val="32"/>
          <w:highlight w:val="none"/>
          <w:lang w:eastAsia="zh-CN" w:bidi="ug-CN"/>
        </w:rPr>
        <w:t>（一）轮候制度：</w:t>
      </w:r>
      <w:r>
        <w:rPr>
          <w:rFonts w:hint="eastAsia" w:ascii="仿宋_GB2312" w:hAnsi="仿宋_GB2312" w:eastAsia="仿宋_GB2312" w:cs="仿宋_GB2312"/>
          <w:color w:val="auto"/>
          <w:sz w:val="32"/>
          <w:szCs w:val="32"/>
          <w:highlight w:val="none"/>
          <w:lang w:eastAsia="zh-CN" w:bidi="ug-CN"/>
        </w:rPr>
        <w:t>网格内零售点数量达到容量上限的，经申请人申请确认，实行轮候管理。</w:t>
      </w:r>
      <w:r>
        <w:rPr>
          <w:rFonts w:hint="eastAsia" w:ascii="仿宋_GB2312" w:hAnsi="仿宋_GB2312" w:eastAsia="仿宋_GB2312" w:cs="仿宋_GB2312"/>
          <w:b w:val="0"/>
          <w:bCs w:val="0"/>
          <w:color w:val="auto"/>
          <w:spacing w:val="-6"/>
          <w:sz w:val="32"/>
          <w:szCs w:val="32"/>
          <w:highlight w:val="none"/>
          <w:lang w:eastAsia="zh-CN" w:bidi="ug-CN"/>
        </w:rPr>
        <w:t>容量</w:t>
      </w:r>
      <w:r>
        <w:rPr>
          <w:rFonts w:hint="eastAsia" w:ascii="仿宋_GB2312" w:hAnsi="仿宋_GB2312" w:eastAsia="仿宋_GB2312" w:cs="仿宋_GB2312"/>
          <w:color w:val="auto"/>
          <w:spacing w:val="-6"/>
          <w:sz w:val="32"/>
          <w:szCs w:val="32"/>
          <w:highlight w:val="none"/>
          <w:lang w:eastAsia="zh-CN" w:bidi="ug-CN"/>
        </w:rPr>
        <w:t>是指基于网格内的人口数量、消费需求、经济发展水平等关键因素，烟草专卖局测算得出的烟草制品零售点合理数量上限。</w:t>
      </w:r>
      <w:r>
        <w:rPr>
          <w:rFonts w:hint="eastAsia" w:ascii="仿宋_GB2312" w:hAnsi="仿宋_GB2312" w:eastAsia="仿宋_GB2312" w:cs="仿宋_GB2312"/>
          <w:b w:val="0"/>
          <w:bCs w:val="0"/>
          <w:color w:val="auto"/>
          <w:spacing w:val="-6"/>
          <w:sz w:val="32"/>
          <w:szCs w:val="32"/>
          <w:highlight w:val="none"/>
          <w:lang w:eastAsia="zh-CN" w:bidi="ug-CN"/>
        </w:rPr>
        <w:t>轮候管理</w:t>
      </w:r>
      <w:r>
        <w:rPr>
          <w:rFonts w:hint="eastAsia" w:ascii="仿宋_GB2312" w:hAnsi="仿宋_GB2312" w:eastAsia="仿宋_GB2312" w:cs="仿宋_GB2312"/>
          <w:color w:val="auto"/>
          <w:spacing w:val="-6"/>
          <w:sz w:val="32"/>
          <w:szCs w:val="32"/>
          <w:highlight w:val="none"/>
          <w:lang w:eastAsia="zh-CN" w:bidi="ug-CN"/>
        </w:rPr>
        <w:t>是</w:t>
      </w:r>
      <w:r>
        <w:rPr>
          <w:rFonts w:hint="eastAsia" w:ascii="仿宋_GB2312" w:hAnsi="仿宋_GB2312" w:eastAsia="仿宋_GB2312" w:cs="仿宋_GB2312"/>
          <w:color w:val="auto"/>
          <w:sz w:val="32"/>
          <w:szCs w:val="32"/>
          <w:highlight w:val="none"/>
          <w:lang w:eastAsia="zh-CN" w:bidi="ug-CN"/>
        </w:rPr>
        <w:t>指</w:t>
      </w:r>
      <w:r>
        <w:rPr>
          <w:rFonts w:hint="eastAsia" w:ascii="仿宋_GB2312" w:hAnsi="仿宋_GB2312" w:eastAsia="仿宋_GB2312" w:cs="仿宋_GB2312"/>
          <w:b w:val="0"/>
          <w:color w:val="auto"/>
          <w:sz w:val="32"/>
          <w:szCs w:val="32"/>
          <w:highlight w:val="none"/>
          <w:lang w:val="en-US" w:eastAsia="zh-CN" w:bidi="ug-CN"/>
        </w:rPr>
        <w:t>提出烟草专卖零售许可证新办的申请人，因经营场所所在网格零售点数量达到容量上限，被烟草专卖局作出不予许可决定后，在不违反当地烟草制品零售点合理布局规划中禁止性条款的基础上，烟草专卖局对符合条件的新办申请人实行的“排队登记、按序发证”的管理模式。</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16" w:firstLineChars="200"/>
        <w:jc w:val="left"/>
        <w:textAlignment w:val="auto"/>
        <w:rPr>
          <w:rFonts w:hint="eastAsia" w:ascii="仿宋_GB2312" w:hAnsi="仿宋_GB2312" w:eastAsia="仿宋_GB2312" w:cs="仿宋_GB2312"/>
          <w:b w:val="0"/>
          <w:color w:val="auto"/>
          <w:sz w:val="32"/>
          <w:szCs w:val="32"/>
          <w:highlight w:val="none"/>
          <w:lang w:val="en-US" w:eastAsia="zh-CN" w:bidi="ug-CN"/>
        </w:rPr>
      </w:pPr>
      <w:r>
        <w:rPr>
          <w:rFonts w:hint="eastAsia" w:ascii="楷体_GB2312" w:hAnsi="楷体_GB2312" w:eastAsia="楷体_GB2312" w:cs="楷体_GB2312"/>
          <w:color w:val="auto"/>
          <w:sz w:val="32"/>
          <w:szCs w:val="32"/>
          <w:highlight w:val="none"/>
          <w:lang w:val="en-US" w:eastAsia="zh-CN" w:bidi="ug-CN"/>
        </w:rPr>
        <w:t>（二）资格管理：</w:t>
      </w:r>
      <w:r>
        <w:rPr>
          <w:rFonts w:hint="eastAsia" w:ascii="仿宋_GB2312" w:hAnsi="仿宋_GB2312" w:eastAsia="仿宋_GB2312" w:cs="仿宋_GB2312"/>
          <w:b w:val="0"/>
          <w:color w:val="auto"/>
          <w:sz w:val="32"/>
          <w:szCs w:val="32"/>
          <w:highlight w:val="none"/>
          <w:lang w:val="en-US" w:eastAsia="zh-CN" w:bidi="ug-CN"/>
        </w:rPr>
        <w:t>轮候期间，申请人出现以下情形之一的，则本次轮候资格失效：主动放弃轮候权利的；轮候到号后逾期未提出新办申请或无法联系到申请人的；申请人在收到办理通知之日起</w:t>
      </w:r>
      <w:r>
        <w:rPr>
          <w:rFonts w:hint="eastAsia" w:ascii="仿宋_GB2312" w:hAnsi="仿宋_GB2312" w:cs="仿宋_GB2312"/>
          <w:b w:val="0"/>
          <w:color w:val="auto"/>
          <w:sz w:val="32"/>
          <w:szCs w:val="32"/>
          <w:highlight w:val="none"/>
          <w:lang w:val="en-US" w:eastAsia="zh-CN" w:bidi="ug-CN"/>
        </w:rPr>
        <w:t>5</w:t>
      </w:r>
      <w:r>
        <w:rPr>
          <w:rFonts w:hint="eastAsia" w:ascii="仿宋_GB2312" w:hAnsi="仿宋_GB2312" w:eastAsia="仿宋_GB2312" w:cs="仿宋_GB2312"/>
          <w:b w:val="0"/>
          <w:color w:val="auto"/>
          <w:sz w:val="32"/>
          <w:szCs w:val="32"/>
          <w:highlight w:val="none"/>
          <w:lang w:val="en-US" w:eastAsia="zh-CN" w:bidi="ug-CN"/>
        </w:rPr>
        <w:t>个工作日内未响应的；经营地址发生变化的；经营主体发生变化的（家庭经营的个体工商户，经营者在家庭成员间变更的除外）；擅自从事烟草专卖品生产经营活动受到行政处罚或刑事处罚的；被市场监督管理部门吊销营业执照的。主动放弃轮候权利、轮候到号后逾期未提出新办申请、无法联系到申请人的，应保留录音录像等记录，确保程序合法。</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16" w:firstLineChars="200"/>
        <w:jc w:val="left"/>
        <w:textAlignment w:val="auto"/>
        <w:rPr>
          <w:rFonts w:hint="eastAsia" w:ascii="仿宋_GB2312" w:hAnsi="仿宋_GB2312" w:eastAsia="仿宋_GB2312" w:cs="仿宋_GB2312"/>
          <w:b w:val="0"/>
          <w:color w:val="auto"/>
          <w:sz w:val="32"/>
          <w:szCs w:val="32"/>
          <w:highlight w:val="none"/>
          <w:lang w:val="en-US" w:eastAsia="zh-CN" w:bidi="ug-CN"/>
        </w:rPr>
      </w:pPr>
      <w:r>
        <w:rPr>
          <w:rFonts w:hint="eastAsia" w:ascii="楷体_GB2312" w:hAnsi="楷体_GB2312" w:eastAsia="楷体_GB2312" w:cs="楷体_GB2312"/>
          <w:color w:val="auto"/>
          <w:sz w:val="32"/>
          <w:szCs w:val="32"/>
          <w:highlight w:val="none"/>
          <w:lang w:val="en-US" w:eastAsia="zh-CN" w:bidi="ug-CN"/>
        </w:rPr>
        <w:t>（三）轮候要求：</w:t>
      </w:r>
      <w:r>
        <w:rPr>
          <w:rFonts w:hint="eastAsia" w:ascii="仿宋_GB2312" w:hAnsi="仿宋_GB2312" w:eastAsia="仿宋_GB2312" w:cs="仿宋_GB2312"/>
          <w:b w:val="0"/>
          <w:color w:val="auto"/>
          <w:sz w:val="32"/>
          <w:szCs w:val="32"/>
          <w:highlight w:val="none"/>
          <w:lang w:val="en-US" w:eastAsia="zh-CN" w:bidi="ug-CN"/>
        </w:rPr>
        <w:t xml:space="preserve"> </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16" w:firstLineChars="200"/>
        <w:jc w:val="left"/>
        <w:textAlignment w:val="auto"/>
        <w:rPr>
          <w:rFonts w:hint="eastAsia" w:ascii="仿宋_GB2312" w:hAnsi="仿宋_GB2312" w:eastAsia="仿宋_GB2312" w:cs="仿宋_GB2312"/>
          <w:b w:val="0"/>
          <w:color w:val="auto"/>
          <w:sz w:val="32"/>
          <w:szCs w:val="32"/>
          <w:highlight w:val="none"/>
          <w:lang w:val="en-US" w:eastAsia="zh-CN" w:bidi="ug-CN"/>
        </w:rPr>
      </w:pPr>
      <w:r>
        <w:rPr>
          <w:rFonts w:hint="eastAsia" w:ascii="仿宋_GB2312" w:hAnsi="仿宋_GB2312" w:eastAsia="仿宋_GB2312" w:cs="仿宋_GB2312"/>
          <w:b w:val="0"/>
          <w:color w:val="auto"/>
          <w:sz w:val="32"/>
          <w:szCs w:val="32"/>
          <w:highlight w:val="none"/>
          <w:lang w:val="en-US" w:eastAsia="zh-CN" w:bidi="ug-CN"/>
        </w:rPr>
        <w:t>1.烟草专卖局送达《不予许可决定书》时，同时告知申请人可参加轮候，申请人确认参加轮候的，签署《烟草专卖零售许可证轮候申请表》。</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16" w:firstLineChars="200"/>
        <w:jc w:val="left"/>
        <w:textAlignment w:val="auto"/>
        <w:rPr>
          <w:rFonts w:hint="eastAsia" w:ascii="仿宋_GB2312" w:hAnsi="仿宋_GB2312" w:eastAsia="仿宋_GB2312" w:cs="仿宋_GB2312"/>
          <w:b w:val="0"/>
          <w:color w:val="auto"/>
          <w:sz w:val="32"/>
          <w:szCs w:val="32"/>
          <w:highlight w:val="none"/>
          <w:lang w:val="en-US" w:eastAsia="zh-CN" w:bidi="ug-CN"/>
        </w:rPr>
      </w:pPr>
      <w:r>
        <w:rPr>
          <w:rFonts w:hint="eastAsia" w:ascii="仿宋_GB2312" w:hAnsi="仿宋_GB2312" w:eastAsia="仿宋_GB2312" w:cs="仿宋_GB2312"/>
          <w:b w:val="0"/>
          <w:snapToGrid w:val="0"/>
          <w:color w:val="auto"/>
          <w:kern w:val="0"/>
          <w:sz w:val="32"/>
          <w:szCs w:val="32"/>
          <w:highlight w:val="none"/>
          <w:lang w:val="en-US" w:eastAsia="zh-CN" w:bidi="ug-CN"/>
        </w:rPr>
        <w:t>2.</w:t>
      </w:r>
      <w:r>
        <w:rPr>
          <w:rFonts w:hint="eastAsia" w:ascii="仿宋_GB2312" w:hAnsi="仿宋_GB2312" w:eastAsia="仿宋_GB2312" w:cs="仿宋_GB2312"/>
          <w:b w:val="0"/>
          <w:color w:val="auto"/>
          <w:sz w:val="32"/>
          <w:szCs w:val="32"/>
          <w:highlight w:val="none"/>
          <w:lang w:val="en-US" w:eastAsia="zh-CN" w:bidi="ug-CN"/>
        </w:rPr>
        <w:t>申请人的轮候顺序以全国统一专卖监管平台显示的申请日期为准，具体时间明确到时分秒。轮候期间，同一申请人在同一经营场所多次提出轮候申请的，以第一次轮候顺序为准。</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16" w:firstLineChars="200"/>
        <w:jc w:val="left"/>
        <w:textAlignment w:val="auto"/>
        <w:rPr>
          <w:rFonts w:hint="eastAsia" w:ascii="仿宋_GB2312" w:hAnsi="仿宋_GB2312" w:eastAsia="仿宋_GB2312" w:cs="仿宋_GB2312"/>
          <w:b w:val="0"/>
          <w:color w:val="auto"/>
          <w:sz w:val="32"/>
          <w:szCs w:val="32"/>
          <w:highlight w:val="none"/>
          <w:lang w:val="en-US" w:eastAsia="zh-CN" w:bidi="ug-CN"/>
        </w:rPr>
      </w:pPr>
      <w:r>
        <w:rPr>
          <w:rFonts w:hint="eastAsia" w:ascii="仿宋_GB2312" w:hAnsi="仿宋_GB2312" w:eastAsia="仿宋_GB2312" w:cs="仿宋_GB2312"/>
          <w:b w:val="0"/>
          <w:color w:val="auto"/>
          <w:sz w:val="32"/>
          <w:szCs w:val="32"/>
          <w:highlight w:val="none"/>
          <w:lang w:val="en-US" w:eastAsia="zh-CN" w:bidi="ug-CN"/>
        </w:rPr>
        <w:t>3.烟草专卖局应当按照接收申请的先后顺序进行审核，审核未通过的退回申请，申请人可以修改补正后再次提交申请。排序时间以</w:t>
      </w:r>
      <w:r>
        <w:rPr>
          <w:rFonts w:hint="eastAsia" w:ascii="仿宋_GB2312" w:hAnsi="仿宋_GB2312" w:eastAsia="仿宋_GB2312" w:cs="仿宋_GB2312"/>
          <w:b w:val="0"/>
          <w:snapToGrid w:val="0"/>
          <w:color w:val="auto"/>
          <w:kern w:val="0"/>
          <w:sz w:val="32"/>
          <w:szCs w:val="32"/>
          <w:highlight w:val="none"/>
          <w:lang w:val="en-US" w:eastAsia="zh-CN" w:bidi="ug-CN"/>
        </w:rPr>
        <w:t>再次提交全部材料的申请时间为准。</w:t>
      </w:r>
    </w:p>
    <w:p>
      <w:pPr>
        <w:pStyle w:val="11"/>
        <w:widowControl/>
        <w:spacing w:line="600" w:lineRule="exact"/>
        <w:rPr>
          <w:rFonts w:hint="eastAsia" w:ascii="仿宋_GB2312" w:hAnsi="仿宋_GB2312" w:eastAsia="仿宋_GB2312" w:cs="仿宋_GB2312"/>
          <w:i w:val="0"/>
          <w:color w:val="auto"/>
          <w:sz w:val="32"/>
          <w:szCs w:val="32"/>
          <w:highlight w:val="none"/>
          <w:lang w:eastAsia="zh-CN" w:bidi="ug-CN"/>
        </w:rPr>
      </w:pPr>
      <w:r>
        <w:rPr>
          <w:rFonts w:hint="eastAsia" w:ascii="仿宋_GB2312" w:hAnsi="仿宋_GB2312" w:eastAsia="仿宋_GB2312" w:cs="仿宋_GB2312"/>
          <w:b w:val="0"/>
          <w:color w:val="auto"/>
          <w:sz w:val="32"/>
          <w:szCs w:val="32"/>
          <w:highlight w:val="none"/>
          <w:lang w:val="en-US" w:eastAsia="zh-CN" w:bidi="ug-CN"/>
        </w:rPr>
        <w:t>4.当网格内有可新增零售点时，由发证机关按照轮候顺序和申请表确认的联系方式依次通知申请人。逾期未提出新办申请、无法联系到申请人的，视为自动放弃轮候。</w:t>
      </w:r>
    </w:p>
    <w:p>
      <w:pPr>
        <w:pStyle w:val="11"/>
        <w:widowControl/>
        <w:jc w:val="center"/>
        <w:rPr>
          <w:rFonts w:hint="default" w:ascii="Times New Roman" w:hAnsi="Times New Roman" w:eastAsia="仿宋_GB2312" w:cs="仿宋_GB2312"/>
          <w:b/>
          <w:bCs/>
          <w:i w:val="0"/>
          <w:color w:val="0F1115"/>
          <w:sz w:val="32"/>
          <w:szCs w:val="32"/>
          <w:highlight w:val="none"/>
          <w:lang w:val="en-US" w:eastAsia="zh-CN"/>
        </w:rPr>
      </w:pPr>
      <w:r>
        <w:rPr>
          <w:rFonts w:hint="default" w:cs="仿宋_GB2312"/>
          <w:b/>
          <w:bCs/>
          <w:i w:val="0"/>
          <w:color w:val="0F1115"/>
          <w:sz w:val="32"/>
          <w:szCs w:val="32"/>
          <w:highlight w:val="none"/>
          <w:lang w:val="en-US" w:eastAsia="zh-CN"/>
        </w:rPr>
        <w:t>第</w:t>
      </w:r>
      <w:r>
        <w:rPr>
          <w:rFonts w:hint="eastAsia" w:cs="仿宋_GB2312"/>
          <w:b/>
          <w:bCs/>
          <w:i w:val="0"/>
          <w:color w:val="0F1115"/>
          <w:sz w:val="32"/>
          <w:szCs w:val="32"/>
          <w:highlight w:val="none"/>
          <w:lang w:val="en-US" w:eastAsia="zh-CN"/>
        </w:rPr>
        <w:t>五</w:t>
      </w:r>
      <w:r>
        <w:rPr>
          <w:rFonts w:hint="default" w:cs="仿宋_GB2312"/>
          <w:b/>
          <w:bCs/>
          <w:i w:val="0"/>
          <w:color w:val="0F1115"/>
          <w:sz w:val="32"/>
          <w:szCs w:val="32"/>
          <w:highlight w:val="none"/>
          <w:lang w:val="en-US" w:eastAsia="zh-CN"/>
        </w:rPr>
        <w:t>章  附则</w:t>
      </w:r>
    </w:p>
    <w:p>
      <w:pPr>
        <w:pStyle w:val="11"/>
        <w:widowControl/>
        <w:rPr>
          <w:rFonts w:hint="eastAsia" w:ascii="Times New Roman" w:hAnsi="Times New Roman" w:eastAsia="仿宋_GB2312" w:cs="仿宋_GB2312"/>
          <w:i w:val="0"/>
          <w:color w:val="0F1115"/>
          <w:sz w:val="32"/>
          <w:szCs w:val="32"/>
          <w:highlight w:val="none"/>
          <w:lang w:eastAsia="zh-CN"/>
        </w:rPr>
      </w:pPr>
      <w:r>
        <w:rPr>
          <w:rFonts w:ascii="Times New Roman" w:hAnsi="Times New Roman" w:eastAsia="仿宋_GB2312" w:cs="仿宋_GB2312"/>
          <w:b/>
          <w:i w:val="0"/>
          <w:color w:val="0F1115"/>
          <w:sz w:val="32"/>
          <w:szCs w:val="32"/>
          <w:highlight w:val="none"/>
        </w:rPr>
        <w:t>第</w:t>
      </w:r>
      <w:r>
        <w:rPr>
          <w:rFonts w:hint="eastAsia" w:cs="仿宋_GB2312"/>
          <w:b/>
          <w:i w:val="0"/>
          <w:color w:val="0F1115"/>
          <w:sz w:val="32"/>
          <w:szCs w:val="32"/>
          <w:highlight w:val="none"/>
          <w:lang w:eastAsia="zh-CN"/>
        </w:rPr>
        <w:t>十八</w:t>
      </w:r>
      <w:r>
        <w:rPr>
          <w:rFonts w:ascii="Times New Roman" w:hAnsi="Times New Roman" w:eastAsia="仿宋_GB2312" w:cs="仿宋_GB2312"/>
          <w:b/>
          <w:i w:val="0"/>
          <w:color w:val="0F1115"/>
          <w:sz w:val="32"/>
          <w:szCs w:val="32"/>
          <w:highlight w:val="none"/>
        </w:rPr>
        <w:t>条</w:t>
      </w:r>
      <w:r>
        <w:rPr>
          <w:rFonts w:hint="eastAsia" w:cs="仿宋_GB2312"/>
          <w:b/>
          <w:i w:val="0"/>
          <w:color w:val="0F1115"/>
          <w:sz w:val="32"/>
          <w:szCs w:val="32"/>
          <w:highlight w:val="none"/>
          <w:lang w:val="en-US" w:eastAsia="zh-CN"/>
        </w:rPr>
        <w:t xml:space="preserve"> </w:t>
      </w:r>
      <w:r>
        <w:rPr>
          <w:rFonts w:hint="eastAsia" w:ascii="仿宋_GB2312" w:hAnsi="仿宋_GB2312" w:eastAsia="仿宋_GB2312" w:cs="仿宋_GB2312"/>
          <w:i w:val="0"/>
          <w:color w:val="auto"/>
          <w:sz w:val="32"/>
          <w:szCs w:val="32"/>
          <w:highlight w:val="none"/>
          <w:lang w:eastAsia="zh-CN" w:bidi="ug-CN"/>
        </w:rPr>
        <w:t>本规划中涉及的中小学校、幼儿园，是指在当地教育行政主管部门核准登记目录内的普通中小学、特殊教育学校、中等职业学校、专门学校等教育对象中存在未满18周岁未成年人的教育机构。</w:t>
      </w:r>
    </w:p>
    <w:p>
      <w:pPr>
        <w:pStyle w:val="11"/>
        <w:widowControl/>
        <w:rPr>
          <w:rFonts w:hint="eastAsia" w:ascii="Times New Roman" w:hAnsi="Times New Roman" w:eastAsia="仿宋_GB2312" w:cs="仿宋_GB2312"/>
          <w:i w:val="0"/>
          <w:color w:val="0F1115"/>
          <w:sz w:val="32"/>
          <w:szCs w:val="32"/>
          <w:highlight w:val="none"/>
          <w:lang w:eastAsia="zh-CN"/>
        </w:rPr>
      </w:pPr>
      <w:r>
        <w:rPr>
          <w:rFonts w:hint="eastAsia" w:cs="仿宋_GB2312"/>
          <w:b/>
          <w:i w:val="0"/>
          <w:color w:val="auto"/>
          <w:sz w:val="32"/>
          <w:szCs w:val="32"/>
          <w:highlight w:val="none"/>
          <w:lang w:val="en-US" w:eastAsia="zh-CN"/>
        </w:rPr>
        <w:t xml:space="preserve">第十九条 </w:t>
      </w:r>
      <w:r>
        <w:rPr>
          <w:rFonts w:hint="eastAsia" w:ascii="仿宋_GB2312" w:hAnsi="仿宋_GB2312" w:eastAsia="仿宋_GB2312" w:cs="仿宋_GB2312"/>
          <w:i w:val="0"/>
          <w:color w:val="auto"/>
          <w:sz w:val="32"/>
          <w:szCs w:val="32"/>
          <w:highlight w:val="none"/>
          <w:lang w:eastAsia="zh-CN" w:bidi="ug-CN"/>
        </w:rPr>
        <w:t>本规划不溯及已依法取得烟草专卖零售许可证的现有零售点；</w:t>
      </w:r>
      <w:r>
        <w:rPr>
          <w:rFonts w:hint="eastAsia" w:ascii="仿宋_GB2312" w:hAnsi="仿宋_GB2312" w:eastAsia="仿宋_GB2312" w:cs="仿宋_GB2312"/>
          <w:i w:val="0"/>
          <w:iCs w:val="0"/>
          <w:caps w:val="0"/>
          <w:color w:val="auto"/>
          <w:spacing w:val="-6"/>
          <w:sz w:val="32"/>
          <w:szCs w:val="32"/>
          <w:highlight w:val="none"/>
          <w:shd w:val="clear" w:fill="auto"/>
          <w:lang w:eastAsia="zh-CN" w:bidi="ug-CN"/>
        </w:rPr>
        <w:t>但基于安全因素不适宜继续经营</w:t>
      </w:r>
      <w:r>
        <w:rPr>
          <w:rFonts w:hint="eastAsia" w:ascii="仿宋_GB2312" w:hAnsi="仿宋_GB2312" w:eastAsia="仿宋_GB2312" w:cs="仿宋_GB2312"/>
          <w:i w:val="0"/>
          <w:iCs w:val="0"/>
          <w:caps w:val="0"/>
          <w:color w:val="auto"/>
          <w:spacing w:val="-6"/>
          <w:sz w:val="32"/>
          <w:szCs w:val="32"/>
          <w:highlight w:val="none"/>
          <w:shd w:val="clear" w:fill="auto"/>
          <w:lang w:val="en-US" w:eastAsia="zh-CN" w:bidi="ug-CN"/>
        </w:rPr>
        <w:t>或</w:t>
      </w:r>
      <w:r>
        <w:rPr>
          <w:rFonts w:hint="eastAsia" w:ascii="仿宋_GB2312" w:hAnsi="仿宋_GB2312" w:eastAsia="仿宋_GB2312" w:cs="仿宋_GB2312"/>
          <w:i w:val="0"/>
          <w:color w:val="auto"/>
          <w:sz w:val="32"/>
          <w:szCs w:val="32"/>
          <w:highlight w:val="none"/>
          <w:lang w:eastAsia="zh-CN" w:bidi="ug-CN"/>
        </w:rPr>
        <w:t>位于第十条、第十八条所指各类教育机构内部及进出通道口城区（包含城乡结合部）</w:t>
      </w:r>
      <w:r>
        <w:rPr>
          <w:rFonts w:hint="eastAsia" w:ascii="仿宋_GB2312" w:hAnsi="仿宋_GB2312" w:eastAsia="仿宋_GB2312" w:cs="仿宋_GB2312"/>
          <w:i w:val="0"/>
          <w:color w:val="auto"/>
          <w:sz w:val="32"/>
          <w:szCs w:val="32"/>
          <w:highlight w:val="none"/>
          <w:lang w:val="en-US" w:eastAsia="zh-CN" w:bidi="ug-CN"/>
        </w:rPr>
        <w:t>100</w:t>
      </w:r>
      <w:r>
        <w:rPr>
          <w:rFonts w:hint="eastAsia" w:ascii="仿宋_GB2312" w:hAnsi="仿宋_GB2312" w:eastAsia="仿宋_GB2312" w:cs="仿宋_GB2312"/>
          <w:i w:val="0"/>
          <w:color w:val="auto"/>
          <w:sz w:val="32"/>
          <w:szCs w:val="32"/>
          <w:highlight w:val="none"/>
          <w:lang w:eastAsia="zh-CN" w:bidi="ug-CN"/>
        </w:rPr>
        <w:t>米、农村</w:t>
      </w:r>
      <w:r>
        <w:rPr>
          <w:rFonts w:hint="eastAsia" w:ascii="仿宋_GB2312" w:hAnsi="仿宋_GB2312" w:eastAsia="仿宋_GB2312" w:cs="仿宋_GB2312"/>
          <w:i w:val="0"/>
          <w:color w:val="auto"/>
          <w:sz w:val="32"/>
          <w:szCs w:val="32"/>
          <w:highlight w:val="none"/>
          <w:lang w:val="en-US" w:eastAsia="zh-CN" w:bidi="ug-CN"/>
        </w:rPr>
        <w:t>50</w:t>
      </w:r>
      <w:r>
        <w:rPr>
          <w:rFonts w:hint="eastAsia" w:ascii="仿宋_GB2312" w:hAnsi="仿宋_GB2312" w:eastAsia="仿宋_GB2312" w:cs="仿宋_GB2312"/>
          <w:i w:val="0"/>
          <w:color w:val="auto"/>
          <w:sz w:val="32"/>
          <w:szCs w:val="32"/>
          <w:highlight w:val="none"/>
          <w:lang w:eastAsia="zh-CN" w:bidi="ug-CN"/>
        </w:rPr>
        <w:t>米范围</w:t>
      </w:r>
      <w:r>
        <w:rPr>
          <w:rFonts w:hint="eastAsia" w:ascii="仿宋_GB2312" w:hAnsi="仿宋_GB2312" w:cs="仿宋_GB2312"/>
          <w:i w:val="0"/>
          <w:color w:val="auto"/>
          <w:sz w:val="32"/>
          <w:szCs w:val="32"/>
          <w:highlight w:val="none"/>
          <w:lang w:eastAsia="zh-CN" w:bidi="ug-CN"/>
        </w:rPr>
        <w:t>以</w:t>
      </w:r>
      <w:r>
        <w:rPr>
          <w:rFonts w:hint="eastAsia" w:ascii="仿宋_GB2312" w:hAnsi="仿宋_GB2312" w:eastAsia="仿宋_GB2312" w:cs="仿宋_GB2312"/>
          <w:i w:val="0"/>
          <w:color w:val="auto"/>
          <w:sz w:val="32"/>
          <w:szCs w:val="32"/>
          <w:highlight w:val="none"/>
          <w:lang w:eastAsia="zh-CN" w:bidi="ug-CN"/>
        </w:rPr>
        <w:t>内的零售点，许可证有效期届满后不予延续。</w:t>
      </w:r>
    </w:p>
    <w:p>
      <w:pPr>
        <w:pStyle w:val="11"/>
        <w:widowControl/>
        <w:rPr>
          <w:rFonts w:hint="eastAsia" w:ascii="Times New Roman" w:hAnsi="Times New Roman" w:eastAsia="仿宋_GB2312" w:cs="仿宋_GB2312"/>
          <w:i w:val="0"/>
          <w:color w:val="0F1115"/>
          <w:sz w:val="32"/>
          <w:szCs w:val="32"/>
          <w:highlight w:val="none"/>
          <w:lang w:eastAsia="zh-CN"/>
        </w:rPr>
      </w:pPr>
      <w:r>
        <w:rPr>
          <w:rFonts w:hint="eastAsia" w:ascii="Times New Roman" w:hAnsi="Times New Roman" w:eastAsia="仿宋_GB2312" w:cs="仿宋_GB2312"/>
          <w:b/>
          <w:i w:val="0"/>
          <w:color w:val="0F1115"/>
          <w:sz w:val="32"/>
          <w:szCs w:val="32"/>
          <w:highlight w:val="none"/>
          <w:lang w:eastAsia="zh-CN"/>
        </w:rPr>
        <w:t>第</w:t>
      </w:r>
      <w:r>
        <w:rPr>
          <w:rFonts w:hint="eastAsia" w:cs="仿宋_GB2312"/>
          <w:b/>
          <w:bCs/>
          <w:i w:val="0"/>
          <w:color w:val="auto"/>
          <w:sz w:val="32"/>
          <w:szCs w:val="32"/>
          <w:highlight w:val="none"/>
          <w:lang w:val="en-US" w:eastAsia="zh-CN" w:bidi="ug-CN"/>
        </w:rPr>
        <w:t>二十</w:t>
      </w:r>
      <w:r>
        <w:rPr>
          <w:rFonts w:hint="eastAsia" w:ascii="Times New Roman" w:hAnsi="Times New Roman" w:eastAsia="仿宋_GB2312" w:cs="仿宋_GB2312"/>
          <w:b/>
          <w:i w:val="0"/>
          <w:color w:val="0F1115"/>
          <w:sz w:val="32"/>
          <w:szCs w:val="32"/>
          <w:highlight w:val="none"/>
          <w:lang w:eastAsia="zh-CN"/>
        </w:rPr>
        <w:t>条</w:t>
      </w:r>
      <w:r>
        <w:rPr>
          <w:rFonts w:hint="eastAsia" w:cs="仿宋_GB2312"/>
          <w:b/>
          <w:i w:val="0"/>
          <w:color w:val="0F1115"/>
          <w:sz w:val="32"/>
          <w:szCs w:val="32"/>
          <w:highlight w:val="none"/>
          <w:lang w:val="en-US" w:eastAsia="zh-CN"/>
        </w:rPr>
        <w:t xml:space="preserve"> </w:t>
      </w:r>
      <w:r>
        <w:rPr>
          <w:rFonts w:hint="eastAsia" w:ascii="Times New Roman" w:hAnsi="Times New Roman" w:eastAsia="仿宋_GB2312" w:cs="仿宋_GB2312"/>
          <w:i w:val="0"/>
          <w:color w:val="0F1115"/>
          <w:sz w:val="32"/>
          <w:szCs w:val="32"/>
          <w:highlight w:val="none"/>
          <w:lang w:eastAsia="zh-CN"/>
        </w:rPr>
        <w:t>本规划中的“以上”</w:t>
      </w:r>
      <w:r>
        <w:rPr>
          <w:rFonts w:hint="eastAsia" w:cs="仿宋_GB2312"/>
          <w:i w:val="0"/>
          <w:color w:val="0F1115"/>
          <w:sz w:val="32"/>
          <w:szCs w:val="32"/>
          <w:highlight w:val="none"/>
          <w:lang w:eastAsia="zh-CN"/>
        </w:rPr>
        <w:t>“以内”</w:t>
      </w:r>
      <w:r>
        <w:rPr>
          <w:rFonts w:hint="eastAsia" w:ascii="Times New Roman" w:hAnsi="Times New Roman" w:eastAsia="仿宋_GB2312" w:cs="仿宋_GB2312"/>
          <w:i w:val="0"/>
          <w:color w:val="0F1115"/>
          <w:sz w:val="32"/>
          <w:szCs w:val="32"/>
          <w:highlight w:val="none"/>
          <w:lang w:eastAsia="zh-CN"/>
        </w:rPr>
        <w:t>“不小于”“不超过”“增加”均包括本数。</w:t>
      </w:r>
      <w:r>
        <w:rPr>
          <w:rFonts w:hint="eastAsia" w:ascii="仿宋_GB2312" w:hAnsi="仿宋_GB2312" w:eastAsia="仿宋_GB2312" w:cs="仿宋_GB2312"/>
          <w:i w:val="0"/>
          <w:iCs w:val="0"/>
          <w:caps w:val="0"/>
          <w:color w:val="auto"/>
          <w:spacing w:val="-6"/>
          <w:sz w:val="32"/>
          <w:szCs w:val="32"/>
          <w:highlight w:val="none"/>
          <w:shd w:val="clear" w:fill="auto"/>
          <w:lang w:eastAsia="zh-CN" w:bidi="ug-CN"/>
        </w:rPr>
        <w:t>涉及放宽、间隔距离等计算的，结果按照“四舍五入”取整数核定。</w:t>
      </w:r>
    </w:p>
    <w:p>
      <w:pPr>
        <w:spacing w:line="600" w:lineRule="exact"/>
        <w:ind w:firstLine="618" w:firstLineChars="0"/>
        <w:jc w:val="left"/>
        <w:rPr>
          <w:rFonts w:hint="eastAsia" w:ascii="Times New Roman" w:hAnsi="Times New Roman" w:eastAsia="仿宋_GB2312" w:cs="仿宋_GB2312"/>
          <w:i w:val="0"/>
          <w:color w:val="auto"/>
          <w:spacing w:val="-6"/>
          <w:sz w:val="32"/>
          <w:szCs w:val="32"/>
          <w:highlight w:val="none"/>
          <w:lang w:eastAsia="zh-CN" w:bidi="ug-CN"/>
        </w:rPr>
      </w:pPr>
      <w:r>
        <w:rPr>
          <w:rFonts w:ascii="Times New Roman" w:hAnsi="Times New Roman" w:eastAsia="仿宋_GB2312" w:cs="仿宋_GB2312"/>
          <w:b/>
          <w:i w:val="0"/>
          <w:color w:val="auto"/>
          <w:sz w:val="32"/>
          <w:szCs w:val="32"/>
          <w:highlight w:val="none"/>
        </w:rPr>
        <w:t>第</w:t>
      </w:r>
      <w:r>
        <w:rPr>
          <w:rFonts w:hint="eastAsia" w:ascii="Times New Roman" w:hAnsi="Times New Roman" w:eastAsia="仿宋_GB2312" w:cs="仿宋_GB2312"/>
          <w:b/>
          <w:i w:val="0"/>
          <w:color w:val="auto"/>
          <w:sz w:val="32"/>
          <w:szCs w:val="32"/>
          <w:highlight w:val="none"/>
          <w:lang w:val="en-US" w:eastAsia="zh-CN"/>
        </w:rPr>
        <w:t>二十一</w:t>
      </w:r>
      <w:r>
        <w:rPr>
          <w:rFonts w:ascii="Times New Roman" w:hAnsi="Times New Roman" w:eastAsia="仿宋_GB2312" w:cs="仿宋_GB2312"/>
          <w:b/>
          <w:i w:val="0"/>
          <w:color w:val="auto"/>
          <w:sz w:val="32"/>
          <w:szCs w:val="32"/>
          <w:highlight w:val="none"/>
        </w:rPr>
        <w:t>条</w:t>
      </w:r>
      <w:r>
        <w:rPr>
          <w:rFonts w:hint="eastAsia" w:ascii="Times New Roman" w:hAnsi="Times New Roman" w:eastAsia="仿宋_GB2312" w:cs="仿宋_GB2312"/>
          <w:b/>
          <w:i w:val="0"/>
          <w:color w:val="auto"/>
          <w:sz w:val="32"/>
          <w:szCs w:val="32"/>
          <w:highlight w:val="none"/>
          <w:lang w:val="en-US" w:eastAsia="zh-CN"/>
        </w:rPr>
        <w:t xml:space="preserve"> </w:t>
      </w:r>
      <w:r>
        <w:rPr>
          <w:rFonts w:ascii="Times New Roman" w:hAnsi="Times New Roman" w:eastAsia="仿宋_GB2312" w:cs="仿宋_GB2312"/>
          <w:i w:val="0"/>
          <w:color w:val="auto"/>
          <w:sz w:val="32"/>
          <w:szCs w:val="32"/>
          <w:highlight w:val="none"/>
        </w:rPr>
        <w:t>在合理</w:t>
      </w:r>
      <w:r>
        <w:rPr>
          <w:rFonts w:hint="eastAsia" w:ascii="Times New Roman" w:hAnsi="Times New Roman" w:eastAsia="仿宋_GB2312" w:cs="仿宋_GB2312"/>
          <w:i w:val="0"/>
          <w:color w:val="auto"/>
          <w:spacing w:val="-6"/>
          <w:sz w:val="32"/>
          <w:szCs w:val="32"/>
          <w:highlight w:val="none"/>
          <w:lang w:eastAsia="zh-CN" w:bidi="ug-CN"/>
        </w:rPr>
        <w:t>布局规划运行中，对不适宜的规定及时做出调整，涉及重大条款、零售点合理数量、间距标准和其他符合当地实际、科学合理的布局模式调整的，修订程序应依照合理布局规划的修订程序进行。</w:t>
      </w:r>
    </w:p>
    <w:p>
      <w:pPr>
        <w:pStyle w:val="11"/>
        <w:bidi w:val="0"/>
        <w:rPr>
          <w:highlight w:val="none"/>
        </w:rPr>
      </w:pPr>
      <w:r>
        <w:rPr>
          <w:rFonts w:ascii="Times New Roman" w:hAnsi="Times New Roman" w:eastAsia="仿宋_GB2312" w:cs="仿宋_GB2312"/>
          <w:b/>
          <w:i w:val="0"/>
          <w:color w:val="auto"/>
          <w:sz w:val="32"/>
          <w:szCs w:val="32"/>
          <w:highlight w:val="none"/>
        </w:rPr>
        <w:t>第</w:t>
      </w:r>
      <w:r>
        <w:rPr>
          <w:rFonts w:hint="eastAsia" w:cs="仿宋_GB2312"/>
          <w:b/>
          <w:i w:val="0"/>
          <w:color w:val="auto"/>
          <w:sz w:val="32"/>
          <w:szCs w:val="32"/>
          <w:highlight w:val="none"/>
          <w:lang w:val="en-US" w:eastAsia="zh-CN"/>
        </w:rPr>
        <w:t>二十二</w:t>
      </w:r>
      <w:r>
        <w:rPr>
          <w:rFonts w:ascii="Times New Roman" w:hAnsi="Times New Roman" w:eastAsia="仿宋_GB2312" w:cs="仿宋_GB2312"/>
          <w:b/>
          <w:i w:val="0"/>
          <w:color w:val="auto"/>
          <w:sz w:val="32"/>
          <w:szCs w:val="32"/>
          <w:highlight w:val="none"/>
        </w:rPr>
        <w:t>条</w:t>
      </w:r>
      <w:r>
        <w:rPr>
          <w:rFonts w:hint="eastAsia" w:cs="仿宋_GB2312"/>
          <w:b/>
          <w:i w:val="0"/>
          <w:color w:val="auto"/>
          <w:sz w:val="32"/>
          <w:szCs w:val="32"/>
          <w:highlight w:val="none"/>
          <w:lang w:val="en-US" w:eastAsia="zh-CN"/>
        </w:rPr>
        <w:t xml:space="preserve"> </w:t>
      </w:r>
      <w:r>
        <w:rPr>
          <w:rFonts w:hint="eastAsia" w:ascii="仿宋_GB2312" w:hAnsi="仿宋_GB2312" w:eastAsia="仿宋_GB2312" w:cs="仿宋_GB2312"/>
          <w:i w:val="0"/>
          <w:color w:val="auto"/>
          <w:sz w:val="32"/>
          <w:szCs w:val="32"/>
          <w:highlight w:val="none"/>
        </w:rPr>
        <w:t>本</w:t>
      </w:r>
      <w:r>
        <w:rPr>
          <w:rFonts w:hint="eastAsia" w:ascii="仿宋_GB2312" w:hAnsi="仿宋_GB2312" w:eastAsia="仿宋_GB2312" w:cs="仿宋_GB2312"/>
          <w:i w:val="0"/>
          <w:color w:val="auto"/>
          <w:sz w:val="32"/>
          <w:szCs w:val="32"/>
          <w:highlight w:val="none"/>
          <w:lang w:eastAsia="zh-CN" w:bidi="ug-CN"/>
        </w:rPr>
        <w:t>规划自</w:t>
      </w:r>
      <w:r>
        <w:rPr>
          <w:rFonts w:hint="eastAsia" w:ascii="仿宋_GB2312" w:hAnsi="仿宋_GB2312" w:cs="仿宋_GB2312"/>
          <w:i w:val="0"/>
          <w:color w:val="auto"/>
          <w:sz w:val="32"/>
          <w:szCs w:val="32"/>
          <w:highlight w:val="none"/>
          <w:lang w:val="en-US" w:eastAsia="zh-CN" w:bidi="ug-CN"/>
        </w:rPr>
        <w:t>2026</w:t>
      </w:r>
      <w:r>
        <w:rPr>
          <w:rFonts w:hint="eastAsia" w:ascii="仿宋_GB2312" w:hAnsi="仿宋_GB2312" w:eastAsia="仿宋_GB2312" w:cs="仿宋_GB2312"/>
          <w:i w:val="0"/>
          <w:color w:val="auto"/>
          <w:sz w:val="32"/>
          <w:szCs w:val="32"/>
          <w:highlight w:val="none"/>
          <w:lang w:eastAsia="zh-CN" w:bidi="ug-CN"/>
        </w:rPr>
        <w:t>年</w:t>
      </w:r>
      <w:r>
        <w:rPr>
          <w:rFonts w:hint="eastAsia" w:ascii="仿宋_GB2312" w:hAnsi="仿宋_GB2312" w:cs="仿宋_GB2312"/>
          <w:i w:val="0"/>
          <w:color w:val="auto"/>
          <w:sz w:val="32"/>
          <w:szCs w:val="32"/>
          <w:highlight w:val="none"/>
          <w:lang w:val="en-US" w:eastAsia="zh-CN" w:bidi="ug-CN"/>
        </w:rPr>
        <w:t>10</w:t>
      </w:r>
      <w:r>
        <w:rPr>
          <w:rFonts w:hint="eastAsia" w:ascii="仿宋_GB2312" w:hAnsi="仿宋_GB2312" w:eastAsia="仿宋_GB2312" w:cs="仿宋_GB2312"/>
          <w:i w:val="0"/>
          <w:color w:val="auto"/>
          <w:sz w:val="32"/>
          <w:szCs w:val="32"/>
          <w:highlight w:val="none"/>
          <w:lang w:eastAsia="zh-CN" w:bidi="ug-CN"/>
        </w:rPr>
        <w:t>月</w:t>
      </w:r>
      <w:r>
        <w:rPr>
          <w:rFonts w:hint="eastAsia" w:ascii="仿宋_GB2312" w:hAnsi="仿宋_GB2312" w:cs="仿宋_GB2312"/>
          <w:i w:val="0"/>
          <w:color w:val="auto"/>
          <w:sz w:val="32"/>
          <w:szCs w:val="32"/>
          <w:highlight w:val="none"/>
          <w:lang w:val="en-US" w:eastAsia="zh-CN" w:bidi="ug-CN"/>
        </w:rPr>
        <w:t>25</w:t>
      </w:r>
      <w:bookmarkStart w:id="0" w:name="_GoBack"/>
      <w:bookmarkEnd w:id="0"/>
      <w:r>
        <w:rPr>
          <w:rFonts w:hint="eastAsia" w:ascii="仿宋_GB2312" w:hAnsi="仿宋_GB2312" w:eastAsia="仿宋_GB2312" w:cs="仿宋_GB2312"/>
          <w:i w:val="0"/>
          <w:color w:val="auto"/>
          <w:sz w:val="32"/>
          <w:szCs w:val="32"/>
          <w:highlight w:val="none"/>
          <w:lang w:eastAsia="zh-CN" w:bidi="ug-CN"/>
        </w:rPr>
        <w:t>日起实施，具体内容由</w:t>
      </w:r>
      <w:r>
        <w:rPr>
          <w:rFonts w:hint="eastAsia" w:ascii="仿宋_GB2312" w:hAnsi="仿宋_GB2312" w:cs="仿宋_GB2312"/>
          <w:i w:val="0"/>
          <w:color w:val="auto"/>
          <w:sz w:val="32"/>
          <w:szCs w:val="32"/>
          <w:highlight w:val="none"/>
          <w:lang w:eastAsia="zh-CN" w:bidi="ug-CN"/>
        </w:rPr>
        <w:t>托里</w:t>
      </w:r>
      <w:r>
        <w:rPr>
          <w:rFonts w:hint="eastAsia" w:ascii="仿宋_GB2312" w:hAnsi="仿宋_GB2312" w:eastAsia="仿宋_GB2312" w:cs="仿宋_GB2312"/>
          <w:i w:val="0"/>
          <w:color w:val="auto"/>
          <w:sz w:val="32"/>
          <w:szCs w:val="32"/>
          <w:highlight w:val="none"/>
          <w:lang w:eastAsia="zh-CN" w:bidi="ug-CN"/>
        </w:rPr>
        <w:t>县烟草专卖局负责解释，原</w:t>
      </w:r>
      <w:r>
        <w:rPr>
          <w:rFonts w:hint="eastAsia" w:ascii="仿宋_GB2312" w:hAnsi="仿宋_GB2312" w:eastAsia="仿宋_GB2312" w:cs="仿宋_GB2312"/>
          <w:i w:val="0"/>
          <w:snapToGrid w:val="0"/>
          <w:color w:val="auto"/>
          <w:spacing w:val="-6"/>
          <w:kern w:val="0"/>
          <w:sz w:val="32"/>
          <w:szCs w:val="32"/>
          <w:highlight w:val="none"/>
          <w:lang w:val="en-US" w:eastAsia="zh-CN" w:bidi="ug-CN"/>
        </w:rPr>
        <w:t>2021年10月公布的</w:t>
      </w:r>
      <w:r>
        <w:rPr>
          <w:rFonts w:hint="eastAsia" w:ascii="仿宋_GB2312" w:hAnsi="仿宋_GB2312" w:eastAsia="仿宋_GB2312" w:cs="仿宋_GB2312"/>
          <w:i w:val="0"/>
          <w:color w:val="auto"/>
          <w:sz w:val="32"/>
          <w:szCs w:val="32"/>
          <w:highlight w:val="none"/>
          <w:lang w:eastAsia="zh-CN" w:bidi="ug-CN"/>
        </w:rPr>
        <w:t>《</w:t>
      </w:r>
      <w:r>
        <w:rPr>
          <w:rFonts w:hint="eastAsia" w:ascii="仿宋_GB2312" w:hAnsi="仿宋_GB2312" w:cs="仿宋_GB2312"/>
          <w:i w:val="0"/>
          <w:color w:val="auto"/>
          <w:sz w:val="32"/>
          <w:szCs w:val="32"/>
          <w:highlight w:val="none"/>
          <w:lang w:eastAsia="zh-CN" w:bidi="ug-CN"/>
        </w:rPr>
        <w:t>托里</w:t>
      </w:r>
      <w:r>
        <w:rPr>
          <w:rFonts w:hint="eastAsia" w:ascii="仿宋_GB2312" w:hAnsi="仿宋_GB2312" w:eastAsia="仿宋_GB2312" w:cs="仿宋_GB2312"/>
          <w:i w:val="0"/>
          <w:color w:val="auto"/>
          <w:sz w:val="32"/>
          <w:szCs w:val="32"/>
          <w:highlight w:val="none"/>
          <w:lang w:eastAsia="zh-CN" w:bidi="ug-CN"/>
        </w:rPr>
        <w:t>县烟草制品零售点合理布局规划》同时废止</w:t>
      </w:r>
      <w:r>
        <w:rPr>
          <w:rFonts w:hint="eastAsia" w:ascii="仿宋_GB2312" w:hAnsi="仿宋_GB2312" w:eastAsia="仿宋_GB2312" w:cs="仿宋_GB2312"/>
          <w:i w:val="0"/>
          <w:snapToGrid w:val="0"/>
          <w:color w:val="auto"/>
          <w:spacing w:val="-6"/>
          <w:kern w:val="0"/>
          <w:sz w:val="32"/>
          <w:szCs w:val="32"/>
          <w:highlight w:val="none"/>
          <w:lang w:val="en-US" w:eastAsia="zh-CN" w:bidi="ug-CN"/>
        </w:rPr>
        <w:t>。</w:t>
      </w:r>
    </w:p>
    <w:sectPr>
      <w:headerReference r:id="rId5" w:type="default"/>
      <w:footerReference r:id="rId7" w:type="default"/>
      <w:headerReference r:id="rId6" w:type="even"/>
      <w:footerReference r:id="rId8" w:type="even"/>
      <w:pgSz w:w="11906" w:h="16838"/>
      <w:pgMar w:top="2098" w:right="1474" w:bottom="1984" w:left="1587" w:header="851" w:footer="1417" w:gutter="0"/>
      <w:pgNumType w:fmt="decimal" w:start="1"/>
      <w:cols w:space="425"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楷体">
    <w:altName w:val="方正楷体_GBK"/>
    <w:panose1 w:val="02010609060101010101"/>
    <w:charset w:val="00"/>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AGpUrO1gAAAAYBAAAPAAAAAAAA&#10;AAEAIAAAADgAAABkcnMvZG93bnJldi54bWxQSwECFAAUAAAACACHTuJADImRDDcCAABrBAAADgAA&#10;AAAAAAABACAAAAA7AQAAZHJzL2Uyb0RvYy54bWxQSwUGAAAAAAYABgBZAQAA5AUAAAAA&#10;">
              <v:fill on="f" focussize="0,0"/>
              <v:stroke on="f" weight="0.5pt"/>
              <v:imagedata o:title=""/>
              <o:lock v:ext="edit" aspectratio="f"/>
              <v:textbox inset="16pt,0mm,16pt,0mm" style="mso-fit-shape-to-text:t;">
                <w:txbxContent>
                  <w:p>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BqVKztYAAAAGAQAADwAAAAAA&#10;AAABACAAAAA4AAAAZHJzL2Rvd25yZXYueG1sUEsBAhQAFAAAAAgAh07iQHN51Lo4AgAAawQAAA4A&#10;AAAAAAAAAQAgAAAAOwEAAGRycy9lMm9Eb2MueG1sUEsFBgAAAAAGAAYAWQEAAOUFAAAAAA==&#10;">
              <v:fill on="f" focussize="0,0"/>
              <v:stroke on="f" weight="0.5pt"/>
              <v:imagedata o:title=""/>
              <o:lock v:ext="edit" aspectratio="f"/>
              <v:textbox inset="16pt,0mm,16pt,0mm" style="mso-fit-shape-to-text:t;">
                <w:txbxContent>
                  <w:p>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DD4248"/>
    <w:rsid w:val="03EE2141"/>
    <w:rsid w:val="04DE21B6"/>
    <w:rsid w:val="08805692"/>
    <w:rsid w:val="0C28640C"/>
    <w:rsid w:val="0DEE75F5"/>
    <w:rsid w:val="0E7FA44F"/>
    <w:rsid w:val="0F7A10E5"/>
    <w:rsid w:val="0F7FFA86"/>
    <w:rsid w:val="0FBF5E93"/>
    <w:rsid w:val="0FF737C9"/>
    <w:rsid w:val="15FC47B3"/>
    <w:rsid w:val="17B1BC9B"/>
    <w:rsid w:val="18CF5CEF"/>
    <w:rsid w:val="197EDEB2"/>
    <w:rsid w:val="1A844FDB"/>
    <w:rsid w:val="1BBEF4F6"/>
    <w:rsid w:val="1C5C7665"/>
    <w:rsid w:val="1C6DC6EB"/>
    <w:rsid w:val="1D102CD1"/>
    <w:rsid w:val="1D5373FC"/>
    <w:rsid w:val="1F2FC5B0"/>
    <w:rsid w:val="1F36C638"/>
    <w:rsid w:val="1F7E66C2"/>
    <w:rsid w:val="1FEBE172"/>
    <w:rsid w:val="1FEBEA68"/>
    <w:rsid w:val="1FEFD85F"/>
    <w:rsid w:val="1FF5D004"/>
    <w:rsid w:val="1FFEB6D4"/>
    <w:rsid w:val="210765C4"/>
    <w:rsid w:val="21C36564"/>
    <w:rsid w:val="224E0D6A"/>
    <w:rsid w:val="23BAF6E4"/>
    <w:rsid w:val="25387269"/>
    <w:rsid w:val="27520F90"/>
    <w:rsid w:val="283A6840"/>
    <w:rsid w:val="28D733E1"/>
    <w:rsid w:val="297F0AD5"/>
    <w:rsid w:val="2AFF57E6"/>
    <w:rsid w:val="2DC7154E"/>
    <w:rsid w:val="2DFEB43B"/>
    <w:rsid w:val="2EDF3A08"/>
    <w:rsid w:val="2FB38AD9"/>
    <w:rsid w:val="2FB6D9C9"/>
    <w:rsid w:val="2FDE1BA6"/>
    <w:rsid w:val="2FE334B5"/>
    <w:rsid w:val="2FEB3977"/>
    <w:rsid w:val="301BACAB"/>
    <w:rsid w:val="30EB723A"/>
    <w:rsid w:val="33DE3814"/>
    <w:rsid w:val="357A9D39"/>
    <w:rsid w:val="35FC0E50"/>
    <w:rsid w:val="36F73ABF"/>
    <w:rsid w:val="370861DB"/>
    <w:rsid w:val="375DEA98"/>
    <w:rsid w:val="375FBC35"/>
    <w:rsid w:val="37EED2D0"/>
    <w:rsid w:val="37F754E2"/>
    <w:rsid w:val="37FA2EE0"/>
    <w:rsid w:val="38BB0995"/>
    <w:rsid w:val="3AFB9BE7"/>
    <w:rsid w:val="3B152CB8"/>
    <w:rsid w:val="3B76E5E5"/>
    <w:rsid w:val="3B7DDC8F"/>
    <w:rsid w:val="3B7E86CC"/>
    <w:rsid w:val="3BCE345C"/>
    <w:rsid w:val="3BEF0B55"/>
    <w:rsid w:val="3BFD67E0"/>
    <w:rsid w:val="3BFD7BB1"/>
    <w:rsid w:val="3CFE9980"/>
    <w:rsid w:val="3E0B6C43"/>
    <w:rsid w:val="3EB64DE6"/>
    <w:rsid w:val="3EEDB5A3"/>
    <w:rsid w:val="3EF7A7E3"/>
    <w:rsid w:val="3F365F7C"/>
    <w:rsid w:val="3F6F777A"/>
    <w:rsid w:val="3F6FC0F4"/>
    <w:rsid w:val="3F7BEB72"/>
    <w:rsid w:val="3F7DCE62"/>
    <w:rsid w:val="3F7EC243"/>
    <w:rsid w:val="3F7F12FC"/>
    <w:rsid w:val="3F7F149E"/>
    <w:rsid w:val="3F9C5BA4"/>
    <w:rsid w:val="3FBB8305"/>
    <w:rsid w:val="3FBF5E49"/>
    <w:rsid w:val="3FBFBADE"/>
    <w:rsid w:val="3FD8EC10"/>
    <w:rsid w:val="3FDF3D0C"/>
    <w:rsid w:val="3FF8763D"/>
    <w:rsid w:val="3FFF2772"/>
    <w:rsid w:val="406E0B63"/>
    <w:rsid w:val="44407565"/>
    <w:rsid w:val="45FB6938"/>
    <w:rsid w:val="466D9129"/>
    <w:rsid w:val="47313470"/>
    <w:rsid w:val="477F8FA0"/>
    <w:rsid w:val="47D7B385"/>
    <w:rsid w:val="49DE07A7"/>
    <w:rsid w:val="4A4D1D7C"/>
    <w:rsid w:val="4CB443F0"/>
    <w:rsid w:val="4CDD4248"/>
    <w:rsid w:val="4DC7DEC6"/>
    <w:rsid w:val="4DF630BD"/>
    <w:rsid w:val="4DFD4EC3"/>
    <w:rsid w:val="4E7F8217"/>
    <w:rsid w:val="4E944C60"/>
    <w:rsid w:val="4F5E8C42"/>
    <w:rsid w:val="4F5F13EF"/>
    <w:rsid w:val="4F5F8B9F"/>
    <w:rsid w:val="4FBB3F24"/>
    <w:rsid w:val="4FCDC07A"/>
    <w:rsid w:val="4FFD59AD"/>
    <w:rsid w:val="4FFE20CD"/>
    <w:rsid w:val="4FFFA976"/>
    <w:rsid w:val="51DB62B0"/>
    <w:rsid w:val="52FBDED2"/>
    <w:rsid w:val="55770F8B"/>
    <w:rsid w:val="55FE3A06"/>
    <w:rsid w:val="5678625A"/>
    <w:rsid w:val="57DF09A3"/>
    <w:rsid w:val="57E70D2F"/>
    <w:rsid w:val="57F86260"/>
    <w:rsid w:val="57F9F6D6"/>
    <w:rsid w:val="596647A3"/>
    <w:rsid w:val="59FE12C2"/>
    <w:rsid w:val="5A6D2361"/>
    <w:rsid w:val="5A9B6A9A"/>
    <w:rsid w:val="5ABC72BB"/>
    <w:rsid w:val="5BB2BFB2"/>
    <w:rsid w:val="5BF97135"/>
    <w:rsid w:val="5BFB5B46"/>
    <w:rsid w:val="5CC01068"/>
    <w:rsid w:val="5CFF76D4"/>
    <w:rsid w:val="5CFF7F2A"/>
    <w:rsid w:val="5DFBA54E"/>
    <w:rsid w:val="5DFBD12B"/>
    <w:rsid w:val="5DFDDE36"/>
    <w:rsid w:val="5DFF51F0"/>
    <w:rsid w:val="5E1587BA"/>
    <w:rsid w:val="5EB71ECF"/>
    <w:rsid w:val="5ED73824"/>
    <w:rsid w:val="5F3FC57A"/>
    <w:rsid w:val="5F6A5347"/>
    <w:rsid w:val="5F761181"/>
    <w:rsid w:val="5F7F8329"/>
    <w:rsid w:val="5FBBE314"/>
    <w:rsid w:val="5FBFAA7F"/>
    <w:rsid w:val="5FE48328"/>
    <w:rsid w:val="5FF756D1"/>
    <w:rsid w:val="5FF8739D"/>
    <w:rsid w:val="5FFE23C0"/>
    <w:rsid w:val="5FFFB340"/>
    <w:rsid w:val="61644A34"/>
    <w:rsid w:val="61C70CA5"/>
    <w:rsid w:val="62F3F517"/>
    <w:rsid w:val="65F8295A"/>
    <w:rsid w:val="65FAD1BE"/>
    <w:rsid w:val="67772A1A"/>
    <w:rsid w:val="677D05FD"/>
    <w:rsid w:val="67B69529"/>
    <w:rsid w:val="67E68C70"/>
    <w:rsid w:val="67EA7920"/>
    <w:rsid w:val="67F5F25E"/>
    <w:rsid w:val="67FB3A02"/>
    <w:rsid w:val="67FBC7D6"/>
    <w:rsid w:val="682D0F2B"/>
    <w:rsid w:val="696A02DF"/>
    <w:rsid w:val="6A1FC990"/>
    <w:rsid w:val="6A7EAFA6"/>
    <w:rsid w:val="6AD21A35"/>
    <w:rsid w:val="6B3F60DE"/>
    <w:rsid w:val="6B9F81DD"/>
    <w:rsid w:val="6BBBA5BA"/>
    <w:rsid w:val="6BE5F0EC"/>
    <w:rsid w:val="6BFA44EA"/>
    <w:rsid w:val="6BFB316C"/>
    <w:rsid w:val="6C4C04D0"/>
    <w:rsid w:val="6C76FEFC"/>
    <w:rsid w:val="6D7BEEE5"/>
    <w:rsid w:val="6E179714"/>
    <w:rsid w:val="6EF9E547"/>
    <w:rsid w:val="6EFB05FD"/>
    <w:rsid w:val="6EFB4D46"/>
    <w:rsid w:val="6EFF79A9"/>
    <w:rsid w:val="6EFFC4AD"/>
    <w:rsid w:val="6F8F3646"/>
    <w:rsid w:val="6F9EB288"/>
    <w:rsid w:val="6FBBD70D"/>
    <w:rsid w:val="6FBF86F4"/>
    <w:rsid w:val="6FBFC7E8"/>
    <w:rsid w:val="6FD6D614"/>
    <w:rsid w:val="6FD71CCF"/>
    <w:rsid w:val="6FDF0EF1"/>
    <w:rsid w:val="6FE7FC21"/>
    <w:rsid w:val="6FEF7C08"/>
    <w:rsid w:val="6FF76FAA"/>
    <w:rsid w:val="733F0452"/>
    <w:rsid w:val="737AFC49"/>
    <w:rsid w:val="73EBFD88"/>
    <w:rsid w:val="73F7EF71"/>
    <w:rsid w:val="75CE5B05"/>
    <w:rsid w:val="76DCC2B9"/>
    <w:rsid w:val="76DD109B"/>
    <w:rsid w:val="76FD7F7C"/>
    <w:rsid w:val="76FEB0AD"/>
    <w:rsid w:val="775DF5E8"/>
    <w:rsid w:val="777AA96C"/>
    <w:rsid w:val="777D07B0"/>
    <w:rsid w:val="777F58AE"/>
    <w:rsid w:val="77A27DBF"/>
    <w:rsid w:val="77B6A936"/>
    <w:rsid w:val="77CB4DF8"/>
    <w:rsid w:val="77F46C63"/>
    <w:rsid w:val="77FB1C71"/>
    <w:rsid w:val="77FDE1F2"/>
    <w:rsid w:val="77FFB66D"/>
    <w:rsid w:val="77FFE9BF"/>
    <w:rsid w:val="78000AED"/>
    <w:rsid w:val="7833095B"/>
    <w:rsid w:val="78DD32CE"/>
    <w:rsid w:val="78DF4A26"/>
    <w:rsid w:val="78FF9F49"/>
    <w:rsid w:val="79714FA0"/>
    <w:rsid w:val="79FDA7A3"/>
    <w:rsid w:val="79FFE8BF"/>
    <w:rsid w:val="7AEF1D23"/>
    <w:rsid w:val="7AFF5798"/>
    <w:rsid w:val="7AFF758E"/>
    <w:rsid w:val="7B6FF118"/>
    <w:rsid w:val="7B72F852"/>
    <w:rsid w:val="7BD29869"/>
    <w:rsid w:val="7BFA4856"/>
    <w:rsid w:val="7BFBFE9D"/>
    <w:rsid w:val="7BFDA6D6"/>
    <w:rsid w:val="7C76A21E"/>
    <w:rsid w:val="7C9CB7C7"/>
    <w:rsid w:val="7CEF1D81"/>
    <w:rsid w:val="7CF39FCE"/>
    <w:rsid w:val="7D7C519C"/>
    <w:rsid w:val="7DA4610C"/>
    <w:rsid w:val="7DA97044"/>
    <w:rsid w:val="7DD6FC1F"/>
    <w:rsid w:val="7DFB81B0"/>
    <w:rsid w:val="7DFBD872"/>
    <w:rsid w:val="7DFE2C87"/>
    <w:rsid w:val="7DFE5533"/>
    <w:rsid w:val="7E1E1578"/>
    <w:rsid w:val="7E3E0B94"/>
    <w:rsid w:val="7E5EE8D8"/>
    <w:rsid w:val="7E6F9AC6"/>
    <w:rsid w:val="7E7B930B"/>
    <w:rsid w:val="7E8E2427"/>
    <w:rsid w:val="7EA65E24"/>
    <w:rsid w:val="7EB66BDE"/>
    <w:rsid w:val="7ED777CE"/>
    <w:rsid w:val="7EDEAAF1"/>
    <w:rsid w:val="7EEF2BB6"/>
    <w:rsid w:val="7EFD59AF"/>
    <w:rsid w:val="7EFEEB5F"/>
    <w:rsid w:val="7EFF637A"/>
    <w:rsid w:val="7F0FF357"/>
    <w:rsid w:val="7F330B58"/>
    <w:rsid w:val="7F3FCE68"/>
    <w:rsid w:val="7F4EF6AB"/>
    <w:rsid w:val="7F5F8071"/>
    <w:rsid w:val="7F66B0B3"/>
    <w:rsid w:val="7F673968"/>
    <w:rsid w:val="7F735842"/>
    <w:rsid w:val="7FAFDC31"/>
    <w:rsid w:val="7FBB02A1"/>
    <w:rsid w:val="7FBBED42"/>
    <w:rsid w:val="7FBCF607"/>
    <w:rsid w:val="7FBCFE49"/>
    <w:rsid w:val="7FBD5436"/>
    <w:rsid w:val="7FBD7256"/>
    <w:rsid w:val="7FBEF0DA"/>
    <w:rsid w:val="7FBFD9ED"/>
    <w:rsid w:val="7FBFED77"/>
    <w:rsid w:val="7FBFF886"/>
    <w:rsid w:val="7FC59EFD"/>
    <w:rsid w:val="7FCB858D"/>
    <w:rsid w:val="7FCED7B3"/>
    <w:rsid w:val="7FD34EB8"/>
    <w:rsid w:val="7FDB1264"/>
    <w:rsid w:val="7FDFFDF4"/>
    <w:rsid w:val="7FE22DA4"/>
    <w:rsid w:val="7FE363BA"/>
    <w:rsid w:val="7FE7C72C"/>
    <w:rsid w:val="7FEF11CC"/>
    <w:rsid w:val="7FEFE031"/>
    <w:rsid w:val="7FEFE7BC"/>
    <w:rsid w:val="7FF66574"/>
    <w:rsid w:val="7FF66932"/>
    <w:rsid w:val="7FF7236C"/>
    <w:rsid w:val="7FFB9A02"/>
    <w:rsid w:val="7FFC16D4"/>
    <w:rsid w:val="7FFC2F31"/>
    <w:rsid w:val="7FFF3C02"/>
    <w:rsid w:val="7FFF7FB6"/>
    <w:rsid w:val="7FFF9E7F"/>
    <w:rsid w:val="8FDAE841"/>
    <w:rsid w:val="8FDFBBA8"/>
    <w:rsid w:val="937F0D5F"/>
    <w:rsid w:val="93FBC4D7"/>
    <w:rsid w:val="95F73665"/>
    <w:rsid w:val="966FE27E"/>
    <w:rsid w:val="967B481A"/>
    <w:rsid w:val="977FDC40"/>
    <w:rsid w:val="9B5418E8"/>
    <w:rsid w:val="9CFAFF34"/>
    <w:rsid w:val="9F1EFA84"/>
    <w:rsid w:val="9F383433"/>
    <w:rsid w:val="9F7F5E33"/>
    <w:rsid w:val="9FB99239"/>
    <w:rsid w:val="9FBEF294"/>
    <w:rsid w:val="9FDC3CB3"/>
    <w:rsid w:val="A7BE4E1A"/>
    <w:rsid w:val="A7BF6E65"/>
    <w:rsid w:val="ABD7CA92"/>
    <w:rsid w:val="ABFD1A03"/>
    <w:rsid w:val="ADD7C743"/>
    <w:rsid w:val="ADFDAEDD"/>
    <w:rsid w:val="AE4B0197"/>
    <w:rsid w:val="AE751B77"/>
    <w:rsid w:val="AE7F1D9F"/>
    <w:rsid w:val="AEFC7E5D"/>
    <w:rsid w:val="AEFDC93A"/>
    <w:rsid w:val="AF772161"/>
    <w:rsid w:val="AFEBC400"/>
    <w:rsid w:val="AFEFBFB2"/>
    <w:rsid w:val="B1FFD264"/>
    <w:rsid w:val="B247E9AF"/>
    <w:rsid w:val="B37BC94B"/>
    <w:rsid w:val="B62DB79C"/>
    <w:rsid w:val="B75F6FCF"/>
    <w:rsid w:val="B77510C0"/>
    <w:rsid w:val="B77B5C7B"/>
    <w:rsid w:val="B77FCFF0"/>
    <w:rsid w:val="B7EA13B6"/>
    <w:rsid w:val="B7FEB879"/>
    <w:rsid w:val="B97C94F8"/>
    <w:rsid w:val="B9DFBB6C"/>
    <w:rsid w:val="B9FF86B0"/>
    <w:rsid w:val="BB7F2455"/>
    <w:rsid w:val="BB9F3EC0"/>
    <w:rsid w:val="BBDE314A"/>
    <w:rsid w:val="BBDF87B9"/>
    <w:rsid w:val="BBED1A5F"/>
    <w:rsid w:val="BBFB042F"/>
    <w:rsid w:val="BBFB9D35"/>
    <w:rsid w:val="BCEF3694"/>
    <w:rsid w:val="BD9FD8F3"/>
    <w:rsid w:val="BDB19BFE"/>
    <w:rsid w:val="BDF94F5E"/>
    <w:rsid w:val="BDFF3347"/>
    <w:rsid w:val="BEAE4CDB"/>
    <w:rsid w:val="BECE4E1F"/>
    <w:rsid w:val="BEDEBCE1"/>
    <w:rsid w:val="BEF7C618"/>
    <w:rsid w:val="BF5FA84B"/>
    <w:rsid w:val="BF7127DD"/>
    <w:rsid w:val="BF7F59E1"/>
    <w:rsid w:val="BF9FE350"/>
    <w:rsid w:val="BFD58BFD"/>
    <w:rsid w:val="BFEE979D"/>
    <w:rsid w:val="BFFF8B9C"/>
    <w:rsid w:val="C1CBD2CF"/>
    <w:rsid w:val="C7AFE737"/>
    <w:rsid w:val="CA7FE894"/>
    <w:rsid w:val="CADBAB34"/>
    <w:rsid w:val="CCBAC3BF"/>
    <w:rsid w:val="CCF51B83"/>
    <w:rsid w:val="CDBB4807"/>
    <w:rsid w:val="CDBFCE58"/>
    <w:rsid w:val="CDBFDCEA"/>
    <w:rsid w:val="CE9C99DF"/>
    <w:rsid w:val="CECF45C2"/>
    <w:rsid w:val="CFF6D8C4"/>
    <w:rsid w:val="D3BE5340"/>
    <w:rsid w:val="D5DB5A34"/>
    <w:rsid w:val="D5DF1808"/>
    <w:rsid w:val="D6D3CF68"/>
    <w:rsid w:val="D75AA230"/>
    <w:rsid w:val="D7A6B5BE"/>
    <w:rsid w:val="D7D7A9E8"/>
    <w:rsid w:val="D7EFAEAD"/>
    <w:rsid w:val="D7FFFB21"/>
    <w:rsid w:val="D8FFE009"/>
    <w:rsid w:val="D926164E"/>
    <w:rsid w:val="D975CB7A"/>
    <w:rsid w:val="DCAFAD0F"/>
    <w:rsid w:val="DD7F8911"/>
    <w:rsid w:val="DD97E6F1"/>
    <w:rsid w:val="DDDF37B3"/>
    <w:rsid w:val="DDE04BEB"/>
    <w:rsid w:val="DDFB3756"/>
    <w:rsid w:val="DE4F9CEE"/>
    <w:rsid w:val="DE6D1B23"/>
    <w:rsid w:val="DE9A744E"/>
    <w:rsid w:val="DEDF9259"/>
    <w:rsid w:val="DEFFF40C"/>
    <w:rsid w:val="DF2FDDE3"/>
    <w:rsid w:val="DF5AF944"/>
    <w:rsid w:val="DF7BF54A"/>
    <w:rsid w:val="DF7EBB16"/>
    <w:rsid w:val="DFBFDA87"/>
    <w:rsid w:val="DFCF8085"/>
    <w:rsid w:val="DFD29640"/>
    <w:rsid w:val="DFEF44B9"/>
    <w:rsid w:val="DFF4D295"/>
    <w:rsid w:val="DFF7771F"/>
    <w:rsid w:val="DFFF93BF"/>
    <w:rsid w:val="DFFFD47B"/>
    <w:rsid w:val="E1FD615C"/>
    <w:rsid w:val="E2631D9B"/>
    <w:rsid w:val="E3F689ED"/>
    <w:rsid w:val="E6F764B6"/>
    <w:rsid w:val="E7F79E0E"/>
    <w:rsid w:val="E92F06EB"/>
    <w:rsid w:val="E9DE726E"/>
    <w:rsid w:val="EAA787B7"/>
    <w:rsid w:val="EB4EFE10"/>
    <w:rsid w:val="EB9DC9B6"/>
    <w:rsid w:val="ECD672F5"/>
    <w:rsid w:val="ECDC9359"/>
    <w:rsid w:val="ECFF0551"/>
    <w:rsid w:val="ED699A8E"/>
    <w:rsid w:val="ED8E5E6D"/>
    <w:rsid w:val="EDD5EB61"/>
    <w:rsid w:val="EE5FE73A"/>
    <w:rsid w:val="EE6BC259"/>
    <w:rsid w:val="EF4C0EC4"/>
    <w:rsid w:val="EF7DB3C6"/>
    <w:rsid w:val="EFB6C3A1"/>
    <w:rsid w:val="EFB7A05A"/>
    <w:rsid w:val="EFBF346A"/>
    <w:rsid w:val="EFBF417C"/>
    <w:rsid w:val="EFE378A8"/>
    <w:rsid w:val="EFEC4017"/>
    <w:rsid w:val="EFED3764"/>
    <w:rsid w:val="EFEDE94A"/>
    <w:rsid w:val="EFEE9635"/>
    <w:rsid w:val="EFEF0AF4"/>
    <w:rsid w:val="EFF5A0A9"/>
    <w:rsid w:val="EFFE6189"/>
    <w:rsid w:val="F07FB09D"/>
    <w:rsid w:val="F1BC606E"/>
    <w:rsid w:val="F33FBACF"/>
    <w:rsid w:val="F36D37CB"/>
    <w:rsid w:val="F3EE3240"/>
    <w:rsid w:val="F3F6DD37"/>
    <w:rsid w:val="F3FFC7FC"/>
    <w:rsid w:val="F417D4AD"/>
    <w:rsid w:val="F44A678E"/>
    <w:rsid w:val="F4EB8CDE"/>
    <w:rsid w:val="F57BC0CE"/>
    <w:rsid w:val="F65BA522"/>
    <w:rsid w:val="F6D72D3C"/>
    <w:rsid w:val="F6DB472C"/>
    <w:rsid w:val="F6E71636"/>
    <w:rsid w:val="F6EFC4B5"/>
    <w:rsid w:val="F6F3C158"/>
    <w:rsid w:val="F73E1740"/>
    <w:rsid w:val="F7871C9B"/>
    <w:rsid w:val="F79DFA47"/>
    <w:rsid w:val="F79FA330"/>
    <w:rsid w:val="F7AB175A"/>
    <w:rsid w:val="F7AF9014"/>
    <w:rsid w:val="F7BF5AA5"/>
    <w:rsid w:val="F7BFD7FF"/>
    <w:rsid w:val="F7CE51C1"/>
    <w:rsid w:val="F7D3B1C2"/>
    <w:rsid w:val="F7DD7641"/>
    <w:rsid w:val="F7E4B059"/>
    <w:rsid w:val="F7FB637A"/>
    <w:rsid w:val="F7FBF17E"/>
    <w:rsid w:val="F7FE4A91"/>
    <w:rsid w:val="F9EEB926"/>
    <w:rsid w:val="F9F630E3"/>
    <w:rsid w:val="F9FF5CCE"/>
    <w:rsid w:val="FA3DF376"/>
    <w:rsid w:val="FA7B2FE5"/>
    <w:rsid w:val="FAB8E7BF"/>
    <w:rsid w:val="FADBEA1B"/>
    <w:rsid w:val="FAED0E81"/>
    <w:rsid w:val="FAEF3244"/>
    <w:rsid w:val="FAFF7276"/>
    <w:rsid w:val="FAFFFA90"/>
    <w:rsid w:val="FB160ACF"/>
    <w:rsid w:val="FB3D13AC"/>
    <w:rsid w:val="FB6D70F3"/>
    <w:rsid w:val="FB71D026"/>
    <w:rsid w:val="FBBB81AC"/>
    <w:rsid w:val="FBBF0FAB"/>
    <w:rsid w:val="FBCD601E"/>
    <w:rsid w:val="FBDD9F3E"/>
    <w:rsid w:val="FBF77C59"/>
    <w:rsid w:val="FBF79522"/>
    <w:rsid w:val="FBFFB6D9"/>
    <w:rsid w:val="FCC79D8C"/>
    <w:rsid w:val="FCDD4961"/>
    <w:rsid w:val="FCEF24CD"/>
    <w:rsid w:val="FCFDA764"/>
    <w:rsid w:val="FD7DC8AC"/>
    <w:rsid w:val="FDDB6655"/>
    <w:rsid w:val="FDDF1D60"/>
    <w:rsid w:val="FDDF8962"/>
    <w:rsid w:val="FE6F47D7"/>
    <w:rsid w:val="FE777BA5"/>
    <w:rsid w:val="FEB5CDE5"/>
    <w:rsid w:val="FED5FBA7"/>
    <w:rsid w:val="FEEE66C7"/>
    <w:rsid w:val="FEEFCA72"/>
    <w:rsid w:val="FEFF203C"/>
    <w:rsid w:val="FEFF66F8"/>
    <w:rsid w:val="FEFFC52E"/>
    <w:rsid w:val="FF0D3D9F"/>
    <w:rsid w:val="FF0F0452"/>
    <w:rsid w:val="FF2FE60C"/>
    <w:rsid w:val="FF3BE766"/>
    <w:rsid w:val="FF3F5B00"/>
    <w:rsid w:val="FF53E2A5"/>
    <w:rsid w:val="FF598F95"/>
    <w:rsid w:val="FF5BCC3B"/>
    <w:rsid w:val="FF776D69"/>
    <w:rsid w:val="FF7B6040"/>
    <w:rsid w:val="FF7D93D5"/>
    <w:rsid w:val="FF7F9BB9"/>
    <w:rsid w:val="FF7FD1EE"/>
    <w:rsid w:val="FF8D55CC"/>
    <w:rsid w:val="FF97B146"/>
    <w:rsid w:val="FF9A6198"/>
    <w:rsid w:val="FF9B43D3"/>
    <w:rsid w:val="FF9BCBA8"/>
    <w:rsid w:val="FFBA8EAE"/>
    <w:rsid w:val="FFBAE0BF"/>
    <w:rsid w:val="FFBB84B0"/>
    <w:rsid w:val="FFBFD862"/>
    <w:rsid w:val="FFBFE6C0"/>
    <w:rsid w:val="FFCB5426"/>
    <w:rsid w:val="FFD7AC56"/>
    <w:rsid w:val="FFDF7EE3"/>
    <w:rsid w:val="FFE17C92"/>
    <w:rsid w:val="FFEBEDF0"/>
    <w:rsid w:val="FFEF9ED6"/>
    <w:rsid w:val="FFF32130"/>
    <w:rsid w:val="FFF512A1"/>
    <w:rsid w:val="FFF6F4C4"/>
    <w:rsid w:val="FFFB0925"/>
    <w:rsid w:val="FFFB751B"/>
    <w:rsid w:val="FFFF452C"/>
    <w:rsid w:val="FFFF56BE"/>
    <w:rsid w:val="FFFF7C3A"/>
    <w:rsid w:val="FFFFF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0"/>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basedOn w:val="1"/>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rPr>
      <w:sz w:val="24"/>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19">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20">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5049</Words>
  <Characters>5167</Characters>
  <Lines>0</Lines>
  <Paragraphs>0</Paragraphs>
  <TotalTime>9</TotalTime>
  <ScaleCrop>false</ScaleCrop>
  <LinksUpToDate>false</LinksUpToDate>
  <CharactersWithSpaces>5197</CharactersWithSpaces>
  <Application>WPS Office_11.8.2.12320_F1E327BC-269C-435d-A152-05C5408002CA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2026-06-23T20:34:00Z</dcterms:created>
  <dc:creator>守口如瓶的帽子</dc:creator>
  <cp:lastModifiedBy>user</cp:lastModifiedBy>
  <cp:lastPrinted>2026-08-04T00:20:00Z</cp:lastPrinted>
  <dcterms:modified xsi:type="dcterms:W3CDTF">2026-09-24T17:03:57Z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2052-11.8.2.12320</vt:lpwstr>
  </property>
  <property fmtid="{D5CDD505-2E9C-101B-9397-08002B2CF9AE}" pid="3" name="ICV">
    <vt:lpwstr>9171D13DEC5249AC9E68518E52236C1F_13</vt:lpwstr>
  </property>
  <property fmtid="{D5CDD505-2E9C-101B-9397-08002B2CF9AE}" pid="4" name="KSOTemplateDocerSaveRecord">
    <vt:lpwstr>eyJoZGlkIjoiOGIxZTEwZGJlZmMyMzBjYTc5ODJiNDg0MzYwN2VjMDMiLCJ1c2VySWQiOiIxNjI3NzU3NDQwIn0=</vt:lpwstr>
  </property>
  <property fmtid="{D5CDD505-2E9C-101B-9397-08002B2CF9AE}" pid="5" name="标题_1">
    <vt:lpwstr>塔城地区托里县烟草制品零售点合理布局规划（草案）</vt:lpwstr>
  </property>
</Properties>
</file>