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keepNext w:val="0"/>
        <w:keepLines w:val="0"/>
        <w:pageBreakBefore w:val="0"/>
        <w:widowControl w:val="0"/>
        <w:kinsoku/>
        <w:wordWrap/>
        <w:overflowPunct/>
        <w:topLinePunct w:val="0"/>
        <w:autoSpaceDE/>
        <w:autoSpaceDN/>
        <w:bidi w:val="0"/>
        <w:adjustRightInd/>
        <w:snapToGrid/>
        <w:spacing w:line="560" w:lineRule="exact"/>
        <w:jc w:val="left"/>
        <w:textAlignment w:val="auto"/>
        <w:rPr>
          <w:rFonts w:hint="eastAsia" w:ascii="仿宋_GB2312" w:hAnsi="仿宋_GB2312" w:eastAsia="仿宋_GB2312" w:cs="仿宋_GB2312"/>
          <w:i w:val="0"/>
          <w:iCs w:val="0"/>
          <w:caps w:val="0"/>
          <w:spacing w:val="7"/>
          <w:sz w:val="32"/>
          <w:szCs w:val="32"/>
          <w:shd w:val="clear" w:fill="FFFFFF"/>
          <w:lang w:val="en-US" w:eastAsia="zh-CN"/>
        </w:rPr>
      </w:pPr>
      <w:bookmarkStart w:id="0" w:name="_GoBack"/>
      <w:bookmarkEnd w:id="0"/>
    </w:p>
    <w:p>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color="auto" w:fill="FFFFFF"/>
        <w:kinsoku/>
        <w:wordWrap/>
        <w:overflowPunct/>
        <w:topLinePunct w:val="0"/>
        <w:autoSpaceDE/>
        <w:autoSpaceDN/>
        <w:bidi w:val="0"/>
        <w:adjustRightInd/>
        <w:snapToGrid/>
        <w:spacing w:before="0" w:beforeAutospacing="0" w:after="0" w:afterAutospacing="0" w:line="560" w:lineRule="exact"/>
        <w:ind w:right="0"/>
        <w:jc w:val="center"/>
        <w:textAlignment w:val="auto"/>
        <w:outlineLvl w:val="9"/>
        <w:rPr>
          <w:rFonts w:hint="eastAsia" w:ascii="方正小标宋_GBK" w:hAnsi="方正小标宋_GBK" w:eastAsia="方正小标宋_GBK" w:cs="方正小标宋_GBK"/>
          <w:b w:val="0"/>
          <w:bCs w:val="0"/>
          <w:i w:val="0"/>
          <w:iCs w:val="0"/>
          <w:caps w:val="0"/>
          <w:color w:val="333333"/>
          <w:spacing w:val="0"/>
          <w:sz w:val="44"/>
          <w:szCs w:val="44"/>
        </w:rPr>
      </w:pPr>
      <w:r>
        <w:rPr>
          <w:rFonts w:hint="eastAsia" w:ascii="方正小标宋_GBK" w:hAnsi="方正小标宋_GBK" w:eastAsia="方正小标宋_GBK" w:cs="方正小标宋_GBK"/>
          <w:b w:val="0"/>
          <w:bCs w:val="0"/>
          <w:i w:val="0"/>
          <w:iCs w:val="0"/>
          <w:caps w:val="0"/>
          <w:color w:val="333333"/>
          <w:spacing w:val="0"/>
          <w:sz w:val="44"/>
          <w:szCs w:val="44"/>
          <w:shd w:val="clear" w:color="auto" w:fill="FFFFFF"/>
        </w:rPr>
        <w:t>托里县国有企业重大事项管理规定（试行）</w:t>
      </w:r>
    </w:p>
    <w:p>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color="auto" w:fill="FFFFFF"/>
        <w:kinsoku/>
        <w:wordWrap/>
        <w:overflowPunct/>
        <w:topLinePunct w:val="0"/>
        <w:autoSpaceDE/>
        <w:autoSpaceDN/>
        <w:bidi w:val="0"/>
        <w:adjustRightInd/>
        <w:snapToGrid/>
        <w:spacing w:before="0" w:beforeAutospacing="0" w:after="0" w:afterAutospacing="0" w:line="560" w:lineRule="exact"/>
        <w:ind w:left="0" w:right="0" w:firstLine="640" w:firstLineChars="200"/>
        <w:jc w:val="left"/>
        <w:textAlignment w:val="auto"/>
        <w:outlineLvl w:val="9"/>
        <w:rPr>
          <w:rFonts w:hint="eastAsia" w:ascii="仿宋_GB2312" w:hAnsi="仿宋_GB2312" w:eastAsia="仿宋_GB2312" w:cs="仿宋_GB2312"/>
          <w:b w:val="0"/>
          <w:bCs w:val="0"/>
          <w:i w:val="0"/>
          <w:iCs w:val="0"/>
          <w:caps w:val="0"/>
          <w:color w:val="333333"/>
          <w:spacing w:val="0"/>
          <w:sz w:val="32"/>
          <w:szCs w:val="32"/>
        </w:rPr>
      </w:pPr>
      <w:r>
        <w:rPr>
          <w:rFonts w:hint="eastAsia" w:ascii="仿宋_GB2312" w:hAnsi="仿宋_GB2312" w:eastAsia="仿宋_GB2312" w:cs="仿宋_GB2312"/>
          <w:b w:val="0"/>
          <w:bCs w:val="0"/>
          <w:i w:val="0"/>
          <w:iCs w:val="0"/>
          <w:caps w:val="0"/>
          <w:color w:val="333333"/>
          <w:spacing w:val="0"/>
          <w:sz w:val="32"/>
          <w:szCs w:val="32"/>
          <w:shd w:val="clear" w:color="auto" w:fill="FFFFFF"/>
        </w:rPr>
        <w:t> </w:t>
      </w:r>
    </w:p>
    <w:p>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color="auto" w:fill="FFFFFF"/>
        <w:kinsoku/>
        <w:wordWrap/>
        <w:overflowPunct/>
        <w:topLinePunct w:val="0"/>
        <w:autoSpaceDE/>
        <w:autoSpaceDN/>
        <w:bidi w:val="0"/>
        <w:adjustRightInd/>
        <w:snapToGrid/>
        <w:spacing w:before="0" w:beforeAutospacing="0" w:after="0" w:afterAutospacing="0" w:line="560" w:lineRule="exact"/>
        <w:ind w:right="0"/>
        <w:jc w:val="center"/>
        <w:textAlignment w:val="auto"/>
        <w:outlineLvl w:val="9"/>
        <w:rPr>
          <w:rFonts w:hint="eastAsia" w:ascii="黑体" w:hAnsi="黑体" w:eastAsia="黑体" w:cs="黑体"/>
          <w:b w:val="0"/>
          <w:bCs w:val="0"/>
          <w:i w:val="0"/>
          <w:iCs w:val="0"/>
          <w:caps w:val="0"/>
          <w:color w:val="333333"/>
          <w:spacing w:val="0"/>
          <w:sz w:val="32"/>
          <w:szCs w:val="32"/>
        </w:rPr>
      </w:pPr>
      <w:r>
        <w:rPr>
          <w:rFonts w:hint="eastAsia" w:ascii="黑体" w:hAnsi="黑体" w:eastAsia="黑体" w:cs="黑体"/>
          <w:b w:val="0"/>
          <w:bCs w:val="0"/>
          <w:i w:val="0"/>
          <w:iCs w:val="0"/>
          <w:caps w:val="0"/>
          <w:color w:val="333333"/>
          <w:spacing w:val="0"/>
          <w:sz w:val="32"/>
          <w:szCs w:val="32"/>
          <w:shd w:val="clear" w:color="auto" w:fill="FFFFFF"/>
        </w:rPr>
        <w:t>第一章  总则</w:t>
      </w:r>
    </w:p>
    <w:p>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color="auto" w:fill="FFFFFF"/>
        <w:kinsoku/>
        <w:wordWrap/>
        <w:overflowPunct/>
        <w:topLinePunct w:val="0"/>
        <w:autoSpaceDE/>
        <w:autoSpaceDN/>
        <w:bidi w:val="0"/>
        <w:adjustRightInd/>
        <w:snapToGrid/>
        <w:spacing w:before="0" w:beforeAutospacing="0" w:after="0" w:afterAutospacing="0" w:line="560" w:lineRule="exact"/>
        <w:ind w:left="0" w:right="0" w:firstLine="640" w:firstLineChars="200"/>
        <w:jc w:val="left"/>
        <w:textAlignment w:val="auto"/>
        <w:outlineLvl w:val="9"/>
        <w:rPr>
          <w:rStyle w:val="6"/>
          <w:rFonts w:hint="eastAsia" w:ascii="仿宋_GB2312" w:hAnsi="仿宋_GB2312" w:eastAsia="仿宋_GB2312" w:cs="仿宋_GB2312"/>
          <w:b w:val="0"/>
          <w:bCs w:val="0"/>
          <w:i w:val="0"/>
          <w:iCs w:val="0"/>
          <w:caps w:val="0"/>
          <w:color w:val="333333"/>
          <w:spacing w:val="0"/>
          <w:sz w:val="32"/>
          <w:szCs w:val="32"/>
          <w:shd w:val="clear" w:color="auto" w:fill="FFFFFF"/>
        </w:rPr>
      </w:pPr>
      <w:r>
        <w:rPr>
          <w:rFonts w:hint="eastAsia" w:ascii="仿宋_GB2312" w:hAnsi="仿宋_GB2312" w:eastAsia="仿宋_GB2312" w:cs="仿宋_GB2312"/>
          <w:b w:val="0"/>
          <w:bCs w:val="0"/>
          <w:i w:val="0"/>
          <w:iCs w:val="0"/>
          <w:caps w:val="0"/>
          <w:color w:val="333333"/>
          <w:spacing w:val="0"/>
          <w:sz w:val="32"/>
          <w:szCs w:val="32"/>
          <w:shd w:val="clear" w:color="auto" w:fill="FFFFFF"/>
        </w:rPr>
        <w:t> </w:t>
      </w:r>
      <w:r>
        <w:rPr>
          <w:rStyle w:val="6"/>
          <w:rFonts w:hint="eastAsia" w:ascii="仿宋_GB2312" w:hAnsi="仿宋_GB2312" w:eastAsia="仿宋_GB2312" w:cs="仿宋_GB2312"/>
          <w:b/>
          <w:bCs/>
          <w:i w:val="0"/>
          <w:iCs w:val="0"/>
          <w:caps w:val="0"/>
          <w:color w:val="333333"/>
          <w:spacing w:val="0"/>
          <w:sz w:val="32"/>
          <w:szCs w:val="32"/>
          <w:shd w:val="clear" w:color="auto" w:fill="FFFFFF"/>
        </w:rPr>
        <w:t>第一条</w:t>
      </w:r>
      <w:r>
        <w:rPr>
          <w:rStyle w:val="6"/>
          <w:rFonts w:hint="eastAsia" w:ascii="仿宋_GB2312" w:hAnsi="仿宋_GB2312" w:eastAsia="仿宋_GB2312" w:cs="仿宋_GB2312"/>
          <w:b w:val="0"/>
          <w:bCs w:val="0"/>
          <w:i w:val="0"/>
          <w:iCs w:val="0"/>
          <w:caps w:val="0"/>
          <w:color w:val="333333"/>
          <w:spacing w:val="0"/>
          <w:sz w:val="32"/>
          <w:szCs w:val="32"/>
          <w:shd w:val="clear" w:color="auto" w:fill="FFFFFF"/>
        </w:rPr>
        <w:t> 为了切实履行出资人职责，加强对国有企业的监督管理，根据《中华人民共和国公司法》《中华人民共和国企业国有资产法》《企业国有资产监督管理暂行条例》等有关法律法规及相关规范性文件要求，结合我县实际，制定本规定。</w:t>
      </w:r>
    </w:p>
    <w:p>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color="auto" w:fill="FFFFFF"/>
        <w:kinsoku/>
        <w:wordWrap/>
        <w:overflowPunct/>
        <w:topLinePunct w:val="0"/>
        <w:autoSpaceDE/>
        <w:autoSpaceDN/>
        <w:bidi w:val="0"/>
        <w:adjustRightInd/>
        <w:snapToGrid/>
        <w:spacing w:before="0" w:beforeAutospacing="0" w:after="0" w:afterAutospacing="0" w:line="560" w:lineRule="exact"/>
        <w:ind w:left="0" w:right="0" w:firstLine="643" w:firstLineChars="200"/>
        <w:jc w:val="left"/>
        <w:textAlignment w:val="auto"/>
        <w:outlineLvl w:val="9"/>
        <w:rPr>
          <w:rFonts w:hint="eastAsia" w:ascii="仿宋_GB2312" w:hAnsi="仿宋_GB2312" w:eastAsia="仿宋_GB2312" w:cs="仿宋_GB2312"/>
          <w:b w:val="0"/>
          <w:bCs w:val="0"/>
          <w:sz w:val="32"/>
          <w:szCs w:val="32"/>
        </w:rPr>
      </w:pPr>
      <w:r>
        <w:rPr>
          <w:rStyle w:val="6"/>
          <w:rFonts w:hint="eastAsia" w:ascii="仿宋_GB2312" w:hAnsi="仿宋_GB2312" w:eastAsia="仿宋_GB2312" w:cs="仿宋_GB2312"/>
          <w:b/>
          <w:bCs/>
          <w:i w:val="0"/>
          <w:iCs w:val="0"/>
          <w:caps w:val="0"/>
          <w:color w:val="333333"/>
          <w:spacing w:val="0"/>
          <w:sz w:val="32"/>
          <w:szCs w:val="32"/>
          <w:shd w:val="clear" w:color="auto" w:fill="FFFFFF"/>
        </w:rPr>
        <w:t>第二条 </w:t>
      </w:r>
      <w:r>
        <w:rPr>
          <w:rStyle w:val="6"/>
          <w:rFonts w:hint="eastAsia" w:ascii="仿宋_GB2312" w:hAnsi="仿宋_GB2312" w:eastAsia="仿宋_GB2312" w:cs="仿宋_GB2312"/>
          <w:b w:val="0"/>
          <w:bCs w:val="0"/>
          <w:i w:val="0"/>
          <w:iCs w:val="0"/>
          <w:caps w:val="0"/>
          <w:color w:val="333333"/>
          <w:spacing w:val="0"/>
          <w:sz w:val="32"/>
          <w:szCs w:val="32"/>
          <w:shd w:val="clear" w:color="auto" w:fill="FFFFFF"/>
        </w:rPr>
        <w:t>本规定适用于托里县国有资产服务中心（以下简称：国资中心）履行出资人职责的国有独资企业、国有控股企业及其实际控制的各级子企业（以下统称：所出资企业及其子企业）。县内其他国有企业（含参股企业）可参照执行。</w:t>
      </w:r>
    </w:p>
    <w:p>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643" w:firstLineChars="200"/>
        <w:jc w:val="left"/>
        <w:textAlignment w:val="auto"/>
        <w:outlineLvl w:val="9"/>
        <w:rPr>
          <w:rFonts w:hint="eastAsia" w:ascii="仿宋_GB2312" w:hAnsi="仿宋_GB2312" w:eastAsia="仿宋_GB2312" w:cs="仿宋_GB2312"/>
          <w:b w:val="0"/>
          <w:bCs w:val="0"/>
          <w:sz w:val="32"/>
          <w:szCs w:val="32"/>
        </w:rPr>
      </w:pPr>
      <w:r>
        <w:rPr>
          <w:rStyle w:val="6"/>
          <w:rFonts w:hint="eastAsia" w:ascii="仿宋_GB2312" w:hAnsi="仿宋_GB2312" w:eastAsia="仿宋_GB2312" w:cs="仿宋_GB2312"/>
          <w:b/>
          <w:bCs/>
          <w:i w:val="0"/>
          <w:iCs w:val="0"/>
          <w:caps w:val="0"/>
          <w:color w:val="333333"/>
          <w:spacing w:val="0"/>
          <w:sz w:val="32"/>
          <w:szCs w:val="32"/>
          <w:shd w:val="clear" w:color="auto" w:fill="FFFFFF"/>
        </w:rPr>
        <w:t>第三条</w:t>
      </w:r>
      <w:r>
        <w:rPr>
          <w:rStyle w:val="6"/>
          <w:rFonts w:hint="eastAsia" w:ascii="仿宋_GB2312" w:hAnsi="仿宋_GB2312" w:eastAsia="仿宋_GB2312" w:cs="仿宋_GB2312"/>
          <w:b w:val="0"/>
          <w:bCs w:val="0"/>
          <w:i w:val="0"/>
          <w:iCs w:val="0"/>
          <w:caps w:val="0"/>
          <w:color w:val="333333"/>
          <w:spacing w:val="0"/>
          <w:sz w:val="32"/>
          <w:szCs w:val="32"/>
          <w:shd w:val="clear" w:color="auto" w:fill="FFFFFF"/>
        </w:rPr>
        <w:t> 本规定所称重要子企业是指承担所出资企业主营业务的实际运营、并且由其管理和控制的子企业；或虽不承担所出资企业主营业务的实际运营，但其生产经营行为对所出资企业存在重大影响的子企业。</w:t>
      </w:r>
    </w:p>
    <w:p>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640" w:firstLineChars="200"/>
        <w:jc w:val="left"/>
        <w:textAlignment w:val="auto"/>
        <w:outlineLvl w:val="9"/>
        <w:rPr>
          <w:rFonts w:hint="eastAsia" w:ascii="仿宋_GB2312" w:hAnsi="仿宋_GB2312" w:eastAsia="仿宋_GB2312" w:cs="仿宋_GB2312"/>
          <w:b w:val="0"/>
          <w:bCs w:val="0"/>
          <w:sz w:val="32"/>
          <w:szCs w:val="32"/>
        </w:rPr>
      </w:pPr>
      <w:r>
        <w:rPr>
          <w:rFonts w:hint="eastAsia" w:ascii="仿宋_GB2312" w:hAnsi="仿宋_GB2312" w:eastAsia="仿宋_GB2312" w:cs="仿宋_GB2312"/>
          <w:b w:val="0"/>
          <w:bCs w:val="0"/>
          <w:i w:val="0"/>
          <w:iCs w:val="0"/>
          <w:caps w:val="0"/>
          <w:color w:val="333333"/>
          <w:spacing w:val="0"/>
          <w:sz w:val="32"/>
          <w:szCs w:val="32"/>
          <w:shd w:val="clear" w:color="auto" w:fill="FFFFFF"/>
        </w:rPr>
        <w:t>重要子企业名单由国资中心决定后定期公布，并根据企业发展实际适时更新。</w:t>
      </w:r>
    </w:p>
    <w:p>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643" w:firstLineChars="200"/>
        <w:jc w:val="left"/>
        <w:textAlignment w:val="auto"/>
        <w:outlineLvl w:val="9"/>
        <w:rPr>
          <w:rFonts w:hint="eastAsia" w:ascii="仿宋_GB2312" w:hAnsi="仿宋_GB2312" w:eastAsia="仿宋_GB2312" w:cs="仿宋_GB2312"/>
          <w:b w:val="0"/>
          <w:bCs w:val="0"/>
          <w:sz w:val="32"/>
          <w:szCs w:val="32"/>
        </w:rPr>
      </w:pPr>
      <w:r>
        <w:rPr>
          <w:rStyle w:val="6"/>
          <w:rFonts w:hint="eastAsia" w:ascii="仿宋_GB2312" w:hAnsi="仿宋_GB2312" w:eastAsia="仿宋_GB2312" w:cs="仿宋_GB2312"/>
          <w:b/>
          <w:bCs/>
          <w:i w:val="0"/>
          <w:iCs w:val="0"/>
          <w:caps w:val="0"/>
          <w:color w:val="333333"/>
          <w:spacing w:val="0"/>
          <w:sz w:val="32"/>
          <w:szCs w:val="32"/>
          <w:shd w:val="clear" w:color="auto" w:fill="FFFFFF"/>
        </w:rPr>
        <w:t>第四条</w:t>
      </w:r>
      <w:r>
        <w:rPr>
          <w:rStyle w:val="6"/>
          <w:rFonts w:hint="eastAsia" w:ascii="仿宋_GB2312" w:hAnsi="仿宋_GB2312" w:eastAsia="仿宋_GB2312" w:cs="仿宋_GB2312"/>
          <w:b w:val="0"/>
          <w:bCs w:val="0"/>
          <w:i w:val="0"/>
          <w:iCs w:val="0"/>
          <w:caps w:val="0"/>
          <w:color w:val="333333"/>
          <w:spacing w:val="0"/>
          <w:sz w:val="32"/>
          <w:szCs w:val="32"/>
          <w:shd w:val="clear" w:color="auto" w:fill="FFFFFF"/>
        </w:rPr>
        <w:t> 本规定所称重大事项主要包括：企业章程制定和修改，企业发展战略规划，重大投资、融资、担保、企业重组、改制、上市、解散、破产、清算、国有资产交易、主营业务确定、增加或减少注册资本、企业年度财务预算方案、决算方案、利润分配方案和弥补亏损方案的制定，董事会工作报告，大额捐赠以及根据有关法律法规、规范性文件及企业章程规定应当报县国中心审定或县人民政府审批（决定）、核准或备案的其他事项。</w:t>
      </w:r>
    </w:p>
    <w:p>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643" w:firstLineChars="200"/>
        <w:jc w:val="left"/>
        <w:textAlignment w:val="auto"/>
        <w:outlineLvl w:val="9"/>
        <w:rPr>
          <w:rFonts w:hint="eastAsia" w:ascii="仿宋_GB2312" w:hAnsi="仿宋_GB2312" w:eastAsia="仿宋_GB2312" w:cs="仿宋_GB2312"/>
          <w:b w:val="0"/>
          <w:bCs w:val="0"/>
          <w:sz w:val="32"/>
          <w:szCs w:val="32"/>
        </w:rPr>
      </w:pPr>
      <w:r>
        <w:rPr>
          <w:rStyle w:val="6"/>
          <w:rFonts w:hint="eastAsia" w:ascii="仿宋_GB2312" w:hAnsi="仿宋_GB2312" w:eastAsia="仿宋_GB2312" w:cs="仿宋_GB2312"/>
          <w:b/>
          <w:bCs/>
          <w:i w:val="0"/>
          <w:iCs w:val="0"/>
          <w:caps w:val="0"/>
          <w:color w:val="333333"/>
          <w:spacing w:val="0"/>
          <w:sz w:val="32"/>
          <w:szCs w:val="32"/>
          <w:shd w:val="clear" w:color="auto" w:fill="FFFFFF"/>
        </w:rPr>
        <w:t>第五条</w:t>
      </w:r>
      <w:r>
        <w:rPr>
          <w:rStyle w:val="6"/>
          <w:rFonts w:hint="eastAsia" w:ascii="仿宋_GB2312" w:hAnsi="仿宋_GB2312" w:eastAsia="仿宋_GB2312" w:cs="仿宋_GB2312"/>
          <w:b w:val="0"/>
          <w:bCs w:val="0"/>
          <w:i w:val="0"/>
          <w:iCs w:val="0"/>
          <w:caps w:val="0"/>
          <w:color w:val="333333"/>
          <w:spacing w:val="0"/>
          <w:sz w:val="32"/>
          <w:szCs w:val="32"/>
          <w:shd w:val="clear" w:color="auto" w:fill="FFFFFF"/>
        </w:rPr>
        <w:t> 企业报告重大事项分为审批（决定）事项、核准事项、备案事项。</w:t>
      </w:r>
    </w:p>
    <w:p>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640" w:firstLineChars="200"/>
        <w:jc w:val="left"/>
        <w:textAlignment w:val="auto"/>
        <w:outlineLvl w:val="9"/>
        <w:rPr>
          <w:rFonts w:hint="eastAsia" w:ascii="仿宋_GB2312" w:hAnsi="仿宋_GB2312" w:eastAsia="仿宋_GB2312" w:cs="仿宋_GB2312"/>
          <w:b w:val="0"/>
          <w:bCs w:val="0"/>
          <w:sz w:val="32"/>
          <w:szCs w:val="32"/>
        </w:rPr>
      </w:pPr>
      <w:r>
        <w:rPr>
          <w:rFonts w:hint="eastAsia" w:ascii="仿宋_GB2312" w:hAnsi="仿宋_GB2312" w:eastAsia="仿宋_GB2312" w:cs="仿宋_GB2312"/>
          <w:b w:val="0"/>
          <w:bCs w:val="0"/>
          <w:i w:val="0"/>
          <w:iCs w:val="0"/>
          <w:caps w:val="0"/>
          <w:color w:val="333333"/>
          <w:spacing w:val="0"/>
          <w:sz w:val="32"/>
          <w:szCs w:val="32"/>
          <w:shd w:val="clear" w:color="auto" w:fill="FFFFFF"/>
        </w:rPr>
        <w:t>审批（决定）事项是指县属国有独资或国有控股企业依照有关法律、行政法规以及企业章程的规定，由县国资领导小组审批（决定）由县国资领导小组审核后报请县人民政府批准的事项。</w:t>
      </w:r>
    </w:p>
    <w:p>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640" w:firstLineChars="200"/>
        <w:jc w:val="left"/>
        <w:textAlignment w:val="auto"/>
        <w:outlineLvl w:val="9"/>
        <w:rPr>
          <w:rFonts w:hint="eastAsia" w:ascii="仿宋_GB2312" w:hAnsi="仿宋_GB2312" w:eastAsia="仿宋_GB2312" w:cs="仿宋_GB2312"/>
          <w:b w:val="0"/>
          <w:bCs w:val="0"/>
          <w:sz w:val="32"/>
          <w:szCs w:val="32"/>
        </w:rPr>
      </w:pPr>
      <w:r>
        <w:rPr>
          <w:rFonts w:hint="eastAsia" w:ascii="仿宋_GB2312" w:hAnsi="仿宋_GB2312" w:eastAsia="仿宋_GB2312" w:cs="仿宋_GB2312"/>
          <w:b w:val="0"/>
          <w:bCs w:val="0"/>
          <w:i w:val="0"/>
          <w:iCs w:val="0"/>
          <w:caps w:val="0"/>
          <w:color w:val="333333"/>
          <w:spacing w:val="0"/>
          <w:sz w:val="32"/>
          <w:szCs w:val="32"/>
          <w:shd w:val="clear" w:color="auto" w:fill="FFFFFF"/>
        </w:rPr>
        <w:t>核准事项为须经国资中心审核批准并书面回复方可实施的事项。</w:t>
      </w:r>
    </w:p>
    <w:p>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640" w:firstLineChars="200"/>
        <w:jc w:val="left"/>
        <w:textAlignment w:val="auto"/>
        <w:outlineLvl w:val="9"/>
        <w:rPr>
          <w:rFonts w:hint="eastAsia" w:ascii="仿宋_GB2312" w:hAnsi="仿宋_GB2312" w:eastAsia="仿宋_GB2312" w:cs="仿宋_GB2312"/>
          <w:b w:val="0"/>
          <w:bCs w:val="0"/>
          <w:sz w:val="32"/>
          <w:szCs w:val="32"/>
        </w:rPr>
      </w:pPr>
      <w:r>
        <w:rPr>
          <w:rFonts w:hint="eastAsia" w:ascii="仿宋_GB2312" w:hAnsi="仿宋_GB2312" w:eastAsia="仿宋_GB2312" w:cs="仿宋_GB2312"/>
          <w:b w:val="0"/>
          <w:bCs w:val="0"/>
          <w:i w:val="0"/>
          <w:iCs w:val="0"/>
          <w:caps w:val="0"/>
          <w:color w:val="333333"/>
          <w:spacing w:val="0"/>
          <w:sz w:val="32"/>
          <w:szCs w:val="32"/>
          <w:shd w:val="clear" w:color="auto" w:fill="FFFFFF"/>
        </w:rPr>
        <w:t>备案事项为告知事项，国资中心有权对企业报送的备案事项提出异议及改进意见。</w:t>
      </w:r>
    </w:p>
    <w:p>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640" w:firstLineChars="200"/>
        <w:jc w:val="left"/>
        <w:textAlignment w:val="auto"/>
        <w:outlineLvl w:val="9"/>
        <w:rPr>
          <w:rFonts w:hint="eastAsia" w:ascii="仿宋_GB2312" w:hAnsi="仿宋_GB2312" w:eastAsia="仿宋_GB2312" w:cs="仿宋_GB2312"/>
          <w:b w:val="0"/>
          <w:bCs w:val="0"/>
          <w:sz w:val="32"/>
          <w:szCs w:val="32"/>
        </w:rPr>
      </w:pPr>
      <w:r>
        <w:rPr>
          <w:rFonts w:hint="eastAsia" w:ascii="仿宋_GB2312" w:hAnsi="仿宋_GB2312" w:eastAsia="仿宋_GB2312" w:cs="仿宋_GB2312"/>
          <w:b w:val="0"/>
          <w:bCs w:val="0"/>
          <w:i w:val="0"/>
          <w:iCs w:val="0"/>
          <w:caps w:val="0"/>
          <w:color w:val="333333"/>
          <w:spacing w:val="0"/>
          <w:sz w:val="32"/>
          <w:szCs w:val="32"/>
          <w:shd w:val="clear" w:color="auto" w:fill="FFFFFF"/>
        </w:rPr>
        <w:t>审批（决定）或核准事项以“请示”书面文件形式上报，备案事项以“报告”书面文件形式上报。</w:t>
      </w:r>
    </w:p>
    <w:p>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643" w:firstLineChars="200"/>
        <w:jc w:val="left"/>
        <w:textAlignment w:val="auto"/>
        <w:outlineLvl w:val="9"/>
        <w:rPr>
          <w:rFonts w:hint="eastAsia" w:ascii="仿宋_GB2312" w:hAnsi="仿宋_GB2312" w:eastAsia="仿宋_GB2312" w:cs="仿宋_GB2312"/>
          <w:b w:val="0"/>
          <w:bCs w:val="0"/>
          <w:sz w:val="32"/>
          <w:szCs w:val="32"/>
        </w:rPr>
      </w:pPr>
      <w:r>
        <w:rPr>
          <w:rStyle w:val="6"/>
          <w:rFonts w:hint="eastAsia" w:ascii="仿宋_GB2312" w:hAnsi="仿宋_GB2312" w:eastAsia="仿宋_GB2312" w:cs="仿宋_GB2312"/>
          <w:b/>
          <w:bCs/>
          <w:i w:val="0"/>
          <w:iCs w:val="0"/>
          <w:caps w:val="0"/>
          <w:color w:val="333333"/>
          <w:spacing w:val="0"/>
          <w:sz w:val="32"/>
          <w:szCs w:val="32"/>
          <w:shd w:val="clear" w:color="auto" w:fill="FFFFFF"/>
        </w:rPr>
        <w:t>第六条 </w:t>
      </w:r>
      <w:r>
        <w:rPr>
          <w:rStyle w:val="6"/>
          <w:rFonts w:hint="eastAsia" w:ascii="仿宋_GB2312" w:hAnsi="仿宋_GB2312" w:eastAsia="仿宋_GB2312" w:cs="仿宋_GB2312"/>
          <w:b w:val="0"/>
          <w:bCs w:val="0"/>
          <w:i w:val="0"/>
          <w:iCs w:val="0"/>
          <w:caps w:val="0"/>
          <w:color w:val="333333"/>
          <w:spacing w:val="0"/>
          <w:sz w:val="32"/>
          <w:szCs w:val="32"/>
          <w:shd w:val="clear" w:color="auto" w:fill="FFFFFF"/>
        </w:rPr>
        <w:t>所出资企业应当将本规定的条款纳入企业章程，在企业章程中明确有关重大事项的决策程序，保证本规定的贯彻执行。国资中心根据国资监管工作需要和企业实际，可通过企业章程或授权经营文件对有关企业重大事项管理权限做出调整。</w:t>
      </w:r>
    </w:p>
    <w:p>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640" w:firstLineChars="200"/>
        <w:jc w:val="left"/>
        <w:textAlignment w:val="auto"/>
        <w:outlineLvl w:val="9"/>
        <w:rPr>
          <w:rFonts w:hint="eastAsia" w:ascii="黑体" w:hAnsi="黑体" w:eastAsia="黑体" w:cs="黑体"/>
          <w:b w:val="0"/>
          <w:bCs w:val="0"/>
          <w:sz w:val="32"/>
          <w:szCs w:val="32"/>
        </w:rPr>
      </w:pPr>
      <w:r>
        <w:rPr>
          <w:rFonts w:hint="eastAsia" w:ascii="仿宋_GB2312" w:hAnsi="仿宋_GB2312" w:eastAsia="仿宋_GB2312" w:cs="仿宋_GB2312"/>
          <w:b w:val="0"/>
          <w:bCs w:val="0"/>
          <w:i w:val="0"/>
          <w:iCs w:val="0"/>
          <w:caps w:val="0"/>
          <w:color w:val="333333"/>
          <w:spacing w:val="0"/>
          <w:sz w:val="32"/>
          <w:szCs w:val="32"/>
          <w:shd w:val="clear" w:color="auto" w:fill="FFFFFF"/>
        </w:rPr>
        <w:t> </w:t>
      </w:r>
    </w:p>
    <w:p>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right="0"/>
        <w:jc w:val="center"/>
        <w:textAlignment w:val="auto"/>
        <w:outlineLvl w:val="9"/>
        <w:rPr>
          <w:rFonts w:hint="eastAsia" w:ascii="黑体" w:hAnsi="黑体" w:eastAsia="黑体" w:cs="黑体"/>
          <w:b w:val="0"/>
          <w:bCs w:val="0"/>
          <w:sz w:val="32"/>
          <w:szCs w:val="32"/>
        </w:rPr>
      </w:pPr>
      <w:r>
        <w:rPr>
          <w:rFonts w:hint="eastAsia" w:ascii="黑体" w:hAnsi="黑体" w:eastAsia="黑体" w:cs="黑体"/>
          <w:b w:val="0"/>
          <w:bCs w:val="0"/>
          <w:i w:val="0"/>
          <w:iCs w:val="0"/>
          <w:caps w:val="0"/>
          <w:color w:val="333333"/>
          <w:spacing w:val="0"/>
          <w:sz w:val="32"/>
          <w:szCs w:val="32"/>
          <w:shd w:val="clear" w:color="auto" w:fill="FFFFFF"/>
        </w:rPr>
        <w:t>第二章  企业章程</w:t>
      </w:r>
    </w:p>
    <w:p>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643" w:firstLineChars="200"/>
        <w:jc w:val="left"/>
        <w:textAlignment w:val="auto"/>
        <w:outlineLvl w:val="9"/>
        <w:rPr>
          <w:rFonts w:hint="eastAsia" w:ascii="仿宋_GB2312" w:hAnsi="仿宋_GB2312" w:eastAsia="仿宋_GB2312" w:cs="仿宋_GB2312"/>
          <w:b w:val="0"/>
          <w:bCs w:val="0"/>
          <w:sz w:val="32"/>
          <w:szCs w:val="32"/>
        </w:rPr>
      </w:pPr>
      <w:r>
        <w:rPr>
          <w:rStyle w:val="6"/>
          <w:rFonts w:hint="eastAsia" w:ascii="仿宋_GB2312" w:hAnsi="仿宋_GB2312" w:eastAsia="仿宋_GB2312" w:cs="仿宋_GB2312"/>
          <w:b/>
          <w:bCs/>
          <w:i w:val="0"/>
          <w:iCs w:val="0"/>
          <w:caps w:val="0"/>
          <w:color w:val="333333"/>
          <w:spacing w:val="0"/>
          <w:sz w:val="32"/>
          <w:szCs w:val="32"/>
          <w:shd w:val="clear" w:color="auto" w:fill="FFFFFF"/>
        </w:rPr>
        <w:t>第七条</w:t>
      </w:r>
      <w:r>
        <w:rPr>
          <w:rStyle w:val="6"/>
          <w:rFonts w:hint="eastAsia" w:ascii="仿宋_GB2312" w:hAnsi="仿宋_GB2312" w:eastAsia="仿宋_GB2312" w:cs="仿宋_GB2312"/>
          <w:b w:val="0"/>
          <w:bCs w:val="0"/>
          <w:i w:val="0"/>
          <w:iCs w:val="0"/>
          <w:caps w:val="0"/>
          <w:color w:val="333333"/>
          <w:spacing w:val="0"/>
          <w:sz w:val="32"/>
          <w:szCs w:val="32"/>
          <w:shd w:val="clear" w:color="auto" w:fill="FFFFFF"/>
        </w:rPr>
        <w:t> 国有独资企业章程由企业董事会或企业组建委员会制订（修改）报县国资中心批准。</w:t>
      </w:r>
    </w:p>
    <w:p>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640" w:firstLineChars="200"/>
        <w:jc w:val="left"/>
        <w:textAlignment w:val="auto"/>
        <w:outlineLvl w:val="9"/>
        <w:rPr>
          <w:rFonts w:hint="eastAsia" w:ascii="仿宋_GB2312" w:hAnsi="仿宋_GB2312" w:eastAsia="仿宋_GB2312" w:cs="仿宋_GB2312"/>
          <w:b w:val="0"/>
          <w:bCs w:val="0"/>
          <w:sz w:val="32"/>
          <w:szCs w:val="32"/>
        </w:rPr>
      </w:pPr>
      <w:r>
        <w:rPr>
          <w:rFonts w:hint="eastAsia" w:ascii="仿宋_GB2312" w:hAnsi="仿宋_GB2312" w:eastAsia="仿宋_GB2312" w:cs="仿宋_GB2312"/>
          <w:b w:val="0"/>
          <w:bCs w:val="0"/>
          <w:i w:val="0"/>
          <w:iCs w:val="0"/>
          <w:caps w:val="0"/>
          <w:color w:val="333333"/>
          <w:spacing w:val="0"/>
          <w:sz w:val="32"/>
          <w:szCs w:val="32"/>
          <w:shd w:val="clear" w:color="auto" w:fill="FFFFFF"/>
        </w:rPr>
        <w:t>国有控股及实际控制企业章程，由全体股东共同制定和修改。提交股东会审议前，须报经县国资中心审核。</w:t>
      </w:r>
    </w:p>
    <w:p>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643" w:firstLineChars="200"/>
        <w:jc w:val="left"/>
        <w:textAlignment w:val="auto"/>
        <w:outlineLvl w:val="9"/>
        <w:rPr>
          <w:rFonts w:hint="eastAsia" w:ascii="仿宋_GB2312" w:hAnsi="仿宋_GB2312" w:eastAsia="仿宋_GB2312" w:cs="仿宋_GB2312"/>
          <w:b w:val="0"/>
          <w:bCs w:val="0"/>
          <w:sz w:val="32"/>
          <w:szCs w:val="32"/>
        </w:rPr>
      </w:pPr>
      <w:r>
        <w:rPr>
          <w:rStyle w:val="6"/>
          <w:rFonts w:hint="eastAsia" w:ascii="仿宋_GB2312" w:hAnsi="仿宋_GB2312" w:eastAsia="仿宋_GB2312" w:cs="仿宋_GB2312"/>
          <w:b/>
          <w:bCs/>
          <w:i w:val="0"/>
          <w:iCs w:val="0"/>
          <w:caps w:val="0"/>
          <w:color w:val="333333"/>
          <w:spacing w:val="0"/>
          <w:sz w:val="32"/>
          <w:szCs w:val="32"/>
          <w:shd w:val="clear" w:color="auto" w:fill="FFFFFF"/>
        </w:rPr>
        <w:t>第八条</w:t>
      </w:r>
      <w:r>
        <w:rPr>
          <w:rStyle w:val="6"/>
          <w:rFonts w:hint="eastAsia" w:ascii="仿宋_GB2312" w:hAnsi="仿宋_GB2312" w:eastAsia="仿宋_GB2312" w:cs="仿宋_GB2312"/>
          <w:b w:val="0"/>
          <w:bCs w:val="0"/>
          <w:i w:val="0"/>
          <w:iCs w:val="0"/>
          <w:caps w:val="0"/>
          <w:color w:val="333333"/>
          <w:spacing w:val="0"/>
          <w:sz w:val="32"/>
          <w:szCs w:val="32"/>
          <w:shd w:val="clear" w:color="auto" w:fill="FFFFFF"/>
        </w:rPr>
        <w:t> 所出资企业重要子企业章程的制定和修改，须报县国资中心备案。</w:t>
      </w:r>
    </w:p>
    <w:p>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643" w:firstLineChars="200"/>
        <w:jc w:val="left"/>
        <w:textAlignment w:val="auto"/>
        <w:outlineLvl w:val="9"/>
        <w:rPr>
          <w:rFonts w:hint="eastAsia" w:ascii="仿宋_GB2312" w:hAnsi="仿宋_GB2312" w:eastAsia="仿宋_GB2312" w:cs="仿宋_GB2312"/>
          <w:b w:val="0"/>
          <w:bCs w:val="0"/>
          <w:sz w:val="32"/>
          <w:szCs w:val="32"/>
        </w:rPr>
      </w:pPr>
      <w:r>
        <w:rPr>
          <w:rStyle w:val="6"/>
          <w:rFonts w:hint="eastAsia" w:ascii="仿宋_GB2312" w:hAnsi="仿宋_GB2312" w:eastAsia="仿宋_GB2312" w:cs="仿宋_GB2312"/>
          <w:b/>
          <w:bCs/>
          <w:i w:val="0"/>
          <w:iCs w:val="0"/>
          <w:caps w:val="0"/>
          <w:color w:val="333333"/>
          <w:spacing w:val="0"/>
          <w:sz w:val="32"/>
          <w:szCs w:val="32"/>
          <w:shd w:val="clear" w:color="auto" w:fill="FFFFFF"/>
        </w:rPr>
        <w:t>第九条</w:t>
      </w:r>
      <w:r>
        <w:rPr>
          <w:rStyle w:val="6"/>
          <w:rFonts w:hint="eastAsia" w:ascii="仿宋_GB2312" w:hAnsi="仿宋_GB2312" w:eastAsia="仿宋_GB2312" w:cs="仿宋_GB2312"/>
          <w:b w:val="0"/>
          <w:bCs w:val="0"/>
          <w:i w:val="0"/>
          <w:iCs w:val="0"/>
          <w:caps w:val="0"/>
          <w:color w:val="333333"/>
          <w:spacing w:val="0"/>
          <w:sz w:val="32"/>
          <w:szCs w:val="32"/>
          <w:shd w:val="clear" w:color="auto" w:fill="FFFFFF"/>
        </w:rPr>
        <w:t> 所出资企业要进一步完善公司章程，在章程中明确党组织的职责权限、机构设置、运行机制、基础保障等重要事项，明确党组织研究讨论是董事会、经理层决策重大问题的前置程序，落实党组织在公司法人治理结构中的法定地位。</w:t>
      </w:r>
    </w:p>
    <w:p>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640" w:firstLineChars="200"/>
        <w:jc w:val="left"/>
        <w:textAlignment w:val="auto"/>
        <w:outlineLvl w:val="9"/>
        <w:rPr>
          <w:rFonts w:hint="eastAsia" w:ascii="仿宋_GB2312" w:hAnsi="仿宋_GB2312" w:eastAsia="仿宋_GB2312" w:cs="仿宋_GB2312"/>
          <w:b w:val="0"/>
          <w:bCs w:val="0"/>
          <w:sz w:val="32"/>
          <w:szCs w:val="32"/>
        </w:rPr>
      </w:pPr>
      <w:r>
        <w:rPr>
          <w:rFonts w:hint="eastAsia" w:ascii="仿宋_GB2312" w:hAnsi="仿宋_GB2312" w:eastAsia="仿宋_GB2312" w:cs="仿宋_GB2312"/>
          <w:b w:val="0"/>
          <w:bCs w:val="0"/>
          <w:i w:val="0"/>
          <w:iCs w:val="0"/>
          <w:caps w:val="0"/>
          <w:color w:val="333333"/>
          <w:spacing w:val="0"/>
          <w:sz w:val="32"/>
          <w:szCs w:val="32"/>
          <w:shd w:val="clear" w:color="auto" w:fill="FFFFFF"/>
        </w:rPr>
        <w:t>所出资企业要根据《中国共产党国有企业基层组织工作条例（试行）》第十五条明确的六个方面研究讨论事项范围，结合实际修订完善前置研究讨论的事项清单，理清党组织和董事会、监事会、经理层等其他治理主体的权责。对具有人财物重大事项决策权且不设党委的独立法人企业的党支部（党总支），由党支部（党总支）对企业重大事项进行集体研究决定。</w:t>
      </w:r>
    </w:p>
    <w:p>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640" w:firstLineChars="200"/>
        <w:jc w:val="left"/>
        <w:textAlignment w:val="auto"/>
        <w:outlineLvl w:val="9"/>
        <w:rPr>
          <w:rFonts w:hint="eastAsia" w:ascii="黑体" w:hAnsi="黑体" w:eastAsia="黑体" w:cs="黑体"/>
          <w:b w:val="0"/>
          <w:bCs w:val="0"/>
          <w:sz w:val="32"/>
          <w:szCs w:val="32"/>
        </w:rPr>
      </w:pPr>
      <w:r>
        <w:rPr>
          <w:rFonts w:hint="eastAsia" w:ascii="仿宋_GB2312" w:hAnsi="仿宋_GB2312" w:eastAsia="仿宋_GB2312" w:cs="仿宋_GB2312"/>
          <w:b w:val="0"/>
          <w:bCs w:val="0"/>
          <w:i w:val="0"/>
          <w:iCs w:val="0"/>
          <w:caps w:val="0"/>
          <w:color w:val="333333"/>
          <w:spacing w:val="0"/>
          <w:sz w:val="32"/>
          <w:szCs w:val="32"/>
          <w:shd w:val="clear" w:color="auto" w:fill="FFFFFF"/>
        </w:rPr>
        <w:t> </w:t>
      </w:r>
    </w:p>
    <w:p>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right="0"/>
        <w:jc w:val="center"/>
        <w:textAlignment w:val="auto"/>
        <w:outlineLvl w:val="9"/>
        <w:rPr>
          <w:rFonts w:hint="eastAsia" w:ascii="黑体" w:hAnsi="黑体" w:eastAsia="黑体" w:cs="黑体"/>
          <w:b w:val="0"/>
          <w:bCs w:val="0"/>
          <w:sz w:val="32"/>
          <w:szCs w:val="32"/>
        </w:rPr>
      </w:pPr>
      <w:r>
        <w:rPr>
          <w:rFonts w:hint="eastAsia" w:ascii="黑体" w:hAnsi="黑体" w:eastAsia="黑体" w:cs="黑体"/>
          <w:b w:val="0"/>
          <w:bCs w:val="0"/>
          <w:i w:val="0"/>
          <w:iCs w:val="0"/>
          <w:caps w:val="0"/>
          <w:color w:val="333333"/>
          <w:spacing w:val="0"/>
          <w:sz w:val="32"/>
          <w:szCs w:val="32"/>
          <w:shd w:val="clear" w:color="auto" w:fill="FFFFFF"/>
        </w:rPr>
        <w:t>第三章 战略规划</w:t>
      </w:r>
    </w:p>
    <w:p>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643" w:firstLineChars="200"/>
        <w:jc w:val="left"/>
        <w:textAlignment w:val="auto"/>
        <w:outlineLvl w:val="9"/>
        <w:rPr>
          <w:rFonts w:hint="eastAsia" w:ascii="仿宋_GB2312" w:hAnsi="仿宋_GB2312" w:eastAsia="仿宋_GB2312" w:cs="仿宋_GB2312"/>
          <w:b w:val="0"/>
          <w:bCs w:val="0"/>
          <w:sz w:val="32"/>
          <w:szCs w:val="32"/>
        </w:rPr>
      </w:pPr>
      <w:r>
        <w:rPr>
          <w:rStyle w:val="6"/>
          <w:rFonts w:hint="eastAsia" w:ascii="仿宋_GB2312" w:hAnsi="仿宋_GB2312" w:eastAsia="仿宋_GB2312" w:cs="仿宋_GB2312"/>
          <w:b/>
          <w:bCs/>
          <w:i w:val="0"/>
          <w:iCs w:val="0"/>
          <w:caps w:val="0"/>
          <w:color w:val="333333"/>
          <w:spacing w:val="0"/>
          <w:sz w:val="32"/>
          <w:szCs w:val="32"/>
          <w:shd w:val="clear" w:color="auto" w:fill="FFFFFF"/>
        </w:rPr>
        <w:t>第十条 </w:t>
      </w:r>
      <w:r>
        <w:rPr>
          <w:rStyle w:val="6"/>
          <w:rFonts w:hint="eastAsia" w:ascii="仿宋_GB2312" w:hAnsi="仿宋_GB2312" w:eastAsia="仿宋_GB2312" w:cs="仿宋_GB2312"/>
          <w:b w:val="0"/>
          <w:bCs w:val="0"/>
          <w:i w:val="0"/>
          <w:iCs w:val="0"/>
          <w:caps w:val="0"/>
          <w:color w:val="333333"/>
          <w:spacing w:val="0"/>
          <w:sz w:val="32"/>
          <w:szCs w:val="32"/>
          <w:shd w:val="clear" w:color="auto" w:fill="FFFFFF"/>
        </w:rPr>
        <w:t>所出资企业应当编制企业发展战略规划（五年或十年期），报县国资领导小组核准后组织实施。</w:t>
      </w:r>
    </w:p>
    <w:p>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643" w:firstLineChars="200"/>
        <w:jc w:val="left"/>
        <w:textAlignment w:val="auto"/>
        <w:outlineLvl w:val="9"/>
        <w:rPr>
          <w:rFonts w:hint="eastAsia" w:ascii="仿宋_GB2312" w:hAnsi="仿宋_GB2312" w:eastAsia="仿宋_GB2312" w:cs="仿宋_GB2312"/>
          <w:b w:val="0"/>
          <w:bCs w:val="0"/>
          <w:sz w:val="32"/>
          <w:szCs w:val="32"/>
        </w:rPr>
      </w:pPr>
      <w:r>
        <w:rPr>
          <w:rStyle w:val="6"/>
          <w:rFonts w:hint="eastAsia" w:ascii="仿宋_GB2312" w:hAnsi="仿宋_GB2312" w:eastAsia="仿宋_GB2312" w:cs="仿宋_GB2312"/>
          <w:b/>
          <w:bCs/>
          <w:i w:val="0"/>
          <w:iCs w:val="0"/>
          <w:caps w:val="0"/>
          <w:color w:val="333333"/>
          <w:spacing w:val="0"/>
          <w:sz w:val="32"/>
          <w:szCs w:val="32"/>
          <w:shd w:val="clear" w:color="auto" w:fill="FFFFFF"/>
        </w:rPr>
        <w:t>第十一条</w:t>
      </w:r>
      <w:r>
        <w:rPr>
          <w:rStyle w:val="6"/>
          <w:rFonts w:hint="eastAsia" w:ascii="仿宋_GB2312" w:hAnsi="仿宋_GB2312" w:eastAsia="仿宋_GB2312" w:cs="仿宋_GB2312"/>
          <w:b w:val="0"/>
          <w:bCs w:val="0"/>
          <w:i w:val="0"/>
          <w:iCs w:val="0"/>
          <w:caps w:val="0"/>
          <w:color w:val="333333"/>
          <w:spacing w:val="0"/>
          <w:sz w:val="32"/>
          <w:szCs w:val="32"/>
          <w:shd w:val="clear" w:color="auto" w:fill="FFFFFF"/>
        </w:rPr>
        <w:t> 所出资企业应当突出企业发展战略规划的严肃性、权威性和引领性，对企业发展战略规划进行年度分解、中期评估和期末评估。国资中心督促指导企业开展发展战略规划中期评估和期末评估，必要时组织第三方评估。企业发展战略规划执行情况纳入企业领导人经营绩效或高质量发展考核。</w:t>
      </w:r>
    </w:p>
    <w:p>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643" w:firstLineChars="200"/>
        <w:jc w:val="left"/>
        <w:textAlignment w:val="auto"/>
        <w:outlineLvl w:val="9"/>
        <w:rPr>
          <w:rFonts w:hint="eastAsia" w:ascii="仿宋_GB2312" w:hAnsi="仿宋_GB2312" w:eastAsia="仿宋_GB2312" w:cs="仿宋_GB2312"/>
          <w:b w:val="0"/>
          <w:bCs w:val="0"/>
          <w:sz w:val="32"/>
          <w:szCs w:val="32"/>
        </w:rPr>
      </w:pPr>
      <w:r>
        <w:rPr>
          <w:rStyle w:val="6"/>
          <w:rFonts w:hint="eastAsia" w:ascii="仿宋_GB2312" w:hAnsi="仿宋_GB2312" w:eastAsia="仿宋_GB2312" w:cs="仿宋_GB2312"/>
          <w:b/>
          <w:bCs/>
          <w:i w:val="0"/>
          <w:iCs w:val="0"/>
          <w:caps w:val="0"/>
          <w:color w:val="333333"/>
          <w:spacing w:val="0"/>
          <w:sz w:val="32"/>
          <w:szCs w:val="32"/>
          <w:shd w:val="clear" w:color="auto" w:fill="FFFFFF"/>
        </w:rPr>
        <w:t>第十二条</w:t>
      </w:r>
      <w:r>
        <w:rPr>
          <w:rStyle w:val="6"/>
          <w:rFonts w:hint="eastAsia" w:ascii="仿宋_GB2312" w:hAnsi="仿宋_GB2312" w:eastAsia="仿宋_GB2312" w:cs="仿宋_GB2312"/>
          <w:b w:val="0"/>
          <w:bCs w:val="0"/>
          <w:i w:val="0"/>
          <w:iCs w:val="0"/>
          <w:caps w:val="0"/>
          <w:color w:val="333333"/>
          <w:spacing w:val="0"/>
          <w:sz w:val="32"/>
          <w:szCs w:val="32"/>
          <w:shd w:val="clear" w:color="auto" w:fill="FFFFFF"/>
        </w:rPr>
        <w:t> 所出资企业对发展战略规划进行调整的，应当将调整后的发展战略规划文本、详细的论证支撑材料及说明报县国资领导小组核准。</w:t>
      </w:r>
    </w:p>
    <w:p>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640" w:firstLineChars="200"/>
        <w:jc w:val="left"/>
        <w:textAlignment w:val="auto"/>
        <w:outlineLvl w:val="9"/>
        <w:rPr>
          <w:rFonts w:hint="eastAsia" w:ascii="黑体" w:hAnsi="黑体" w:eastAsia="黑体" w:cs="黑体"/>
          <w:b w:val="0"/>
          <w:bCs w:val="0"/>
          <w:sz w:val="32"/>
          <w:szCs w:val="32"/>
        </w:rPr>
      </w:pPr>
      <w:r>
        <w:rPr>
          <w:rFonts w:hint="eastAsia" w:ascii="仿宋_GB2312" w:hAnsi="仿宋_GB2312" w:eastAsia="仿宋_GB2312" w:cs="仿宋_GB2312"/>
          <w:b w:val="0"/>
          <w:bCs w:val="0"/>
          <w:i w:val="0"/>
          <w:iCs w:val="0"/>
          <w:caps w:val="0"/>
          <w:color w:val="333333"/>
          <w:spacing w:val="0"/>
          <w:sz w:val="32"/>
          <w:szCs w:val="32"/>
          <w:shd w:val="clear" w:color="auto" w:fill="FFFFFF"/>
        </w:rPr>
        <w:t> </w:t>
      </w:r>
    </w:p>
    <w:p>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right="0"/>
        <w:jc w:val="center"/>
        <w:textAlignment w:val="auto"/>
        <w:outlineLvl w:val="9"/>
        <w:rPr>
          <w:rFonts w:hint="eastAsia" w:ascii="黑体" w:hAnsi="黑体" w:eastAsia="黑体" w:cs="黑体"/>
          <w:b w:val="0"/>
          <w:bCs w:val="0"/>
          <w:sz w:val="32"/>
          <w:szCs w:val="32"/>
        </w:rPr>
      </w:pPr>
      <w:r>
        <w:rPr>
          <w:rFonts w:hint="eastAsia" w:ascii="黑体" w:hAnsi="黑体" w:eastAsia="黑体" w:cs="黑体"/>
          <w:b w:val="0"/>
          <w:bCs w:val="0"/>
          <w:i w:val="0"/>
          <w:iCs w:val="0"/>
          <w:caps w:val="0"/>
          <w:color w:val="333333"/>
          <w:spacing w:val="0"/>
          <w:sz w:val="32"/>
          <w:szCs w:val="32"/>
          <w:shd w:val="clear" w:color="auto" w:fill="FFFFFF"/>
        </w:rPr>
        <w:t>第四章  投资事项</w:t>
      </w:r>
    </w:p>
    <w:p>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643" w:firstLineChars="200"/>
        <w:jc w:val="left"/>
        <w:textAlignment w:val="auto"/>
        <w:outlineLvl w:val="9"/>
        <w:rPr>
          <w:rFonts w:hint="eastAsia" w:ascii="仿宋_GB2312" w:hAnsi="仿宋_GB2312" w:eastAsia="仿宋_GB2312" w:cs="仿宋_GB2312"/>
          <w:b w:val="0"/>
          <w:bCs w:val="0"/>
          <w:sz w:val="32"/>
          <w:szCs w:val="32"/>
        </w:rPr>
      </w:pPr>
      <w:r>
        <w:rPr>
          <w:rStyle w:val="6"/>
          <w:rFonts w:hint="eastAsia" w:ascii="仿宋_GB2312" w:hAnsi="仿宋_GB2312" w:eastAsia="仿宋_GB2312" w:cs="仿宋_GB2312"/>
          <w:b/>
          <w:bCs/>
          <w:i w:val="0"/>
          <w:iCs w:val="0"/>
          <w:caps w:val="0"/>
          <w:color w:val="333333"/>
          <w:spacing w:val="0"/>
          <w:sz w:val="32"/>
          <w:szCs w:val="32"/>
          <w:shd w:val="clear" w:color="auto" w:fill="FFFFFF"/>
        </w:rPr>
        <w:t>第十三条</w:t>
      </w:r>
      <w:r>
        <w:rPr>
          <w:rStyle w:val="6"/>
          <w:rFonts w:hint="eastAsia" w:ascii="仿宋_GB2312" w:hAnsi="仿宋_GB2312" w:eastAsia="仿宋_GB2312" w:cs="仿宋_GB2312"/>
          <w:b w:val="0"/>
          <w:bCs w:val="0"/>
          <w:i w:val="0"/>
          <w:iCs w:val="0"/>
          <w:caps w:val="0"/>
          <w:color w:val="333333"/>
          <w:spacing w:val="0"/>
          <w:sz w:val="32"/>
          <w:szCs w:val="32"/>
          <w:shd w:val="clear" w:color="auto" w:fill="FFFFFF"/>
        </w:rPr>
        <w:t> 本规定所称投资事项是指所出资企业及其所属企业实施的以下投资：</w:t>
      </w:r>
    </w:p>
    <w:p>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640" w:firstLineChars="200"/>
        <w:jc w:val="left"/>
        <w:textAlignment w:val="auto"/>
        <w:outlineLvl w:val="9"/>
        <w:rPr>
          <w:rFonts w:hint="eastAsia" w:ascii="仿宋_GB2312" w:hAnsi="仿宋_GB2312" w:eastAsia="仿宋_GB2312" w:cs="仿宋_GB2312"/>
          <w:b w:val="0"/>
          <w:bCs w:val="0"/>
          <w:sz w:val="32"/>
          <w:szCs w:val="32"/>
        </w:rPr>
      </w:pPr>
      <w:r>
        <w:rPr>
          <w:rFonts w:hint="eastAsia" w:ascii="仿宋_GB2312" w:hAnsi="仿宋_GB2312" w:eastAsia="仿宋_GB2312" w:cs="仿宋_GB2312"/>
          <w:b w:val="0"/>
          <w:bCs w:val="0"/>
          <w:i w:val="0"/>
          <w:iCs w:val="0"/>
          <w:caps w:val="0"/>
          <w:color w:val="333333"/>
          <w:spacing w:val="0"/>
          <w:sz w:val="32"/>
          <w:szCs w:val="32"/>
          <w:shd w:val="clear" w:color="auto" w:fill="FFFFFF"/>
        </w:rPr>
        <w:t>（一）固定资产投资，包括房产、建筑物、设备、运输工具以及基本建设、更新改造和其他固定资产投资工程或项目等生产经营性项目和非生产经营性项目；</w:t>
      </w:r>
    </w:p>
    <w:p>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640" w:firstLineChars="200"/>
        <w:jc w:val="left"/>
        <w:textAlignment w:val="auto"/>
        <w:outlineLvl w:val="9"/>
        <w:rPr>
          <w:rFonts w:hint="eastAsia" w:ascii="仿宋_GB2312" w:hAnsi="仿宋_GB2312" w:eastAsia="仿宋_GB2312" w:cs="仿宋_GB2312"/>
          <w:b w:val="0"/>
          <w:bCs w:val="0"/>
          <w:sz w:val="32"/>
          <w:szCs w:val="32"/>
        </w:rPr>
      </w:pPr>
      <w:r>
        <w:rPr>
          <w:rFonts w:hint="eastAsia" w:ascii="仿宋_GB2312" w:hAnsi="仿宋_GB2312" w:eastAsia="仿宋_GB2312" w:cs="仿宋_GB2312"/>
          <w:b w:val="0"/>
          <w:bCs w:val="0"/>
          <w:i w:val="0"/>
          <w:iCs w:val="0"/>
          <w:caps w:val="0"/>
          <w:color w:val="333333"/>
          <w:spacing w:val="0"/>
          <w:sz w:val="32"/>
          <w:szCs w:val="32"/>
          <w:shd w:val="clear" w:color="auto" w:fill="FFFFFF"/>
        </w:rPr>
        <w:t>（二）股权投资，包括以货币资金、非货币性资金（实物资产、无形资产、持有股权、债权等）作价出资，取得被投资企业股权、享有股东权利、履行股东义务的经济行为，包括出资设立公司、参与增资扩股、股权收购、债转股、兼并等；</w:t>
      </w:r>
    </w:p>
    <w:p>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640" w:firstLineChars="200"/>
        <w:jc w:val="left"/>
        <w:textAlignment w:val="auto"/>
        <w:outlineLvl w:val="9"/>
        <w:rPr>
          <w:rFonts w:hint="eastAsia" w:ascii="仿宋_GB2312" w:hAnsi="仿宋_GB2312" w:eastAsia="仿宋_GB2312" w:cs="仿宋_GB2312"/>
          <w:b w:val="0"/>
          <w:bCs w:val="0"/>
          <w:sz w:val="32"/>
          <w:szCs w:val="32"/>
        </w:rPr>
      </w:pPr>
      <w:r>
        <w:rPr>
          <w:rFonts w:hint="eastAsia" w:ascii="仿宋_GB2312" w:hAnsi="仿宋_GB2312" w:eastAsia="仿宋_GB2312" w:cs="仿宋_GB2312"/>
          <w:b w:val="0"/>
          <w:bCs w:val="0"/>
          <w:i w:val="0"/>
          <w:iCs w:val="0"/>
          <w:caps w:val="0"/>
          <w:color w:val="333333"/>
          <w:spacing w:val="0"/>
          <w:sz w:val="32"/>
          <w:szCs w:val="32"/>
          <w:shd w:val="clear" w:color="auto" w:fill="FFFFFF"/>
        </w:rPr>
        <w:t>（三）金融投资，包括证券投资、保险投资、期货投资、一年期以上委托理财；</w:t>
      </w:r>
    </w:p>
    <w:p>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640" w:firstLineChars="200"/>
        <w:jc w:val="left"/>
        <w:textAlignment w:val="auto"/>
        <w:outlineLvl w:val="9"/>
        <w:rPr>
          <w:rFonts w:hint="eastAsia" w:ascii="仿宋_GB2312" w:hAnsi="仿宋_GB2312" w:eastAsia="仿宋_GB2312" w:cs="仿宋_GB2312"/>
          <w:b w:val="0"/>
          <w:bCs w:val="0"/>
          <w:sz w:val="32"/>
          <w:szCs w:val="32"/>
        </w:rPr>
      </w:pPr>
      <w:r>
        <w:rPr>
          <w:rFonts w:hint="eastAsia" w:ascii="仿宋_GB2312" w:hAnsi="仿宋_GB2312" w:eastAsia="仿宋_GB2312" w:cs="仿宋_GB2312"/>
          <w:b w:val="0"/>
          <w:bCs w:val="0"/>
          <w:i w:val="0"/>
          <w:iCs w:val="0"/>
          <w:caps w:val="0"/>
          <w:color w:val="333333"/>
          <w:spacing w:val="0"/>
          <w:sz w:val="32"/>
          <w:szCs w:val="32"/>
          <w:shd w:val="clear" w:color="auto" w:fill="FFFFFF"/>
        </w:rPr>
        <w:t>（四）县外投资（包括设立办事机构）；</w:t>
      </w:r>
    </w:p>
    <w:p>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640" w:firstLineChars="200"/>
        <w:jc w:val="left"/>
        <w:textAlignment w:val="auto"/>
        <w:outlineLvl w:val="9"/>
        <w:rPr>
          <w:rFonts w:hint="eastAsia" w:ascii="仿宋_GB2312" w:hAnsi="仿宋_GB2312" w:eastAsia="仿宋_GB2312" w:cs="仿宋_GB2312"/>
          <w:b w:val="0"/>
          <w:bCs w:val="0"/>
          <w:sz w:val="32"/>
          <w:szCs w:val="32"/>
        </w:rPr>
      </w:pPr>
      <w:r>
        <w:rPr>
          <w:rFonts w:hint="eastAsia" w:ascii="仿宋_GB2312" w:hAnsi="仿宋_GB2312" w:eastAsia="仿宋_GB2312" w:cs="仿宋_GB2312"/>
          <w:b w:val="0"/>
          <w:bCs w:val="0"/>
          <w:i w:val="0"/>
          <w:iCs w:val="0"/>
          <w:caps w:val="0"/>
          <w:color w:val="333333"/>
          <w:spacing w:val="0"/>
          <w:sz w:val="32"/>
          <w:szCs w:val="32"/>
          <w:shd w:val="clear" w:color="auto" w:fill="FFFFFF"/>
        </w:rPr>
        <w:t>（五）其他投资。除前述规定以外的专利权、商标权、著作权、土地使用权、矿权、特许权、软件、非专利技术等无形资产投资活动。</w:t>
      </w:r>
    </w:p>
    <w:p>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643" w:firstLineChars="200"/>
        <w:jc w:val="left"/>
        <w:textAlignment w:val="auto"/>
        <w:outlineLvl w:val="9"/>
        <w:rPr>
          <w:rFonts w:hint="eastAsia" w:ascii="仿宋_GB2312" w:hAnsi="仿宋_GB2312" w:eastAsia="仿宋_GB2312" w:cs="仿宋_GB2312"/>
          <w:b w:val="0"/>
          <w:bCs w:val="0"/>
          <w:sz w:val="32"/>
          <w:szCs w:val="32"/>
        </w:rPr>
      </w:pPr>
      <w:r>
        <w:rPr>
          <w:rStyle w:val="6"/>
          <w:rFonts w:hint="eastAsia" w:ascii="仿宋_GB2312" w:hAnsi="仿宋_GB2312" w:eastAsia="仿宋_GB2312" w:cs="仿宋_GB2312"/>
          <w:b/>
          <w:bCs/>
          <w:i w:val="0"/>
          <w:iCs w:val="0"/>
          <w:caps w:val="0"/>
          <w:color w:val="333333"/>
          <w:spacing w:val="0"/>
          <w:sz w:val="32"/>
          <w:szCs w:val="32"/>
          <w:shd w:val="clear" w:color="auto" w:fill="FFFFFF"/>
        </w:rPr>
        <w:t>第十四条</w:t>
      </w:r>
      <w:r>
        <w:rPr>
          <w:rStyle w:val="6"/>
          <w:rFonts w:hint="eastAsia" w:ascii="仿宋_GB2312" w:hAnsi="仿宋_GB2312" w:eastAsia="仿宋_GB2312" w:cs="仿宋_GB2312"/>
          <w:b w:val="0"/>
          <w:bCs w:val="0"/>
          <w:i w:val="0"/>
          <w:iCs w:val="0"/>
          <w:caps w:val="0"/>
          <w:color w:val="333333"/>
          <w:spacing w:val="0"/>
          <w:sz w:val="32"/>
          <w:szCs w:val="32"/>
          <w:shd w:val="clear" w:color="auto" w:fill="FFFFFF"/>
        </w:rPr>
        <w:t> 本规定投资额是指企业完成一个项目所需的资产、权益投入，包括但不限于现金、实物资产、无形资产、股权、债权等。涉及股权投资的，投资额是指认缴出资额和后续需要持续投入的金额。</w:t>
      </w:r>
    </w:p>
    <w:p>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643" w:firstLineChars="200"/>
        <w:jc w:val="left"/>
        <w:textAlignment w:val="auto"/>
        <w:outlineLvl w:val="9"/>
        <w:rPr>
          <w:rFonts w:hint="eastAsia" w:ascii="仿宋_GB2312" w:hAnsi="仿宋_GB2312" w:eastAsia="仿宋_GB2312" w:cs="仿宋_GB2312"/>
          <w:b w:val="0"/>
          <w:bCs w:val="0"/>
          <w:sz w:val="32"/>
          <w:szCs w:val="32"/>
        </w:rPr>
      </w:pPr>
      <w:r>
        <w:rPr>
          <w:rStyle w:val="6"/>
          <w:rFonts w:hint="eastAsia" w:ascii="仿宋_GB2312" w:hAnsi="仿宋_GB2312" w:eastAsia="仿宋_GB2312" w:cs="仿宋_GB2312"/>
          <w:b/>
          <w:bCs/>
          <w:i w:val="0"/>
          <w:iCs w:val="0"/>
          <w:caps w:val="0"/>
          <w:color w:val="333333"/>
          <w:spacing w:val="0"/>
          <w:sz w:val="32"/>
          <w:szCs w:val="32"/>
          <w:shd w:val="clear" w:color="auto" w:fill="FFFFFF"/>
        </w:rPr>
        <w:t>第十五条</w:t>
      </w:r>
      <w:r>
        <w:rPr>
          <w:rStyle w:val="6"/>
          <w:rFonts w:hint="eastAsia" w:ascii="仿宋_GB2312" w:hAnsi="仿宋_GB2312" w:eastAsia="仿宋_GB2312" w:cs="仿宋_GB2312"/>
          <w:b w:val="0"/>
          <w:bCs w:val="0"/>
          <w:i w:val="0"/>
          <w:iCs w:val="0"/>
          <w:caps w:val="0"/>
          <w:color w:val="333333"/>
          <w:spacing w:val="0"/>
          <w:sz w:val="32"/>
          <w:szCs w:val="32"/>
          <w:shd w:val="clear" w:color="auto" w:fill="FFFFFF"/>
        </w:rPr>
        <w:t> 所出资企业是投资项目的决策主体、执行主体和责任主体。所出资企业应根据相关法律法规、公司章程及国资监管要求，建立投资管理体系，健全投资管理制度，合理设定企业层级，规范各级企业投资决策程序，对投资活动进行有效管控，切实履行投资主体责任和股东职责，依法接受监管。企业投资活动应符合企业发展规划，聚焦主责主业、发展实体经济，促进科技进步，符合安全环保要求，提升投资质量和投资效益，以高质量投资推动高质量发展。</w:t>
      </w:r>
    </w:p>
    <w:p>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643" w:firstLineChars="200"/>
        <w:jc w:val="left"/>
        <w:textAlignment w:val="auto"/>
        <w:outlineLvl w:val="9"/>
        <w:rPr>
          <w:rFonts w:hint="eastAsia" w:ascii="仿宋_GB2312" w:hAnsi="仿宋_GB2312" w:eastAsia="仿宋_GB2312" w:cs="仿宋_GB2312"/>
          <w:b w:val="0"/>
          <w:bCs w:val="0"/>
          <w:sz w:val="32"/>
          <w:szCs w:val="32"/>
        </w:rPr>
      </w:pPr>
      <w:r>
        <w:rPr>
          <w:rStyle w:val="6"/>
          <w:rFonts w:hint="eastAsia" w:ascii="仿宋_GB2312" w:hAnsi="仿宋_GB2312" w:eastAsia="仿宋_GB2312" w:cs="仿宋_GB2312"/>
          <w:b/>
          <w:bCs/>
          <w:i w:val="0"/>
          <w:iCs w:val="0"/>
          <w:caps w:val="0"/>
          <w:color w:val="333333"/>
          <w:spacing w:val="0"/>
          <w:sz w:val="32"/>
          <w:szCs w:val="32"/>
          <w:shd w:val="clear" w:color="auto" w:fill="FFFFFF"/>
        </w:rPr>
        <w:t>第十六条 </w:t>
      </w:r>
      <w:r>
        <w:rPr>
          <w:rStyle w:val="6"/>
          <w:rFonts w:hint="eastAsia" w:ascii="仿宋_GB2312" w:hAnsi="仿宋_GB2312" w:eastAsia="仿宋_GB2312" w:cs="仿宋_GB2312"/>
          <w:b w:val="0"/>
          <w:bCs w:val="0"/>
          <w:i w:val="0"/>
          <w:iCs w:val="0"/>
          <w:caps w:val="0"/>
          <w:color w:val="333333"/>
          <w:spacing w:val="0"/>
          <w:sz w:val="32"/>
          <w:szCs w:val="32"/>
          <w:shd w:val="clear" w:color="auto" w:fill="FFFFFF"/>
        </w:rPr>
        <w:t>国资中心根据国家、自治区、地区有关规定和监管要求，对企业投资项目进行分类、分级监管。</w:t>
      </w:r>
    </w:p>
    <w:p>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640" w:firstLineChars="200"/>
        <w:jc w:val="left"/>
        <w:textAlignment w:val="auto"/>
        <w:outlineLvl w:val="9"/>
        <w:rPr>
          <w:rFonts w:hint="eastAsia" w:ascii="仿宋_GB2312" w:hAnsi="仿宋_GB2312" w:eastAsia="仿宋_GB2312" w:cs="仿宋_GB2312"/>
          <w:b w:val="0"/>
          <w:bCs w:val="0"/>
          <w:sz w:val="32"/>
          <w:szCs w:val="32"/>
        </w:rPr>
      </w:pPr>
      <w:r>
        <w:rPr>
          <w:rFonts w:hint="eastAsia" w:ascii="仿宋_GB2312" w:hAnsi="仿宋_GB2312" w:eastAsia="仿宋_GB2312" w:cs="仿宋_GB2312"/>
          <w:b w:val="0"/>
          <w:bCs w:val="0"/>
          <w:i w:val="0"/>
          <w:iCs w:val="0"/>
          <w:caps w:val="0"/>
          <w:color w:val="333333"/>
          <w:spacing w:val="0"/>
          <w:sz w:val="32"/>
          <w:szCs w:val="32"/>
          <w:shd w:val="clear" w:color="auto" w:fill="FFFFFF"/>
        </w:rPr>
        <w:t>（一）政府决策投资项目。由县人民政府决策实施的重大基础设施或重大专项任务的投资项目（含县发改重大项目库项目），实行事前备案管理。监管企业履行内部决策程序后向县国资领导小组报送相关备案材料后国资领导小组审核、县人民政府审批（决定）核准后实施。</w:t>
      </w:r>
    </w:p>
    <w:p>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640" w:firstLineChars="200"/>
        <w:jc w:val="left"/>
        <w:textAlignment w:val="auto"/>
        <w:outlineLvl w:val="9"/>
        <w:rPr>
          <w:rFonts w:hint="eastAsia" w:ascii="仿宋_GB2312" w:hAnsi="仿宋_GB2312" w:eastAsia="仿宋_GB2312" w:cs="仿宋_GB2312"/>
          <w:b w:val="0"/>
          <w:bCs w:val="0"/>
          <w:sz w:val="32"/>
          <w:szCs w:val="32"/>
        </w:rPr>
      </w:pPr>
      <w:r>
        <w:rPr>
          <w:rFonts w:hint="eastAsia" w:ascii="仿宋_GB2312" w:hAnsi="仿宋_GB2312" w:eastAsia="仿宋_GB2312" w:cs="仿宋_GB2312"/>
          <w:b w:val="0"/>
          <w:bCs w:val="0"/>
          <w:i w:val="0"/>
          <w:iCs w:val="0"/>
          <w:caps w:val="0"/>
          <w:color w:val="333333"/>
          <w:spacing w:val="0"/>
          <w:sz w:val="32"/>
          <w:szCs w:val="32"/>
          <w:shd w:val="clear" w:color="auto" w:fill="FFFFFF"/>
        </w:rPr>
        <w:t>（二）非政府投资项目。国资中心直属的一级公司单笔投资额300万元以下备案、300万元以上-1000万元以下由国资中心审批，1000万元及以上的投资项目县政府审批；一级公司控股和实际控制的下属公司单笔投资额400万元以下由一级公司审批后报国资中心备案、400万元-1000万元以下由国资中心审批，1000万元及以上的投资项目县政府审批。列入国资中心“投资特别监管企业”名单的企业实施超过100万元且不足300万元的投资项目，由一级公司按规定履行法定程序后报国资中心审批，300万元及以上的投资项目县政府审批。</w:t>
      </w:r>
    </w:p>
    <w:p>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643" w:firstLineChars="200"/>
        <w:jc w:val="left"/>
        <w:textAlignment w:val="auto"/>
        <w:outlineLvl w:val="9"/>
        <w:rPr>
          <w:rFonts w:hint="eastAsia" w:ascii="仿宋_GB2312" w:hAnsi="仿宋_GB2312" w:eastAsia="仿宋_GB2312" w:cs="仿宋_GB2312"/>
          <w:b w:val="0"/>
          <w:bCs w:val="0"/>
          <w:sz w:val="32"/>
          <w:szCs w:val="32"/>
        </w:rPr>
      </w:pPr>
      <w:r>
        <w:rPr>
          <w:rStyle w:val="6"/>
          <w:rFonts w:hint="eastAsia" w:ascii="仿宋_GB2312" w:hAnsi="仿宋_GB2312" w:eastAsia="仿宋_GB2312" w:cs="仿宋_GB2312"/>
          <w:b/>
          <w:bCs/>
          <w:i w:val="0"/>
          <w:iCs w:val="0"/>
          <w:caps w:val="0"/>
          <w:color w:val="333333"/>
          <w:spacing w:val="0"/>
          <w:sz w:val="32"/>
          <w:szCs w:val="32"/>
          <w:shd w:val="clear" w:color="auto" w:fill="FFFFFF"/>
        </w:rPr>
        <w:t>第十七条</w:t>
      </w:r>
      <w:r>
        <w:rPr>
          <w:rStyle w:val="6"/>
          <w:rFonts w:hint="eastAsia" w:ascii="仿宋_GB2312" w:hAnsi="仿宋_GB2312" w:eastAsia="仿宋_GB2312" w:cs="仿宋_GB2312"/>
          <w:b w:val="0"/>
          <w:bCs w:val="0"/>
          <w:i w:val="0"/>
          <w:iCs w:val="0"/>
          <w:caps w:val="0"/>
          <w:color w:val="333333"/>
          <w:spacing w:val="0"/>
          <w:sz w:val="32"/>
          <w:szCs w:val="32"/>
          <w:shd w:val="clear" w:color="auto" w:fill="FFFFFF"/>
        </w:rPr>
        <w:t> 所出资企业要根据本规定，结合企业实际，进一步完善投资管理制度，经董事会审议通过后报国资中心备案。企业投资管理制度应包括以下内容：</w:t>
      </w:r>
    </w:p>
    <w:p>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640" w:firstLineChars="200"/>
        <w:jc w:val="left"/>
        <w:textAlignment w:val="auto"/>
        <w:outlineLvl w:val="9"/>
        <w:rPr>
          <w:rFonts w:hint="eastAsia" w:ascii="仿宋_GB2312" w:hAnsi="仿宋_GB2312" w:eastAsia="仿宋_GB2312" w:cs="仿宋_GB2312"/>
          <w:b w:val="0"/>
          <w:bCs w:val="0"/>
          <w:sz w:val="32"/>
          <w:szCs w:val="32"/>
        </w:rPr>
      </w:pPr>
      <w:r>
        <w:rPr>
          <w:rFonts w:hint="eastAsia" w:ascii="仿宋_GB2312" w:hAnsi="仿宋_GB2312" w:eastAsia="仿宋_GB2312" w:cs="仿宋_GB2312"/>
          <w:b w:val="0"/>
          <w:bCs w:val="0"/>
          <w:i w:val="0"/>
          <w:iCs w:val="0"/>
          <w:caps w:val="0"/>
          <w:color w:val="333333"/>
          <w:spacing w:val="0"/>
          <w:sz w:val="32"/>
          <w:szCs w:val="32"/>
          <w:shd w:val="clear" w:color="auto" w:fill="FFFFFF"/>
        </w:rPr>
        <w:t>（一）投资遵循的基本原则；</w:t>
      </w:r>
    </w:p>
    <w:p>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640" w:firstLineChars="200"/>
        <w:jc w:val="left"/>
        <w:textAlignment w:val="auto"/>
        <w:outlineLvl w:val="9"/>
        <w:rPr>
          <w:rFonts w:hint="eastAsia" w:ascii="仿宋_GB2312" w:hAnsi="仿宋_GB2312" w:eastAsia="仿宋_GB2312" w:cs="仿宋_GB2312"/>
          <w:b w:val="0"/>
          <w:bCs w:val="0"/>
          <w:sz w:val="32"/>
          <w:szCs w:val="32"/>
        </w:rPr>
      </w:pPr>
      <w:r>
        <w:rPr>
          <w:rFonts w:hint="eastAsia" w:ascii="仿宋_GB2312" w:hAnsi="仿宋_GB2312" w:eastAsia="仿宋_GB2312" w:cs="仿宋_GB2312"/>
          <w:b w:val="0"/>
          <w:bCs w:val="0"/>
          <w:i w:val="0"/>
          <w:iCs w:val="0"/>
          <w:caps w:val="0"/>
          <w:color w:val="333333"/>
          <w:spacing w:val="0"/>
          <w:sz w:val="32"/>
          <w:szCs w:val="32"/>
          <w:shd w:val="clear" w:color="auto" w:fill="FFFFFF"/>
        </w:rPr>
        <w:t>（二）投资管理流程、管理部门及相关职责；</w:t>
      </w:r>
    </w:p>
    <w:p>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640" w:firstLineChars="200"/>
        <w:jc w:val="left"/>
        <w:textAlignment w:val="auto"/>
        <w:outlineLvl w:val="9"/>
        <w:rPr>
          <w:rFonts w:hint="eastAsia" w:ascii="仿宋_GB2312" w:hAnsi="仿宋_GB2312" w:eastAsia="仿宋_GB2312" w:cs="仿宋_GB2312"/>
          <w:b w:val="0"/>
          <w:bCs w:val="0"/>
          <w:sz w:val="32"/>
          <w:szCs w:val="32"/>
        </w:rPr>
      </w:pPr>
      <w:r>
        <w:rPr>
          <w:rFonts w:hint="eastAsia" w:ascii="仿宋_GB2312" w:hAnsi="仿宋_GB2312" w:eastAsia="仿宋_GB2312" w:cs="仿宋_GB2312"/>
          <w:b w:val="0"/>
          <w:bCs w:val="0"/>
          <w:i w:val="0"/>
          <w:iCs w:val="0"/>
          <w:caps w:val="0"/>
          <w:color w:val="333333"/>
          <w:spacing w:val="0"/>
          <w:sz w:val="32"/>
          <w:szCs w:val="32"/>
          <w:shd w:val="clear" w:color="auto" w:fill="FFFFFF"/>
        </w:rPr>
        <w:t>（三）投资决策程序、决策机构及其职责；</w:t>
      </w:r>
    </w:p>
    <w:p>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640" w:firstLineChars="200"/>
        <w:jc w:val="left"/>
        <w:textAlignment w:val="auto"/>
        <w:outlineLvl w:val="9"/>
        <w:rPr>
          <w:rFonts w:hint="eastAsia" w:ascii="仿宋_GB2312" w:hAnsi="仿宋_GB2312" w:eastAsia="仿宋_GB2312" w:cs="仿宋_GB2312"/>
          <w:b w:val="0"/>
          <w:bCs w:val="0"/>
          <w:sz w:val="32"/>
          <w:szCs w:val="32"/>
        </w:rPr>
      </w:pPr>
      <w:r>
        <w:rPr>
          <w:rFonts w:hint="eastAsia" w:ascii="仿宋_GB2312" w:hAnsi="仿宋_GB2312" w:eastAsia="仿宋_GB2312" w:cs="仿宋_GB2312"/>
          <w:b w:val="0"/>
          <w:bCs w:val="0"/>
          <w:i w:val="0"/>
          <w:iCs w:val="0"/>
          <w:caps w:val="0"/>
          <w:color w:val="333333"/>
          <w:spacing w:val="0"/>
          <w:sz w:val="32"/>
          <w:szCs w:val="32"/>
          <w:shd w:val="clear" w:color="auto" w:fill="FFFFFF"/>
        </w:rPr>
        <w:t>（四）投资信息化管理；</w:t>
      </w:r>
    </w:p>
    <w:p>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640" w:firstLineChars="200"/>
        <w:jc w:val="left"/>
        <w:textAlignment w:val="auto"/>
        <w:outlineLvl w:val="9"/>
        <w:rPr>
          <w:rFonts w:hint="eastAsia" w:ascii="仿宋_GB2312" w:hAnsi="仿宋_GB2312" w:eastAsia="仿宋_GB2312" w:cs="仿宋_GB2312"/>
          <w:b w:val="0"/>
          <w:bCs w:val="0"/>
          <w:sz w:val="32"/>
          <w:szCs w:val="32"/>
        </w:rPr>
      </w:pPr>
      <w:r>
        <w:rPr>
          <w:rFonts w:hint="eastAsia" w:ascii="仿宋_GB2312" w:hAnsi="仿宋_GB2312" w:eastAsia="仿宋_GB2312" w:cs="仿宋_GB2312"/>
          <w:b w:val="0"/>
          <w:bCs w:val="0"/>
          <w:i w:val="0"/>
          <w:iCs w:val="0"/>
          <w:caps w:val="0"/>
          <w:color w:val="333333"/>
          <w:spacing w:val="0"/>
          <w:sz w:val="32"/>
          <w:szCs w:val="32"/>
          <w:shd w:val="clear" w:color="auto" w:fill="FFFFFF"/>
        </w:rPr>
        <w:t>（五）投资风险管控；</w:t>
      </w:r>
    </w:p>
    <w:p>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640" w:firstLineChars="200"/>
        <w:jc w:val="left"/>
        <w:textAlignment w:val="auto"/>
        <w:outlineLvl w:val="9"/>
        <w:rPr>
          <w:rFonts w:hint="eastAsia" w:ascii="仿宋_GB2312" w:hAnsi="仿宋_GB2312" w:eastAsia="仿宋_GB2312" w:cs="仿宋_GB2312"/>
          <w:b w:val="0"/>
          <w:bCs w:val="0"/>
          <w:sz w:val="32"/>
          <w:szCs w:val="32"/>
        </w:rPr>
      </w:pPr>
      <w:r>
        <w:rPr>
          <w:rFonts w:hint="eastAsia" w:ascii="仿宋_GB2312" w:hAnsi="仿宋_GB2312" w:eastAsia="仿宋_GB2312" w:cs="仿宋_GB2312"/>
          <w:b w:val="0"/>
          <w:bCs w:val="0"/>
          <w:i w:val="0"/>
          <w:iCs w:val="0"/>
          <w:caps w:val="0"/>
          <w:color w:val="333333"/>
          <w:spacing w:val="0"/>
          <w:sz w:val="32"/>
          <w:szCs w:val="32"/>
          <w:shd w:val="clear" w:color="auto" w:fill="FFFFFF"/>
        </w:rPr>
        <w:t>（六）投资项目完成、中止、终止或退出；</w:t>
      </w:r>
    </w:p>
    <w:p>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640" w:firstLineChars="200"/>
        <w:jc w:val="left"/>
        <w:textAlignment w:val="auto"/>
        <w:outlineLvl w:val="9"/>
        <w:rPr>
          <w:rFonts w:hint="eastAsia" w:ascii="仿宋_GB2312" w:hAnsi="仿宋_GB2312" w:eastAsia="仿宋_GB2312" w:cs="仿宋_GB2312"/>
          <w:b w:val="0"/>
          <w:bCs w:val="0"/>
          <w:sz w:val="32"/>
          <w:szCs w:val="32"/>
        </w:rPr>
      </w:pPr>
      <w:r>
        <w:rPr>
          <w:rFonts w:hint="eastAsia" w:ascii="仿宋_GB2312" w:hAnsi="仿宋_GB2312" w:eastAsia="仿宋_GB2312" w:cs="仿宋_GB2312"/>
          <w:b w:val="0"/>
          <w:bCs w:val="0"/>
          <w:i w:val="0"/>
          <w:iCs w:val="0"/>
          <w:caps w:val="0"/>
          <w:color w:val="333333"/>
          <w:spacing w:val="0"/>
          <w:sz w:val="32"/>
          <w:szCs w:val="32"/>
          <w:shd w:val="clear" w:color="auto" w:fill="FFFFFF"/>
        </w:rPr>
        <w:t>（七）投资项目后评价；</w:t>
      </w:r>
    </w:p>
    <w:p>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640" w:firstLineChars="200"/>
        <w:jc w:val="left"/>
        <w:textAlignment w:val="auto"/>
        <w:outlineLvl w:val="9"/>
        <w:rPr>
          <w:rFonts w:hint="eastAsia" w:ascii="仿宋_GB2312" w:hAnsi="仿宋_GB2312" w:eastAsia="仿宋_GB2312" w:cs="仿宋_GB2312"/>
          <w:b w:val="0"/>
          <w:bCs w:val="0"/>
          <w:sz w:val="32"/>
          <w:szCs w:val="32"/>
        </w:rPr>
      </w:pPr>
      <w:r>
        <w:rPr>
          <w:rFonts w:hint="eastAsia" w:ascii="仿宋_GB2312" w:hAnsi="仿宋_GB2312" w:eastAsia="仿宋_GB2312" w:cs="仿宋_GB2312"/>
          <w:b w:val="0"/>
          <w:bCs w:val="0"/>
          <w:i w:val="0"/>
          <w:iCs w:val="0"/>
          <w:caps w:val="0"/>
          <w:color w:val="333333"/>
          <w:spacing w:val="0"/>
          <w:sz w:val="32"/>
          <w:szCs w:val="32"/>
          <w:shd w:val="clear" w:color="auto" w:fill="FFFFFF"/>
        </w:rPr>
        <w:t>（八）违规投资责任追究；</w:t>
      </w:r>
    </w:p>
    <w:p>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640" w:firstLineChars="200"/>
        <w:jc w:val="left"/>
        <w:textAlignment w:val="auto"/>
        <w:outlineLvl w:val="9"/>
        <w:rPr>
          <w:rFonts w:hint="eastAsia" w:ascii="仿宋_GB2312" w:hAnsi="仿宋_GB2312" w:eastAsia="仿宋_GB2312" w:cs="仿宋_GB2312"/>
          <w:b w:val="0"/>
          <w:bCs w:val="0"/>
          <w:sz w:val="32"/>
          <w:szCs w:val="32"/>
        </w:rPr>
      </w:pPr>
      <w:r>
        <w:rPr>
          <w:rFonts w:hint="eastAsia" w:ascii="仿宋_GB2312" w:hAnsi="仿宋_GB2312" w:eastAsia="仿宋_GB2312" w:cs="仿宋_GB2312"/>
          <w:b w:val="0"/>
          <w:bCs w:val="0"/>
          <w:i w:val="0"/>
          <w:iCs w:val="0"/>
          <w:caps w:val="0"/>
          <w:color w:val="333333"/>
          <w:spacing w:val="0"/>
          <w:sz w:val="32"/>
          <w:szCs w:val="32"/>
          <w:shd w:val="clear" w:color="auto" w:fill="FFFFFF"/>
        </w:rPr>
        <w:t>（九）对全级次企业投资活动的授权、监督与管理；</w:t>
      </w:r>
    </w:p>
    <w:p>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640" w:firstLineChars="200"/>
        <w:jc w:val="left"/>
        <w:textAlignment w:val="auto"/>
        <w:outlineLvl w:val="9"/>
        <w:rPr>
          <w:rFonts w:hint="eastAsia" w:ascii="仿宋_GB2312" w:hAnsi="仿宋_GB2312" w:eastAsia="仿宋_GB2312" w:cs="仿宋_GB2312"/>
          <w:b w:val="0"/>
          <w:bCs w:val="0"/>
          <w:sz w:val="32"/>
          <w:szCs w:val="32"/>
        </w:rPr>
      </w:pPr>
      <w:r>
        <w:rPr>
          <w:rFonts w:hint="eastAsia" w:ascii="仿宋_GB2312" w:hAnsi="仿宋_GB2312" w:eastAsia="仿宋_GB2312" w:cs="仿宋_GB2312"/>
          <w:b w:val="0"/>
          <w:bCs w:val="0"/>
          <w:i w:val="0"/>
          <w:iCs w:val="0"/>
          <w:caps w:val="0"/>
          <w:color w:val="333333"/>
          <w:spacing w:val="0"/>
          <w:sz w:val="32"/>
          <w:szCs w:val="32"/>
          <w:shd w:val="clear" w:color="auto" w:fill="FFFFFF"/>
        </w:rPr>
        <w:t>（十）投资项目档案管理；</w:t>
      </w:r>
    </w:p>
    <w:p>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640" w:firstLineChars="200"/>
        <w:jc w:val="left"/>
        <w:textAlignment w:val="auto"/>
        <w:outlineLvl w:val="9"/>
        <w:rPr>
          <w:rFonts w:hint="eastAsia" w:ascii="仿宋_GB2312" w:hAnsi="仿宋_GB2312" w:eastAsia="仿宋_GB2312" w:cs="仿宋_GB2312"/>
          <w:b w:val="0"/>
          <w:bCs w:val="0"/>
          <w:sz w:val="32"/>
          <w:szCs w:val="32"/>
        </w:rPr>
      </w:pPr>
      <w:r>
        <w:rPr>
          <w:rFonts w:hint="eastAsia" w:ascii="仿宋_GB2312" w:hAnsi="仿宋_GB2312" w:eastAsia="仿宋_GB2312" w:cs="仿宋_GB2312"/>
          <w:b w:val="0"/>
          <w:bCs w:val="0"/>
          <w:i w:val="0"/>
          <w:iCs w:val="0"/>
          <w:caps w:val="0"/>
          <w:color w:val="333333"/>
          <w:spacing w:val="0"/>
          <w:sz w:val="32"/>
          <w:szCs w:val="32"/>
          <w:shd w:val="clear" w:color="auto" w:fill="FFFFFF"/>
        </w:rPr>
        <w:t>（十一）其他必要的材料。</w:t>
      </w:r>
    </w:p>
    <w:p>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643" w:firstLineChars="200"/>
        <w:jc w:val="left"/>
        <w:textAlignment w:val="auto"/>
        <w:outlineLvl w:val="9"/>
        <w:rPr>
          <w:rFonts w:hint="eastAsia" w:ascii="仿宋_GB2312" w:hAnsi="仿宋_GB2312" w:eastAsia="仿宋_GB2312" w:cs="仿宋_GB2312"/>
          <w:b w:val="0"/>
          <w:bCs w:val="0"/>
          <w:sz w:val="32"/>
          <w:szCs w:val="32"/>
        </w:rPr>
      </w:pPr>
      <w:r>
        <w:rPr>
          <w:rStyle w:val="6"/>
          <w:rFonts w:hint="eastAsia" w:ascii="仿宋_GB2312" w:hAnsi="仿宋_GB2312" w:eastAsia="仿宋_GB2312" w:cs="仿宋_GB2312"/>
          <w:b/>
          <w:bCs/>
          <w:i w:val="0"/>
          <w:iCs w:val="0"/>
          <w:caps w:val="0"/>
          <w:color w:val="333333"/>
          <w:spacing w:val="0"/>
          <w:sz w:val="32"/>
          <w:szCs w:val="32"/>
          <w:shd w:val="clear" w:color="auto" w:fill="FFFFFF"/>
        </w:rPr>
        <w:t>第十八条</w:t>
      </w:r>
      <w:r>
        <w:rPr>
          <w:rStyle w:val="6"/>
          <w:rFonts w:hint="eastAsia" w:ascii="仿宋_GB2312" w:hAnsi="仿宋_GB2312" w:eastAsia="仿宋_GB2312" w:cs="仿宋_GB2312"/>
          <w:b w:val="0"/>
          <w:bCs w:val="0"/>
          <w:i w:val="0"/>
          <w:iCs w:val="0"/>
          <w:caps w:val="0"/>
          <w:color w:val="333333"/>
          <w:spacing w:val="0"/>
          <w:sz w:val="32"/>
          <w:szCs w:val="32"/>
          <w:shd w:val="clear" w:color="auto" w:fill="FFFFFF"/>
        </w:rPr>
        <w:t> 所出资企业应对投资决策实行统一归口，加强投资决策授权管理。所出资企业向下授权投资决策的企业管理层级原则上不超过第二级。各级投资决策机构对投资项目作出决策，应形成决策文件，所有参与决策人员所发表意见应记录存档并签字备查。</w:t>
      </w:r>
    </w:p>
    <w:p>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643" w:firstLineChars="200"/>
        <w:jc w:val="left"/>
        <w:textAlignment w:val="auto"/>
        <w:outlineLvl w:val="9"/>
        <w:rPr>
          <w:rFonts w:hint="eastAsia" w:ascii="仿宋_GB2312" w:hAnsi="仿宋_GB2312" w:eastAsia="仿宋_GB2312" w:cs="仿宋_GB2312"/>
          <w:b w:val="0"/>
          <w:bCs w:val="0"/>
          <w:sz w:val="32"/>
          <w:szCs w:val="32"/>
        </w:rPr>
      </w:pPr>
      <w:r>
        <w:rPr>
          <w:rStyle w:val="6"/>
          <w:rFonts w:hint="eastAsia" w:ascii="仿宋_GB2312" w:hAnsi="仿宋_GB2312" w:eastAsia="仿宋_GB2312" w:cs="仿宋_GB2312"/>
          <w:b/>
          <w:bCs/>
          <w:i w:val="0"/>
          <w:iCs w:val="0"/>
          <w:caps w:val="0"/>
          <w:color w:val="333333"/>
          <w:spacing w:val="0"/>
          <w:sz w:val="32"/>
          <w:szCs w:val="32"/>
          <w:shd w:val="clear" w:color="auto" w:fill="FFFFFF"/>
        </w:rPr>
        <w:t>第十九条</w:t>
      </w:r>
      <w:r>
        <w:rPr>
          <w:rStyle w:val="6"/>
          <w:rFonts w:hint="eastAsia" w:ascii="仿宋_GB2312" w:hAnsi="仿宋_GB2312" w:eastAsia="仿宋_GB2312" w:cs="仿宋_GB2312"/>
          <w:b w:val="0"/>
          <w:bCs w:val="0"/>
          <w:i w:val="0"/>
          <w:iCs w:val="0"/>
          <w:caps w:val="0"/>
          <w:color w:val="333333"/>
          <w:spacing w:val="0"/>
          <w:sz w:val="32"/>
          <w:szCs w:val="32"/>
          <w:shd w:val="clear" w:color="auto" w:fill="FFFFFF"/>
        </w:rPr>
        <w:t> 所出资企业应依据发展规划和投资能力，按照“应入尽入、能入全入”的原则，编制年度投资计划并报国资中心核准（备案）。年度投资计划应与财务预算相衔接，合理控制资产负债水平。列入年度投资计划的项目应完成必要的前期工作，基本具备年内实施条件。</w:t>
      </w:r>
    </w:p>
    <w:p>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640" w:firstLineChars="200"/>
        <w:jc w:val="left"/>
        <w:textAlignment w:val="auto"/>
        <w:outlineLvl w:val="9"/>
        <w:rPr>
          <w:rFonts w:hint="eastAsia" w:ascii="仿宋_GB2312" w:hAnsi="仿宋_GB2312" w:eastAsia="仿宋_GB2312" w:cs="仿宋_GB2312"/>
          <w:b w:val="0"/>
          <w:bCs w:val="0"/>
          <w:sz w:val="32"/>
          <w:szCs w:val="32"/>
        </w:rPr>
      </w:pPr>
      <w:r>
        <w:rPr>
          <w:rFonts w:hint="eastAsia" w:ascii="仿宋_GB2312" w:hAnsi="仿宋_GB2312" w:eastAsia="仿宋_GB2312" w:cs="仿宋_GB2312"/>
          <w:b w:val="0"/>
          <w:bCs w:val="0"/>
          <w:i w:val="0"/>
          <w:iCs w:val="0"/>
          <w:caps w:val="0"/>
          <w:color w:val="333333"/>
          <w:spacing w:val="0"/>
          <w:sz w:val="32"/>
          <w:szCs w:val="32"/>
          <w:shd w:val="clear" w:color="auto" w:fill="FFFFFF"/>
        </w:rPr>
        <w:t>所出资企业应于每年12月20日前报送下一年度投资计划建议稿，次年2月10日前报送经董事会审议的年度投资计划。年度投资计划主要包括以下内容：</w:t>
      </w:r>
    </w:p>
    <w:p>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640" w:firstLineChars="200"/>
        <w:jc w:val="left"/>
        <w:textAlignment w:val="auto"/>
        <w:outlineLvl w:val="9"/>
        <w:rPr>
          <w:rFonts w:hint="eastAsia" w:ascii="仿宋_GB2312" w:hAnsi="仿宋_GB2312" w:eastAsia="仿宋_GB2312" w:cs="仿宋_GB2312"/>
          <w:b w:val="0"/>
          <w:bCs w:val="0"/>
          <w:sz w:val="32"/>
          <w:szCs w:val="32"/>
        </w:rPr>
      </w:pPr>
      <w:r>
        <w:rPr>
          <w:rFonts w:hint="eastAsia" w:ascii="仿宋_GB2312" w:hAnsi="仿宋_GB2312" w:eastAsia="仿宋_GB2312" w:cs="仿宋_GB2312"/>
          <w:b w:val="0"/>
          <w:bCs w:val="0"/>
          <w:i w:val="0"/>
          <w:iCs w:val="0"/>
          <w:caps w:val="0"/>
          <w:color w:val="333333"/>
          <w:spacing w:val="0"/>
          <w:sz w:val="32"/>
          <w:szCs w:val="32"/>
          <w:shd w:val="clear" w:color="auto" w:fill="FFFFFF"/>
        </w:rPr>
        <w:t>（一）投资主要方向和目的；</w:t>
      </w:r>
    </w:p>
    <w:p>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640" w:firstLineChars="200"/>
        <w:jc w:val="left"/>
        <w:textAlignment w:val="auto"/>
        <w:outlineLvl w:val="9"/>
        <w:rPr>
          <w:rFonts w:hint="eastAsia" w:ascii="仿宋_GB2312" w:hAnsi="仿宋_GB2312" w:eastAsia="仿宋_GB2312" w:cs="仿宋_GB2312"/>
          <w:b w:val="0"/>
          <w:bCs w:val="0"/>
          <w:sz w:val="32"/>
          <w:szCs w:val="32"/>
        </w:rPr>
      </w:pPr>
      <w:r>
        <w:rPr>
          <w:rFonts w:hint="eastAsia" w:ascii="仿宋_GB2312" w:hAnsi="仿宋_GB2312" w:eastAsia="仿宋_GB2312" w:cs="仿宋_GB2312"/>
          <w:b w:val="0"/>
          <w:bCs w:val="0"/>
          <w:i w:val="0"/>
          <w:iCs w:val="0"/>
          <w:caps w:val="0"/>
          <w:color w:val="333333"/>
          <w:spacing w:val="0"/>
          <w:sz w:val="32"/>
          <w:szCs w:val="32"/>
          <w:shd w:val="clear" w:color="auto" w:fill="FFFFFF"/>
        </w:rPr>
        <w:t>（二）投资规模及资产负债率水平；</w:t>
      </w:r>
    </w:p>
    <w:p>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640" w:firstLineChars="200"/>
        <w:jc w:val="left"/>
        <w:textAlignment w:val="auto"/>
        <w:outlineLvl w:val="9"/>
        <w:rPr>
          <w:rFonts w:hint="eastAsia" w:ascii="仿宋_GB2312" w:hAnsi="仿宋_GB2312" w:eastAsia="仿宋_GB2312" w:cs="仿宋_GB2312"/>
          <w:b w:val="0"/>
          <w:bCs w:val="0"/>
          <w:sz w:val="32"/>
          <w:szCs w:val="32"/>
        </w:rPr>
      </w:pPr>
      <w:r>
        <w:rPr>
          <w:rFonts w:hint="eastAsia" w:ascii="仿宋_GB2312" w:hAnsi="仿宋_GB2312" w:eastAsia="仿宋_GB2312" w:cs="仿宋_GB2312"/>
          <w:b w:val="0"/>
          <w:bCs w:val="0"/>
          <w:i w:val="0"/>
          <w:iCs w:val="0"/>
          <w:caps w:val="0"/>
          <w:color w:val="333333"/>
          <w:spacing w:val="0"/>
          <w:sz w:val="32"/>
          <w:szCs w:val="32"/>
          <w:shd w:val="clear" w:color="auto" w:fill="FFFFFF"/>
        </w:rPr>
        <w:t>（三）投资结构分析；</w:t>
      </w:r>
    </w:p>
    <w:p>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640" w:firstLineChars="200"/>
        <w:jc w:val="left"/>
        <w:textAlignment w:val="auto"/>
        <w:outlineLvl w:val="9"/>
        <w:rPr>
          <w:rFonts w:hint="eastAsia" w:ascii="仿宋_GB2312" w:hAnsi="仿宋_GB2312" w:eastAsia="仿宋_GB2312" w:cs="仿宋_GB2312"/>
          <w:b w:val="0"/>
          <w:bCs w:val="0"/>
          <w:sz w:val="32"/>
          <w:szCs w:val="32"/>
        </w:rPr>
      </w:pPr>
      <w:r>
        <w:rPr>
          <w:rFonts w:hint="eastAsia" w:ascii="仿宋_GB2312" w:hAnsi="仿宋_GB2312" w:eastAsia="仿宋_GB2312" w:cs="仿宋_GB2312"/>
          <w:b w:val="0"/>
          <w:bCs w:val="0"/>
          <w:i w:val="0"/>
          <w:iCs w:val="0"/>
          <w:caps w:val="0"/>
          <w:color w:val="333333"/>
          <w:spacing w:val="0"/>
          <w:sz w:val="32"/>
          <w:szCs w:val="32"/>
          <w:shd w:val="clear" w:color="auto" w:fill="FFFFFF"/>
        </w:rPr>
        <w:t>（四）投资资金来源；</w:t>
      </w:r>
    </w:p>
    <w:p>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640" w:firstLineChars="200"/>
        <w:jc w:val="left"/>
        <w:textAlignment w:val="auto"/>
        <w:outlineLvl w:val="9"/>
        <w:rPr>
          <w:rFonts w:hint="eastAsia" w:ascii="仿宋_GB2312" w:hAnsi="仿宋_GB2312" w:eastAsia="仿宋_GB2312" w:cs="仿宋_GB2312"/>
          <w:b w:val="0"/>
          <w:bCs w:val="0"/>
          <w:sz w:val="32"/>
          <w:szCs w:val="32"/>
        </w:rPr>
      </w:pPr>
      <w:r>
        <w:rPr>
          <w:rFonts w:hint="eastAsia" w:ascii="仿宋_GB2312" w:hAnsi="仿宋_GB2312" w:eastAsia="仿宋_GB2312" w:cs="仿宋_GB2312"/>
          <w:b w:val="0"/>
          <w:bCs w:val="0"/>
          <w:i w:val="0"/>
          <w:iCs w:val="0"/>
          <w:caps w:val="0"/>
          <w:color w:val="333333"/>
          <w:spacing w:val="0"/>
          <w:sz w:val="32"/>
          <w:szCs w:val="32"/>
          <w:shd w:val="clear" w:color="auto" w:fill="FFFFFF"/>
        </w:rPr>
        <w:t>（五）投资预期收益；</w:t>
      </w:r>
    </w:p>
    <w:p>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640" w:firstLineChars="200"/>
        <w:jc w:val="left"/>
        <w:textAlignment w:val="auto"/>
        <w:outlineLvl w:val="9"/>
        <w:rPr>
          <w:rFonts w:hint="eastAsia" w:ascii="仿宋_GB2312" w:hAnsi="仿宋_GB2312" w:eastAsia="仿宋_GB2312" w:cs="仿宋_GB2312"/>
          <w:b w:val="0"/>
          <w:bCs w:val="0"/>
          <w:sz w:val="32"/>
          <w:szCs w:val="32"/>
        </w:rPr>
      </w:pPr>
      <w:r>
        <w:rPr>
          <w:rFonts w:hint="eastAsia" w:ascii="仿宋_GB2312" w:hAnsi="仿宋_GB2312" w:eastAsia="仿宋_GB2312" w:cs="仿宋_GB2312"/>
          <w:b w:val="0"/>
          <w:bCs w:val="0"/>
          <w:i w:val="0"/>
          <w:iCs w:val="0"/>
          <w:caps w:val="0"/>
          <w:color w:val="333333"/>
          <w:spacing w:val="0"/>
          <w:sz w:val="32"/>
          <w:szCs w:val="32"/>
          <w:shd w:val="clear" w:color="auto" w:fill="FFFFFF"/>
        </w:rPr>
        <w:t>（六）重大投资项目情况。</w:t>
      </w:r>
    </w:p>
    <w:p>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643" w:firstLineChars="200"/>
        <w:jc w:val="left"/>
        <w:textAlignment w:val="auto"/>
        <w:outlineLvl w:val="9"/>
        <w:rPr>
          <w:rFonts w:hint="eastAsia" w:ascii="仿宋_GB2312" w:hAnsi="仿宋_GB2312" w:eastAsia="仿宋_GB2312" w:cs="仿宋_GB2312"/>
          <w:b w:val="0"/>
          <w:bCs w:val="0"/>
          <w:sz w:val="32"/>
          <w:szCs w:val="32"/>
        </w:rPr>
      </w:pPr>
      <w:r>
        <w:rPr>
          <w:rStyle w:val="6"/>
          <w:rFonts w:hint="eastAsia" w:ascii="仿宋_GB2312" w:hAnsi="仿宋_GB2312" w:eastAsia="仿宋_GB2312" w:cs="仿宋_GB2312"/>
          <w:b/>
          <w:bCs/>
          <w:i w:val="0"/>
          <w:iCs w:val="0"/>
          <w:caps w:val="0"/>
          <w:color w:val="333333"/>
          <w:spacing w:val="0"/>
          <w:sz w:val="32"/>
          <w:szCs w:val="32"/>
          <w:shd w:val="clear" w:color="auto" w:fill="FFFFFF"/>
        </w:rPr>
        <w:t>第二十条</w:t>
      </w:r>
      <w:r>
        <w:rPr>
          <w:rStyle w:val="6"/>
          <w:rFonts w:hint="eastAsia" w:ascii="仿宋_GB2312" w:hAnsi="仿宋_GB2312" w:eastAsia="仿宋_GB2312" w:cs="仿宋_GB2312"/>
          <w:b w:val="0"/>
          <w:bCs w:val="0"/>
          <w:i w:val="0"/>
          <w:iCs w:val="0"/>
          <w:caps w:val="0"/>
          <w:color w:val="333333"/>
          <w:spacing w:val="0"/>
          <w:sz w:val="32"/>
          <w:szCs w:val="32"/>
          <w:shd w:val="clear" w:color="auto" w:fill="FFFFFF"/>
        </w:rPr>
        <w:t> 国资中心依据企业发展规划、县域重大项目规划等，从投资方向、投资规模、投资结构和投资能力等方面，对企业年度投资计划进行核准（备案），必要时委托第三方机构对投资项目进行论证，重点论证资金来源、融资渠道、融资成本、投资回报等方面。</w:t>
      </w:r>
    </w:p>
    <w:p>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640" w:firstLineChars="200"/>
        <w:jc w:val="left"/>
        <w:textAlignment w:val="auto"/>
        <w:outlineLvl w:val="9"/>
        <w:rPr>
          <w:rFonts w:hint="eastAsia" w:ascii="仿宋_GB2312" w:hAnsi="仿宋_GB2312" w:eastAsia="仿宋_GB2312" w:cs="仿宋_GB2312"/>
          <w:b w:val="0"/>
          <w:bCs w:val="0"/>
          <w:sz w:val="32"/>
          <w:szCs w:val="32"/>
        </w:rPr>
      </w:pPr>
      <w:r>
        <w:rPr>
          <w:rFonts w:hint="eastAsia" w:ascii="仿宋_GB2312" w:hAnsi="仿宋_GB2312" w:eastAsia="仿宋_GB2312" w:cs="仿宋_GB2312"/>
          <w:b w:val="0"/>
          <w:bCs w:val="0"/>
          <w:i w:val="0"/>
          <w:iCs w:val="0"/>
          <w:caps w:val="0"/>
          <w:color w:val="333333"/>
          <w:spacing w:val="0"/>
          <w:sz w:val="32"/>
          <w:szCs w:val="32"/>
          <w:shd w:val="clear" w:color="auto" w:fill="FFFFFF"/>
        </w:rPr>
        <w:t>年度投资计划核准后，企业如需新增年度投资或重大投资项目发生变更，应履行相应手续。年度投资计划发生变化的，企业应于当年9月底前将调整后的年度投资计划报国资中心备案。</w:t>
      </w:r>
    </w:p>
    <w:p>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643" w:firstLineChars="200"/>
        <w:jc w:val="left"/>
        <w:textAlignment w:val="auto"/>
        <w:outlineLvl w:val="9"/>
        <w:rPr>
          <w:rFonts w:hint="eastAsia" w:ascii="仿宋_GB2312" w:hAnsi="仿宋_GB2312" w:eastAsia="仿宋_GB2312" w:cs="仿宋_GB2312"/>
          <w:b w:val="0"/>
          <w:bCs w:val="0"/>
          <w:sz w:val="32"/>
          <w:szCs w:val="32"/>
        </w:rPr>
      </w:pPr>
      <w:r>
        <w:rPr>
          <w:rStyle w:val="6"/>
          <w:rFonts w:hint="eastAsia" w:ascii="仿宋_GB2312" w:hAnsi="仿宋_GB2312" w:eastAsia="仿宋_GB2312" w:cs="仿宋_GB2312"/>
          <w:b/>
          <w:bCs/>
          <w:i w:val="0"/>
          <w:iCs w:val="0"/>
          <w:caps w:val="0"/>
          <w:color w:val="333333"/>
          <w:spacing w:val="0"/>
          <w:sz w:val="32"/>
          <w:szCs w:val="32"/>
          <w:shd w:val="clear" w:color="auto" w:fill="FFFFFF"/>
        </w:rPr>
        <w:t>第二十一条</w:t>
      </w:r>
      <w:r>
        <w:rPr>
          <w:rStyle w:val="6"/>
          <w:rFonts w:hint="eastAsia" w:ascii="仿宋_GB2312" w:hAnsi="仿宋_GB2312" w:eastAsia="仿宋_GB2312" w:cs="仿宋_GB2312"/>
          <w:b w:val="0"/>
          <w:bCs w:val="0"/>
          <w:i w:val="0"/>
          <w:iCs w:val="0"/>
          <w:caps w:val="0"/>
          <w:color w:val="333333"/>
          <w:spacing w:val="0"/>
          <w:sz w:val="32"/>
          <w:szCs w:val="32"/>
          <w:shd w:val="clear" w:color="auto" w:fill="FFFFFF"/>
        </w:rPr>
        <w:t> 所出资企业应做好投资项目的投资、融资、管理、退出全过程的研究论证。对新实施的投资项目，应深入进行原材料、技术、市场、财务和法律等方面的可行性研究与论证，其中股权投资项目应开展必要的尽职调查，并按要求履行资产评估或估值程序。</w:t>
      </w:r>
    </w:p>
    <w:p>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643" w:firstLineChars="200"/>
        <w:jc w:val="left"/>
        <w:textAlignment w:val="auto"/>
        <w:outlineLvl w:val="9"/>
        <w:rPr>
          <w:rFonts w:hint="eastAsia" w:ascii="仿宋_GB2312" w:hAnsi="仿宋_GB2312" w:eastAsia="仿宋_GB2312" w:cs="仿宋_GB2312"/>
          <w:b w:val="0"/>
          <w:bCs w:val="0"/>
          <w:sz w:val="32"/>
          <w:szCs w:val="32"/>
        </w:rPr>
      </w:pPr>
      <w:r>
        <w:rPr>
          <w:rStyle w:val="6"/>
          <w:rFonts w:hint="eastAsia" w:ascii="仿宋_GB2312" w:hAnsi="仿宋_GB2312" w:eastAsia="仿宋_GB2312" w:cs="仿宋_GB2312"/>
          <w:b/>
          <w:bCs/>
          <w:i w:val="0"/>
          <w:iCs w:val="0"/>
          <w:caps w:val="0"/>
          <w:color w:val="333333"/>
          <w:spacing w:val="0"/>
          <w:sz w:val="32"/>
          <w:szCs w:val="32"/>
          <w:shd w:val="clear" w:color="auto" w:fill="FFFFFF"/>
        </w:rPr>
        <w:t>第二十二条 </w:t>
      </w:r>
      <w:r>
        <w:rPr>
          <w:rStyle w:val="6"/>
          <w:rFonts w:hint="eastAsia" w:ascii="仿宋_GB2312" w:hAnsi="仿宋_GB2312" w:eastAsia="仿宋_GB2312" w:cs="仿宋_GB2312"/>
          <w:b w:val="0"/>
          <w:bCs w:val="0"/>
          <w:i w:val="0"/>
          <w:iCs w:val="0"/>
          <w:caps w:val="0"/>
          <w:color w:val="333333"/>
          <w:spacing w:val="0"/>
          <w:sz w:val="32"/>
          <w:szCs w:val="32"/>
          <w:shd w:val="clear" w:color="auto" w:fill="FFFFFF"/>
        </w:rPr>
        <w:t>对于固定资产投资事项，所出资企业履行内部决策程序后应向国资中心报送以下材料：</w:t>
      </w:r>
    </w:p>
    <w:p>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640" w:firstLineChars="200"/>
        <w:jc w:val="left"/>
        <w:textAlignment w:val="auto"/>
        <w:outlineLvl w:val="9"/>
        <w:rPr>
          <w:rFonts w:hint="eastAsia" w:ascii="仿宋_GB2312" w:hAnsi="仿宋_GB2312" w:eastAsia="仿宋_GB2312" w:cs="仿宋_GB2312"/>
          <w:b w:val="0"/>
          <w:bCs w:val="0"/>
          <w:sz w:val="32"/>
          <w:szCs w:val="32"/>
        </w:rPr>
      </w:pPr>
      <w:r>
        <w:rPr>
          <w:rFonts w:hint="eastAsia" w:ascii="仿宋_GB2312" w:hAnsi="仿宋_GB2312" w:eastAsia="仿宋_GB2312" w:cs="仿宋_GB2312"/>
          <w:b w:val="0"/>
          <w:bCs w:val="0"/>
          <w:i w:val="0"/>
          <w:iCs w:val="0"/>
          <w:caps w:val="0"/>
          <w:color w:val="333333"/>
          <w:spacing w:val="0"/>
          <w:sz w:val="32"/>
          <w:szCs w:val="32"/>
          <w:shd w:val="clear" w:color="auto" w:fill="FFFFFF"/>
        </w:rPr>
        <w:t>（一）投资项目请示或报告。包括项目概况、投资必要性及效益分析、决策程序以及其他事项；</w:t>
      </w:r>
    </w:p>
    <w:p>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640" w:firstLineChars="200"/>
        <w:jc w:val="left"/>
        <w:textAlignment w:val="auto"/>
        <w:outlineLvl w:val="9"/>
        <w:rPr>
          <w:rFonts w:hint="eastAsia" w:ascii="仿宋_GB2312" w:hAnsi="仿宋_GB2312" w:eastAsia="仿宋_GB2312" w:cs="仿宋_GB2312"/>
          <w:b w:val="0"/>
          <w:bCs w:val="0"/>
          <w:sz w:val="32"/>
          <w:szCs w:val="32"/>
        </w:rPr>
      </w:pPr>
      <w:r>
        <w:rPr>
          <w:rFonts w:hint="eastAsia" w:ascii="仿宋_GB2312" w:hAnsi="仿宋_GB2312" w:eastAsia="仿宋_GB2312" w:cs="仿宋_GB2312"/>
          <w:b w:val="0"/>
          <w:bCs w:val="0"/>
          <w:i w:val="0"/>
          <w:iCs w:val="0"/>
          <w:caps w:val="0"/>
          <w:color w:val="333333"/>
          <w:spacing w:val="0"/>
          <w:sz w:val="32"/>
          <w:szCs w:val="32"/>
          <w:shd w:val="clear" w:color="auto" w:fill="FFFFFF"/>
        </w:rPr>
        <w:t>（二）安全、环境评估以及其他项目前期工作准备情况；</w:t>
      </w:r>
    </w:p>
    <w:p>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640" w:firstLineChars="200"/>
        <w:jc w:val="left"/>
        <w:textAlignment w:val="auto"/>
        <w:outlineLvl w:val="9"/>
        <w:rPr>
          <w:rFonts w:hint="eastAsia" w:ascii="仿宋_GB2312" w:hAnsi="仿宋_GB2312" w:eastAsia="仿宋_GB2312" w:cs="仿宋_GB2312"/>
          <w:b w:val="0"/>
          <w:bCs w:val="0"/>
          <w:sz w:val="32"/>
          <w:szCs w:val="32"/>
        </w:rPr>
      </w:pPr>
      <w:r>
        <w:rPr>
          <w:rFonts w:hint="eastAsia" w:ascii="仿宋_GB2312" w:hAnsi="仿宋_GB2312" w:eastAsia="仿宋_GB2312" w:cs="仿宋_GB2312"/>
          <w:b w:val="0"/>
          <w:bCs w:val="0"/>
          <w:i w:val="0"/>
          <w:iCs w:val="0"/>
          <w:caps w:val="0"/>
          <w:color w:val="333333"/>
          <w:spacing w:val="0"/>
          <w:sz w:val="32"/>
          <w:szCs w:val="32"/>
          <w:shd w:val="clear" w:color="auto" w:fill="FFFFFF"/>
        </w:rPr>
        <w:t>（三）项目可行性研究报告及专家评审意见；</w:t>
      </w:r>
    </w:p>
    <w:p>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640" w:firstLineChars="200"/>
        <w:jc w:val="left"/>
        <w:textAlignment w:val="auto"/>
        <w:outlineLvl w:val="9"/>
        <w:rPr>
          <w:rFonts w:hint="eastAsia" w:ascii="仿宋_GB2312" w:hAnsi="仿宋_GB2312" w:eastAsia="仿宋_GB2312" w:cs="仿宋_GB2312"/>
          <w:b w:val="0"/>
          <w:bCs w:val="0"/>
          <w:sz w:val="32"/>
          <w:szCs w:val="32"/>
        </w:rPr>
      </w:pPr>
      <w:r>
        <w:rPr>
          <w:rFonts w:hint="eastAsia" w:ascii="仿宋_GB2312" w:hAnsi="仿宋_GB2312" w:eastAsia="仿宋_GB2312" w:cs="仿宋_GB2312"/>
          <w:b w:val="0"/>
          <w:bCs w:val="0"/>
          <w:i w:val="0"/>
          <w:iCs w:val="0"/>
          <w:caps w:val="0"/>
          <w:color w:val="333333"/>
          <w:spacing w:val="0"/>
          <w:sz w:val="32"/>
          <w:szCs w:val="32"/>
          <w:shd w:val="clear" w:color="auto" w:fill="FFFFFF"/>
        </w:rPr>
        <w:t>（四）企业内部决策文件。主要包括企业党组织会议、总经理办公会议纪要、董事会决议（如董事对项目有保留意见的，须提供书面材料）；</w:t>
      </w:r>
    </w:p>
    <w:p>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640" w:firstLineChars="200"/>
        <w:jc w:val="left"/>
        <w:textAlignment w:val="auto"/>
        <w:outlineLvl w:val="9"/>
        <w:rPr>
          <w:rFonts w:hint="eastAsia" w:ascii="仿宋_GB2312" w:hAnsi="仿宋_GB2312" w:eastAsia="仿宋_GB2312" w:cs="仿宋_GB2312"/>
          <w:b w:val="0"/>
          <w:bCs w:val="0"/>
          <w:sz w:val="32"/>
          <w:szCs w:val="32"/>
        </w:rPr>
      </w:pPr>
      <w:r>
        <w:rPr>
          <w:rFonts w:hint="eastAsia" w:ascii="仿宋_GB2312" w:hAnsi="仿宋_GB2312" w:eastAsia="仿宋_GB2312" w:cs="仿宋_GB2312"/>
          <w:b w:val="0"/>
          <w:bCs w:val="0"/>
          <w:i w:val="0"/>
          <w:iCs w:val="0"/>
          <w:caps w:val="0"/>
          <w:color w:val="333333"/>
          <w:spacing w:val="0"/>
          <w:sz w:val="32"/>
          <w:szCs w:val="32"/>
          <w:shd w:val="clear" w:color="auto" w:fill="FFFFFF"/>
        </w:rPr>
        <w:t>（五）国资中心认为须上报的其他材料。</w:t>
      </w:r>
    </w:p>
    <w:p>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640" w:firstLineChars="200"/>
        <w:jc w:val="left"/>
        <w:textAlignment w:val="auto"/>
        <w:outlineLvl w:val="9"/>
        <w:rPr>
          <w:rFonts w:hint="eastAsia" w:ascii="仿宋_GB2312" w:hAnsi="仿宋_GB2312" w:eastAsia="仿宋_GB2312" w:cs="仿宋_GB2312"/>
          <w:b w:val="0"/>
          <w:bCs w:val="0"/>
          <w:sz w:val="32"/>
          <w:szCs w:val="32"/>
        </w:rPr>
      </w:pPr>
      <w:r>
        <w:rPr>
          <w:rFonts w:hint="eastAsia" w:ascii="仿宋_GB2312" w:hAnsi="仿宋_GB2312" w:eastAsia="仿宋_GB2312" w:cs="仿宋_GB2312"/>
          <w:b w:val="0"/>
          <w:bCs w:val="0"/>
          <w:i w:val="0"/>
          <w:iCs w:val="0"/>
          <w:caps w:val="0"/>
          <w:color w:val="333333"/>
          <w:spacing w:val="0"/>
          <w:sz w:val="32"/>
          <w:szCs w:val="32"/>
          <w:shd w:val="clear" w:color="auto" w:fill="FFFFFF"/>
        </w:rPr>
        <w:t>备案事项可不提供（三）项材料。</w:t>
      </w:r>
    </w:p>
    <w:p>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643" w:firstLineChars="200"/>
        <w:jc w:val="left"/>
        <w:textAlignment w:val="auto"/>
        <w:outlineLvl w:val="9"/>
        <w:rPr>
          <w:rFonts w:hint="eastAsia" w:ascii="仿宋_GB2312" w:hAnsi="仿宋_GB2312" w:eastAsia="仿宋_GB2312" w:cs="仿宋_GB2312"/>
          <w:b w:val="0"/>
          <w:bCs w:val="0"/>
          <w:sz w:val="32"/>
          <w:szCs w:val="32"/>
        </w:rPr>
      </w:pPr>
      <w:r>
        <w:rPr>
          <w:rStyle w:val="6"/>
          <w:rFonts w:hint="eastAsia" w:ascii="仿宋_GB2312" w:hAnsi="仿宋_GB2312" w:eastAsia="仿宋_GB2312" w:cs="仿宋_GB2312"/>
          <w:b/>
          <w:bCs/>
          <w:i w:val="0"/>
          <w:iCs w:val="0"/>
          <w:caps w:val="0"/>
          <w:color w:val="333333"/>
          <w:spacing w:val="0"/>
          <w:sz w:val="32"/>
          <w:szCs w:val="32"/>
          <w:shd w:val="clear" w:color="auto" w:fill="FFFFFF"/>
        </w:rPr>
        <w:t>第二十三条</w:t>
      </w:r>
      <w:r>
        <w:rPr>
          <w:rStyle w:val="6"/>
          <w:rFonts w:hint="eastAsia" w:ascii="仿宋_GB2312" w:hAnsi="仿宋_GB2312" w:eastAsia="仿宋_GB2312" w:cs="仿宋_GB2312"/>
          <w:b w:val="0"/>
          <w:bCs w:val="0"/>
          <w:i w:val="0"/>
          <w:iCs w:val="0"/>
          <w:caps w:val="0"/>
          <w:color w:val="333333"/>
          <w:spacing w:val="0"/>
          <w:sz w:val="32"/>
          <w:szCs w:val="32"/>
          <w:shd w:val="clear" w:color="auto" w:fill="FFFFFF"/>
        </w:rPr>
        <w:t> 对于股权投资事项，所出资企业履行内部决策程序后应向国资中心报送以下材料：</w:t>
      </w:r>
    </w:p>
    <w:p>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640" w:firstLineChars="200"/>
        <w:jc w:val="left"/>
        <w:textAlignment w:val="auto"/>
        <w:outlineLvl w:val="9"/>
        <w:rPr>
          <w:rFonts w:hint="eastAsia" w:ascii="仿宋_GB2312" w:hAnsi="仿宋_GB2312" w:eastAsia="仿宋_GB2312" w:cs="仿宋_GB2312"/>
          <w:b w:val="0"/>
          <w:bCs w:val="0"/>
          <w:sz w:val="32"/>
          <w:szCs w:val="32"/>
        </w:rPr>
      </w:pPr>
      <w:r>
        <w:rPr>
          <w:rFonts w:hint="eastAsia" w:ascii="仿宋_GB2312" w:hAnsi="仿宋_GB2312" w:eastAsia="仿宋_GB2312" w:cs="仿宋_GB2312"/>
          <w:b w:val="0"/>
          <w:bCs w:val="0"/>
          <w:i w:val="0"/>
          <w:iCs w:val="0"/>
          <w:caps w:val="0"/>
          <w:color w:val="333333"/>
          <w:spacing w:val="0"/>
          <w:sz w:val="32"/>
          <w:szCs w:val="32"/>
          <w:shd w:val="clear" w:color="auto" w:fill="FFFFFF"/>
        </w:rPr>
        <w:t>（一）股权投资请示或报告。内容包括投资必要性及效益分析（经济效益、社会效益、生态效益等）、资金来源、决策程序（企业党委&lt;党组&gt;会、董事会和总经理办公会）以及其他事项；</w:t>
      </w:r>
    </w:p>
    <w:p>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640" w:firstLineChars="200"/>
        <w:jc w:val="left"/>
        <w:textAlignment w:val="auto"/>
        <w:outlineLvl w:val="9"/>
        <w:rPr>
          <w:rFonts w:hint="eastAsia" w:ascii="仿宋_GB2312" w:hAnsi="仿宋_GB2312" w:eastAsia="仿宋_GB2312" w:cs="仿宋_GB2312"/>
          <w:b w:val="0"/>
          <w:bCs w:val="0"/>
          <w:sz w:val="32"/>
          <w:szCs w:val="32"/>
        </w:rPr>
      </w:pPr>
      <w:r>
        <w:rPr>
          <w:rFonts w:hint="eastAsia" w:ascii="仿宋_GB2312" w:hAnsi="仿宋_GB2312" w:eastAsia="仿宋_GB2312" w:cs="仿宋_GB2312"/>
          <w:b w:val="0"/>
          <w:bCs w:val="0"/>
          <w:i w:val="0"/>
          <w:iCs w:val="0"/>
          <w:caps w:val="0"/>
          <w:color w:val="333333"/>
          <w:spacing w:val="0"/>
          <w:sz w:val="32"/>
          <w:szCs w:val="32"/>
          <w:shd w:val="clear" w:color="auto" w:fill="FFFFFF"/>
        </w:rPr>
        <w:t>（二）可行性研究报告；</w:t>
      </w:r>
    </w:p>
    <w:p>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640" w:firstLineChars="200"/>
        <w:jc w:val="left"/>
        <w:textAlignment w:val="auto"/>
        <w:outlineLvl w:val="9"/>
        <w:rPr>
          <w:rFonts w:hint="eastAsia" w:ascii="仿宋_GB2312" w:hAnsi="仿宋_GB2312" w:eastAsia="仿宋_GB2312" w:cs="仿宋_GB2312"/>
          <w:b w:val="0"/>
          <w:bCs w:val="0"/>
          <w:sz w:val="32"/>
          <w:szCs w:val="32"/>
        </w:rPr>
      </w:pPr>
      <w:r>
        <w:rPr>
          <w:rFonts w:hint="eastAsia" w:ascii="仿宋_GB2312" w:hAnsi="仿宋_GB2312" w:eastAsia="仿宋_GB2312" w:cs="仿宋_GB2312"/>
          <w:b w:val="0"/>
          <w:bCs w:val="0"/>
          <w:i w:val="0"/>
          <w:iCs w:val="0"/>
          <w:caps w:val="0"/>
          <w:color w:val="333333"/>
          <w:spacing w:val="0"/>
          <w:sz w:val="32"/>
          <w:szCs w:val="32"/>
          <w:shd w:val="clear" w:color="auto" w:fill="FFFFFF"/>
        </w:rPr>
        <w:t>（三）相关方内部决策文件；</w:t>
      </w:r>
    </w:p>
    <w:p>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640" w:firstLineChars="200"/>
        <w:jc w:val="left"/>
        <w:textAlignment w:val="auto"/>
        <w:outlineLvl w:val="9"/>
        <w:rPr>
          <w:rFonts w:hint="eastAsia" w:ascii="仿宋_GB2312" w:hAnsi="仿宋_GB2312" w:eastAsia="仿宋_GB2312" w:cs="仿宋_GB2312"/>
          <w:b w:val="0"/>
          <w:bCs w:val="0"/>
          <w:sz w:val="32"/>
          <w:szCs w:val="32"/>
        </w:rPr>
      </w:pPr>
      <w:r>
        <w:rPr>
          <w:rFonts w:hint="eastAsia" w:ascii="仿宋_GB2312" w:hAnsi="仿宋_GB2312" w:eastAsia="仿宋_GB2312" w:cs="仿宋_GB2312"/>
          <w:b w:val="0"/>
          <w:bCs w:val="0"/>
          <w:i w:val="0"/>
          <w:iCs w:val="0"/>
          <w:caps w:val="0"/>
          <w:color w:val="333333"/>
          <w:spacing w:val="0"/>
          <w:sz w:val="32"/>
          <w:szCs w:val="32"/>
          <w:shd w:val="clear" w:color="auto" w:fill="FFFFFF"/>
        </w:rPr>
        <w:t>（四）标的企业近一年的审计报告；</w:t>
      </w:r>
    </w:p>
    <w:p>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640" w:firstLineChars="200"/>
        <w:jc w:val="left"/>
        <w:textAlignment w:val="auto"/>
        <w:outlineLvl w:val="9"/>
        <w:rPr>
          <w:rFonts w:hint="eastAsia" w:ascii="仿宋_GB2312" w:hAnsi="仿宋_GB2312" w:eastAsia="仿宋_GB2312" w:cs="仿宋_GB2312"/>
          <w:b w:val="0"/>
          <w:bCs w:val="0"/>
          <w:sz w:val="32"/>
          <w:szCs w:val="32"/>
        </w:rPr>
      </w:pPr>
      <w:r>
        <w:rPr>
          <w:rFonts w:hint="eastAsia" w:ascii="仿宋_GB2312" w:hAnsi="仿宋_GB2312" w:eastAsia="仿宋_GB2312" w:cs="仿宋_GB2312"/>
          <w:b w:val="0"/>
          <w:bCs w:val="0"/>
          <w:i w:val="0"/>
          <w:iCs w:val="0"/>
          <w:caps w:val="0"/>
          <w:color w:val="333333"/>
          <w:spacing w:val="0"/>
          <w:sz w:val="32"/>
          <w:szCs w:val="32"/>
          <w:shd w:val="clear" w:color="auto" w:fill="FFFFFF"/>
        </w:rPr>
        <w:t>（五）企业（股权投资方）最近一期经审计的财务报告；</w:t>
      </w:r>
    </w:p>
    <w:p>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640" w:firstLineChars="200"/>
        <w:jc w:val="left"/>
        <w:textAlignment w:val="auto"/>
        <w:outlineLvl w:val="9"/>
        <w:rPr>
          <w:rFonts w:hint="eastAsia" w:ascii="仿宋_GB2312" w:hAnsi="仿宋_GB2312" w:eastAsia="仿宋_GB2312" w:cs="仿宋_GB2312"/>
          <w:b w:val="0"/>
          <w:bCs w:val="0"/>
          <w:sz w:val="32"/>
          <w:szCs w:val="32"/>
        </w:rPr>
      </w:pPr>
      <w:r>
        <w:rPr>
          <w:rFonts w:hint="eastAsia" w:ascii="仿宋_GB2312" w:hAnsi="仿宋_GB2312" w:eastAsia="仿宋_GB2312" w:cs="仿宋_GB2312"/>
          <w:b w:val="0"/>
          <w:bCs w:val="0"/>
          <w:i w:val="0"/>
          <w:iCs w:val="0"/>
          <w:caps w:val="0"/>
          <w:color w:val="333333"/>
          <w:spacing w:val="0"/>
          <w:sz w:val="32"/>
          <w:szCs w:val="32"/>
          <w:shd w:val="clear" w:color="auto" w:fill="FFFFFF"/>
        </w:rPr>
        <w:t>（六）尽职调查报告（包括财务、法律、安全、环保等）；</w:t>
      </w:r>
    </w:p>
    <w:p>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640" w:firstLineChars="200"/>
        <w:jc w:val="left"/>
        <w:textAlignment w:val="auto"/>
        <w:outlineLvl w:val="9"/>
        <w:rPr>
          <w:rFonts w:hint="eastAsia" w:ascii="仿宋_GB2312" w:hAnsi="仿宋_GB2312" w:eastAsia="仿宋_GB2312" w:cs="仿宋_GB2312"/>
          <w:b w:val="0"/>
          <w:bCs w:val="0"/>
          <w:sz w:val="32"/>
          <w:szCs w:val="32"/>
        </w:rPr>
      </w:pPr>
      <w:r>
        <w:rPr>
          <w:rFonts w:hint="eastAsia" w:ascii="仿宋_GB2312" w:hAnsi="仿宋_GB2312" w:eastAsia="仿宋_GB2312" w:cs="仿宋_GB2312"/>
          <w:b w:val="0"/>
          <w:bCs w:val="0"/>
          <w:i w:val="0"/>
          <w:iCs w:val="0"/>
          <w:caps w:val="0"/>
          <w:color w:val="333333"/>
          <w:spacing w:val="0"/>
          <w:sz w:val="32"/>
          <w:szCs w:val="32"/>
          <w:shd w:val="clear" w:color="auto" w:fill="FFFFFF"/>
        </w:rPr>
        <w:t>（七）出资协议文本或收购（受让）股权协议（合同）；</w:t>
      </w:r>
    </w:p>
    <w:p>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640" w:firstLineChars="200"/>
        <w:jc w:val="left"/>
        <w:textAlignment w:val="auto"/>
        <w:outlineLvl w:val="9"/>
        <w:rPr>
          <w:rFonts w:hint="eastAsia" w:ascii="仿宋_GB2312" w:hAnsi="仿宋_GB2312" w:eastAsia="仿宋_GB2312" w:cs="仿宋_GB2312"/>
          <w:b w:val="0"/>
          <w:bCs w:val="0"/>
          <w:sz w:val="32"/>
          <w:szCs w:val="32"/>
        </w:rPr>
      </w:pPr>
      <w:r>
        <w:rPr>
          <w:rFonts w:hint="eastAsia" w:ascii="仿宋_GB2312" w:hAnsi="仿宋_GB2312" w:eastAsia="仿宋_GB2312" w:cs="仿宋_GB2312"/>
          <w:b w:val="0"/>
          <w:bCs w:val="0"/>
          <w:i w:val="0"/>
          <w:iCs w:val="0"/>
          <w:caps w:val="0"/>
          <w:color w:val="333333"/>
          <w:spacing w:val="0"/>
          <w:sz w:val="32"/>
          <w:szCs w:val="32"/>
          <w:shd w:val="clear" w:color="auto" w:fill="FFFFFF"/>
        </w:rPr>
        <w:t>（八）相关方的资产评估报告，或资产评估核准备案文件；</w:t>
      </w:r>
    </w:p>
    <w:p>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640" w:firstLineChars="200"/>
        <w:jc w:val="left"/>
        <w:textAlignment w:val="auto"/>
        <w:outlineLvl w:val="9"/>
        <w:rPr>
          <w:rFonts w:hint="eastAsia" w:ascii="仿宋_GB2312" w:hAnsi="仿宋_GB2312" w:eastAsia="仿宋_GB2312" w:cs="仿宋_GB2312"/>
          <w:b w:val="0"/>
          <w:bCs w:val="0"/>
          <w:sz w:val="32"/>
          <w:szCs w:val="32"/>
        </w:rPr>
      </w:pPr>
      <w:r>
        <w:rPr>
          <w:rFonts w:hint="eastAsia" w:ascii="仿宋_GB2312" w:hAnsi="仿宋_GB2312" w:eastAsia="仿宋_GB2312" w:cs="仿宋_GB2312"/>
          <w:b w:val="0"/>
          <w:bCs w:val="0"/>
          <w:i w:val="0"/>
          <w:iCs w:val="0"/>
          <w:caps w:val="0"/>
          <w:color w:val="333333"/>
          <w:spacing w:val="0"/>
          <w:sz w:val="32"/>
          <w:szCs w:val="32"/>
          <w:shd w:val="clear" w:color="auto" w:fill="FFFFFF"/>
        </w:rPr>
        <w:t>（九）法律意见书；</w:t>
      </w:r>
    </w:p>
    <w:p>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640" w:firstLineChars="200"/>
        <w:jc w:val="left"/>
        <w:textAlignment w:val="auto"/>
        <w:outlineLvl w:val="9"/>
        <w:rPr>
          <w:rFonts w:hint="eastAsia" w:ascii="仿宋_GB2312" w:hAnsi="仿宋_GB2312" w:eastAsia="仿宋_GB2312" w:cs="仿宋_GB2312"/>
          <w:b w:val="0"/>
          <w:bCs w:val="0"/>
          <w:sz w:val="32"/>
          <w:szCs w:val="32"/>
        </w:rPr>
      </w:pPr>
      <w:r>
        <w:rPr>
          <w:rFonts w:hint="eastAsia" w:ascii="仿宋_GB2312" w:hAnsi="仿宋_GB2312" w:eastAsia="仿宋_GB2312" w:cs="仿宋_GB2312"/>
          <w:b w:val="0"/>
          <w:bCs w:val="0"/>
          <w:i w:val="0"/>
          <w:iCs w:val="0"/>
          <w:caps w:val="0"/>
          <w:color w:val="333333"/>
          <w:spacing w:val="0"/>
          <w:sz w:val="32"/>
          <w:szCs w:val="32"/>
          <w:shd w:val="clear" w:color="auto" w:fill="FFFFFF"/>
        </w:rPr>
        <w:t>（十）国资中心认为须上报的其他材料。</w:t>
      </w:r>
    </w:p>
    <w:p>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640" w:firstLineChars="200"/>
        <w:jc w:val="left"/>
        <w:textAlignment w:val="auto"/>
        <w:outlineLvl w:val="9"/>
        <w:rPr>
          <w:rFonts w:hint="eastAsia" w:ascii="仿宋_GB2312" w:hAnsi="仿宋_GB2312" w:eastAsia="仿宋_GB2312" w:cs="仿宋_GB2312"/>
          <w:b w:val="0"/>
          <w:bCs w:val="0"/>
          <w:sz w:val="32"/>
          <w:szCs w:val="32"/>
        </w:rPr>
      </w:pPr>
      <w:r>
        <w:rPr>
          <w:rFonts w:hint="eastAsia" w:ascii="仿宋_GB2312" w:hAnsi="仿宋_GB2312" w:eastAsia="仿宋_GB2312" w:cs="仿宋_GB2312"/>
          <w:b w:val="0"/>
          <w:bCs w:val="0"/>
          <w:i w:val="0"/>
          <w:iCs w:val="0"/>
          <w:caps w:val="0"/>
          <w:color w:val="333333"/>
          <w:spacing w:val="0"/>
          <w:sz w:val="32"/>
          <w:szCs w:val="32"/>
          <w:shd w:val="clear" w:color="auto" w:fill="FFFFFF"/>
        </w:rPr>
        <w:t>企业新设独资子企业的，无须提供本条第（四）、（六）、（七）、（八）项涉及资料；新设全资、合资子企业的，无须提供本条第（四）、（六）、（八）项涉及资料。</w:t>
      </w:r>
    </w:p>
    <w:p>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643" w:firstLineChars="200"/>
        <w:jc w:val="left"/>
        <w:textAlignment w:val="auto"/>
        <w:outlineLvl w:val="9"/>
        <w:rPr>
          <w:rFonts w:hint="eastAsia" w:ascii="仿宋_GB2312" w:hAnsi="仿宋_GB2312" w:eastAsia="仿宋_GB2312" w:cs="仿宋_GB2312"/>
          <w:b w:val="0"/>
          <w:bCs w:val="0"/>
          <w:sz w:val="32"/>
          <w:szCs w:val="32"/>
        </w:rPr>
      </w:pPr>
      <w:r>
        <w:rPr>
          <w:rStyle w:val="6"/>
          <w:rFonts w:hint="eastAsia" w:ascii="仿宋_GB2312" w:hAnsi="仿宋_GB2312" w:eastAsia="仿宋_GB2312" w:cs="仿宋_GB2312"/>
          <w:b/>
          <w:bCs/>
          <w:i w:val="0"/>
          <w:iCs w:val="0"/>
          <w:caps w:val="0"/>
          <w:color w:val="333333"/>
          <w:spacing w:val="0"/>
          <w:sz w:val="32"/>
          <w:szCs w:val="32"/>
          <w:shd w:val="clear" w:color="auto" w:fill="FFFFFF"/>
        </w:rPr>
        <w:t>第二十四条</w:t>
      </w:r>
      <w:r>
        <w:rPr>
          <w:rStyle w:val="6"/>
          <w:rFonts w:hint="eastAsia" w:ascii="仿宋_GB2312" w:hAnsi="仿宋_GB2312" w:eastAsia="仿宋_GB2312" w:cs="仿宋_GB2312"/>
          <w:b w:val="0"/>
          <w:bCs w:val="0"/>
          <w:i w:val="0"/>
          <w:iCs w:val="0"/>
          <w:caps w:val="0"/>
          <w:color w:val="333333"/>
          <w:spacing w:val="0"/>
          <w:sz w:val="32"/>
          <w:szCs w:val="32"/>
          <w:shd w:val="clear" w:color="auto" w:fill="FFFFFF"/>
        </w:rPr>
        <w:t> 对于金融及其他投资事项，所出资企业履行内部决策程序后应向国资中心报送以下材料：</w:t>
      </w:r>
    </w:p>
    <w:p>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640" w:firstLineChars="200"/>
        <w:jc w:val="left"/>
        <w:textAlignment w:val="auto"/>
        <w:outlineLvl w:val="9"/>
        <w:rPr>
          <w:rFonts w:hint="eastAsia" w:ascii="仿宋_GB2312" w:hAnsi="仿宋_GB2312" w:eastAsia="仿宋_GB2312" w:cs="仿宋_GB2312"/>
          <w:b w:val="0"/>
          <w:bCs w:val="0"/>
          <w:sz w:val="32"/>
          <w:szCs w:val="32"/>
        </w:rPr>
      </w:pPr>
      <w:r>
        <w:rPr>
          <w:rFonts w:hint="eastAsia" w:ascii="仿宋_GB2312" w:hAnsi="仿宋_GB2312" w:eastAsia="仿宋_GB2312" w:cs="仿宋_GB2312"/>
          <w:b w:val="0"/>
          <w:bCs w:val="0"/>
          <w:i w:val="0"/>
          <w:iCs w:val="0"/>
          <w:caps w:val="0"/>
          <w:color w:val="333333"/>
          <w:spacing w:val="0"/>
          <w:sz w:val="32"/>
          <w:szCs w:val="32"/>
          <w:shd w:val="clear" w:color="auto" w:fill="FFFFFF"/>
        </w:rPr>
        <w:t>（一）有关金融及其他投资事项的请示；</w:t>
      </w:r>
    </w:p>
    <w:p>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640" w:firstLineChars="200"/>
        <w:jc w:val="left"/>
        <w:textAlignment w:val="auto"/>
        <w:outlineLvl w:val="9"/>
        <w:rPr>
          <w:rFonts w:hint="eastAsia" w:ascii="仿宋_GB2312" w:hAnsi="仿宋_GB2312" w:eastAsia="仿宋_GB2312" w:cs="仿宋_GB2312"/>
          <w:b w:val="0"/>
          <w:bCs w:val="0"/>
          <w:sz w:val="32"/>
          <w:szCs w:val="32"/>
        </w:rPr>
      </w:pPr>
      <w:r>
        <w:rPr>
          <w:rFonts w:hint="eastAsia" w:ascii="仿宋_GB2312" w:hAnsi="仿宋_GB2312" w:eastAsia="仿宋_GB2312" w:cs="仿宋_GB2312"/>
          <w:b w:val="0"/>
          <w:bCs w:val="0"/>
          <w:i w:val="0"/>
          <w:iCs w:val="0"/>
          <w:caps w:val="0"/>
          <w:color w:val="333333"/>
          <w:spacing w:val="0"/>
          <w:sz w:val="32"/>
          <w:szCs w:val="32"/>
          <w:shd w:val="clear" w:color="auto" w:fill="FFFFFF"/>
        </w:rPr>
        <w:t>（二）企业内部决策文件；</w:t>
      </w:r>
    </w:p>
    <w:p>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640" w:firstLineChars="200"/>
        <w:jc w:val="left"/>
        <w:textAlignment w:val="auto"/>
        <w:outlineLvl w:val="9"/>
        <w:rPr>
          <w:rFonts w:hint="eastAsia" w:ascii="仿宋_GB2312" w:hAnsi="仿宋_GB2312" w:eastAsia="仿宋_GB2312" w:cs="仿宋_GB2312"/>
          <w:b w:val="0"/>
          <w:bCs w:val="0"/>
          <w:sz w:val="32"/>
          <w:szCs w:val="32"/>
        </w:rPr>
      </w:pPr>
      <w:r>
        <w:rPr>
          <w:rFonts w:hint="eastAsia" w:ascii="仿宋_GB2312" w:hAnsi="仿宋_GB2312" w:eastAsia="仿宋_GB2312" w:cs="仿宋_GB2312"/>
          <w:b w:val="0"/>
          <w:bCs w:val="0"/>
          <w:i w:val="0"/>
          <w:iCs w:val="0"/>
          <w:caps w:val="0"/>
          <w:color w:val="333333"/>
          <w:spacing w:val="0"/>
          <w:sz w:val="32"/>
          <w:szCs w:val="32"/>
          <w:shd w:val="clear" w:color="auto" w:fill="FFFFFF"/>
        </w:rPr>
        <w:t>（三）可行性研究报告或投资必要性说明；</w:t>
      </w:r>
    </w:p>
    <w:p>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640" w:firstLineChars="200"/>
        <w:jc w:val="left"/>
        <w:textAlignment w:val="auto"/>
        <w:outlineLvl w:val="9"/>
        <w:rPr>
          <w:rFonts w:hint="eastAsia" w:ascii="仿宋_GB2312" w:hAnsi="仿宋_GB2312" w:eastAsia="仿宋_GB2312" w:cs="仿宋_GB2312"/>
          <w:b w:val="0"/>
          <w:bCs w:val="0"/>
          <w:sz w:val="32"/>
          <w:szCs w:val="32"/>
        </w:rPr>
      </w:pPr>
      <w:r>
        <w:rPr>
          <w:rFonts w:hint="eastAsia" w:ascii="仿宋_GB2312" w:hAnsi="仿宋_GB2312" w:eastAsia="仿宋_GB2312" w:cs="仿宋_GB2312"/>
          <w:b w:val="0"/>
          <w:bCs w:val="0"/>
          <w:i w:val="0"/>
          <w:iCs w:val="0"/>
          <w:caps w:val="0"/>
          <w:color w:val="333333"/>
          <w:spacing w:val="0"/>
          <w:sz w:val="32"/>
          <w:szCs w:val="32"/>
          <w:shd w:val="clear" w:color="auto" w:fill="FFFFFF"/>
        </w:rPr>
        <w:t>（四）国资中心认为须上报的其他材料。</w:t>
      </w:r>
    </w:p>
    <w:p>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643" w:firstLineChars="200"/>
        <w:jc w:val="left"/>
        <w:textAlignment w:val="auto"/>
        <w:outlineLvl w:val="9"/>
        <w:rPr>
          <w:rFonts w:hint="eastAsia" w:ascii="仿宋_GB2312" w:hAnsi="仿宋_GB2312" w:eastAsia="仿宋_GB2312" w:cs="仿宋_GB2312"/>
          <w:b w:val="0"/>
          <w:bCs w:val="0"/>
          <w:sz w:val="32"/>
          <w:szCs w:val="32"/>
        </w:rPr>
      </w:pPr>
      <w:r>
        <w:rPr>
          <w:rStyle w:val="6"/>
          <w:rFonts w:hint="eastAsia" w:ascii="仿宋_GB2312" w:hAnsi="仿宋_GB2312" w:eastAsia="仿宋_GB2312" w:cs="仿宋_GB2312"/>
          <w:b/>
          <w:bCs/>
          <w:i w:val="0"/>
          <w:iCs w:val="0"/>
          <w:caps w:val="0"/>
          <w:color w:val="333333"/>
          <w:spacing w:val="0"/>
          <w:sz w:val="32"/>
          <w:szCs w:val="32"/>
          <w:shd w:val="clear" w:color="auto" w:fill="FFFFFF"/>
        </w:rPr>
        <w:t>第二十五条</w:t>
      </w:r>
      <w:r>
        <w:rPr>
          <w:rStyle w:val="6"/>
          <w:rFonts w:hint="eastAsia" w:ascii="仿宋_GB2312" w:hAnsi="仿宋_GB2312" w:eastAsia="仿宋_GB2312" w:cs="仿宋_GB2312"/>
          <w:b w:val="0"/>
          <w:bCs w:val="0"/>
          <w:i w:val="0"/>
          <w:iCs w:val="0"/>
          <w:caps w:val="0"/>
          <w:color w:val="333333"/>
          <w:spacing w:val="0"/>
          <w:sz w:val="32"/>
          <w:szCs w:val="32"/>
          <w:shd w:val="clear" w:color="auto" w:fill="FFFFFF"/>
        </w:rPr>
        <w:t> 所出资企业应强化投资项目过程管理，对实施、运营中的投资项目进行跟踪分析，针对外部环境和项目本身情况变化，及时再决策。如出现重大不利变化时，应研究适时启动中止、终止或退出机制。投资项目实施过程中出现下列情形的，企业应当重新履行内部决策程序后再报请国资中心审批或核准。</w:t>
      </w:r>
    </w:p>
    <w:p>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640" w:firstLineChars="200"/>
        <w:jc w:val="left"/>
        <w:textAlignment w:val="auto"/>
        <w:outlineLvl w:val="9"/>
        <w:rPr>
          <w:rFonts w:hint="eastAsia" w:ascii="仿宋_GB2312" w:hAnsi="仿宋_GB2312" w:eastAsia="仿宋_GB2312" w:cs="仿宋_GB2312"/>
          <w:b w:val="0"/>
          <w:bCs w:val="0"/>
          <w:sz w:val="32"/>
          <w:szCs w:val="32"/>
        </w:rPr>
      </w:pPr>
      <w:r>
        <w:rPr>
          <w:rFonts w:hint="eastAsia" w:ascii="仿宋_GB2312" w:hAnsi="仿宋_GB2312" w:eastAsia="仿宋_GB2312" w:cs="仿宋_GB2312"/>
          <w:b w:val="0"/>
          <w:bCs w:val="0"/>
          <w:i w:val="0"/>
          <w:iCs w:val="0"/>
          <w:caps w:val="0"/>
          <w:color w:val="333333"/>
          <w:spacing w:val="0"/>
          <w:sz w:val="32"/>
          <w:szCs w:val="32"/>
          <w:shd w:val="clear" w:color="auto" w:fill="FFFFFF"/>
        </w:rPr>
        <w:t>（一）对投资额、资金来源及构成进行重大调整，直接导致企业负债过高，超出企业承受能力或影响企业正常发展的；</w:t>
      </w:r>
    </w:p>
    <w:p>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640" w:firstLineChars="200"/>
        <w:jc w:val="left"/>
        <w:textAlignment w:val="auto"/>
        <w:outlineLvl w:val="9"/>
        <w:rPr>
          <w:rFonts w:hint="eastAsia" w:ascii="仿宋_GB2312" w:hAnsi="仿宋_GB2312" w:eastAsia="仿宋_GB2312" w:cs="仿宋_GB2312"/>
          <w:b w:val="0"/>
          <w:bCs w:val="0"/>
          <w:sz w:val="32"/>
          <w:szCs w:val="32"/>
        </w:rPr>
      </w:pPr>
      <w:r>
        <w:rPr>
          <w:rFonts w:hint="eastAsia" w:ascii="仿宋_GB2312" w:hAnsi="仿宋_GB2312" w:eastAsia="仿宋_GB2312" w:cs="仿宋_GB2312"/>
          <w:b w:val="0"/>
          <w:bCs w:val="0"/>
          <w:i w:val="0"/>
          <w:iCs w:val="0"/>
          <w:caps w:val="0"/>
          <w:color w:val="333333"/>
          <w:spacing w:val="0"/>
          <w:sz w:val="32"/>
          <w:szCs w:val="32"/>
          <w:shd w:val="clear" w:color="auto" w:fill="FFFFFF"/>
        </w:rPr>
        <w:t>（二）项目投资预算（企业上报备案或核准的投资金额）调整幅度超过10%的；</w:t>
      </w:r>
    </w:p>
    <w:p>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640" w:firstLineChars="200"/>
        <w:jc w:val="left"/>
        <w:textAlignment w:val="auto"/>
        <w:outlineLvl w:val="9"/>
        <w:rPr>
          <w:rFonts w:hint="eastAsia" w:ascii="仿宋_GB2312" w:hAnsi="仿宋_GB2312" w:eastAsia="仿宋_GB2312" w:cs="仿宋_GB2312"/>
          <w:b w:val="0"/>
          <w:bCs w:val="0"/>
          <w:sz w:val="32"/>
          <w:szCs w:val="32"/>
        </w:rPr>
      </w:pPr>
      <w:r>
        <w:rPr>
          <w:rFonts w:hint="eastAsia" w:ascii="仿宋_GB2312" w:hAnsi="仿宋_GB2312" w:eastAsia="仿宋_GB2312" w:cs="仿宋_GB2312"/>
          <w:b w:val="0"/>
          <w:bCs w:val="0"/>
          <w:i w:val="0"/>
          <w:iCs w:val="0"/>
          <w:caps w:val="0"/>
          <w:color w:val="333333"/>
          <w:spacing w:val="0"/>
          <w:sz w:val="32"/>
          <w:szCs w:val="32"/>
          <w:shd w:val="clear" w:color="auto" w:fill="FFFFFF"/>
        </w:rPr>
        <w:t>（三）股权结构发生重大变化，导致企业控制权转移的；</w:t>
      </w:r>
    </w:p>
    <w:p>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640" w:firstLineChars="200"/>
        <w:jc w:val="left"/>
        <w:textAlignment w:val="auto"/>
        <w:outlineLvl w:val="9"/>
        <w:rPr>
          <w:rFonts w:hint="eastAsia" w:ascii="仿宋_GB2312" w:hAnsi="仿宋_GB2312" w:eastAsia="仿宋_GB2312" w:cs="仿宋_GB2312"/>
          <w:b w:val="0"/>
          <w:bCs w:val="0"/>
          <w:sz w:val="32"/>
          <w:szCs w:val="32"/>
        </w:rPr>
      </w:pPr>
      <w:r>
        <w:rPr>
          <w:rFonts w:hint="eastAsia" w:ascii="仿宋_GB2312" w:hAnsi="仿宋_GB2312" w:eastAsia="仿宋_GB2312" w:cs="仿宋_GB2312"/>
          <w:b w:val="0"/>
          <w:bCs w:val="0"/>
          <w:i w:val="0"/>
          <w:iCs w:val="0"/>
          <w:caps w:val="0"/>
          <w:color w:val="333333"/>
          <w:spacing w:val="0"/>
          <w:sz w:val="32"/>
          <w:szCs w:val="32"/>
          <w:shd w:val="clear" w:color="auto" w:fill="FFFFFF"/>
        </w:rPr>
        <w:t>（四）投资合作方违约，严重损害出资人权益的；</w:t>
      </w:r>
    </w:p>
    <w:p>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640" w:firstLineChars="200"/>
        <w:jc w:val="left"/>
        <w:textAlignment w:val="auto"/>
        <w:outlineLvl w:val="9"/>
        <w:rPr>
          <w:rFonts w:hint="eastAsia" w:ascii="仿宋_GB2312" w:hAnsi="仿宋_GB2312" w:eastAsia="仿宋_GB2312" w:cs="仿宋_GB2312"/>
          <w:b w:val="0"/>
          <w:bCs w:val="0"/>
          <w:sz w:val="32"/>
          <w:szCs w:val="32"/>
        </w:rPr>
      </w:pPr>
      <w:r>
        <w:rPr>
          <w:rFonts w:hint="eastAsia" w:ascii="仿宋_GB2312" w:hAnsi="仿宋_GB2312" w:eastAsia="仿宋_GB2312" w:cs="仿宋_GB2312"/>
          <w:b w:val="0"/>
          <w:bCs w:val="0"/>
          <w:i w:val="0"/>
          <w:iCs w:val="0"/>
          <w:caps w:val="0"/>
          <w:color w:val="333333"/>
          <w:spacing w:val="0"/>
          <w:sz w:val="32"/>
          <w:szCs w:val="32"/>
          <w:shd w:val="clear" w:color="auto" w:fill="FFFFFF"/>
        </w:rPr>
        <w:t>（五）按照有关管理规定，需报告国资中心的其他重大投资事项。</w:t>
      </w:r>
    </w:p>
    <w:p>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643" w:firstLineChars="200"/>
        <w:jc w:val="left"/>
        <w:textAlignment w:val="auto"/>
        <w:outlineLvl w:val="9"/>
        <w:rPr>
          <w:rFonts w:hint="eastAsia" w:ascii="仿宋_GB2312" w:hAnsi="仿宋_GB2312" w:eastAsia="仿宋_GB2312" w:cs="仿宋_GB2312"/>
          <w:b w:val="0"/>
          <w:bCs w:val="0"/>
          <w:sz w:val="32"/>
          <w:szCs w:val="32"/>
        </w:rPr>
      </w:pPr>
      <w:r>
        <w:rPr>
          <w:rStyle w:val="6"/>
          <w:rFonts w:hint="eastAsia" w:ascii="仿宋_GB2312" w:hAnsi="仿宋_GB2312" w:eastAsia="仿宋_GB2312" w:cs="仿宋_GB2312"/>
          <w:b/>
          <w:bCs/>
          <w:i w:val="0"/>
          <w:iCs w:val="0"/>
          <w:caps w:val="0"/>
          <w:color w:val="333333"/>
          <w:spacing w:val="0"/>
          <w:sz w:val="32"/>
          <w:szCs w:val="32"/>
          <w:shd w:val="clear" w:color="auto" w:fill="FFFFFF"/>
        </w:rPr>
        <w:t>第二十六条</w:t>
      </w:r>
      <w:r>
        <w:rPr>
          <w:rStyle w:val="6"/>
          <w:rFonts w:hint="eastAsia" w:ascii="仿宋_GB2312" w:hAnsi="仿宋_GB2312" w:eastAsia="仿宋_GB2312" w:cs="仿宋_GB2312"/>
          <w:b w:val="0"/>
          <w:bCs w:val="0"/>
          <w:i w:val="0"/>
          <w:iCs w:val="0"/>
          <w:caps w:val="0"/>
          <w:color w:val="333333"/>
          <w:spacing w:val="0"/>
          <w:sz w:val="32"/>
          <w:szCs w:val="32"/>
          <w:shd w:val="clear" w:color="auto" w:fill="FFFFFF"/>
        </w:rPr>
        <w:t> 国资中心对所出资企业1000万元以上的投资项目实行月调度。企业应于每月10日前报送上月投资完成情况，重点说明固定资产投资、股权投资、重大投资项目完成情况，以及投资动态监测、财务风险预警等其他需要说明的事项。</w:t>
      </w:r>
    </w:p>
    <w:p>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643" w:firstLineChars="200"/>
        <w:jc w:val="left"/>
        <w:textAlignment w:val="auto"/>
        <w:outlineLvl w:val="9"/>
        <w:rPr>
          <w:rFonts w:hint="eastAsia" w:ascii="仿宋_GB2312" w:hAnsi="仿宋_GB2312" w:eastAsia="仿宋_GB2312" w:cs="仿宋_GB2312"/>
          <w:b w:val="0"/>
          <w:bCs w:val="0"/>
          <w:sz w:val="32"/>
          <w:szCs w:val="32"/>
        </w:rPr>
      </w:pPr>
      <w:r>
        <w:rPr>
          <w:rStyle w:val="6"/>
          <w:rFonts w:hint="eastAsia" w:ascii="仿宋_GB2312" w:hAnsi="仿宋_GB2312" w:eastAsia="仿宋_GB2312" w:cs="仿宋_GB2312"/>
          <w:b/>
          <w:bCs/>
          <w:i w:val="0"/>
          <w:iCs w:val="0"/>
          <w:caps w:val="0"/>
          <w:color w:val="333333"/>
          <w:spacing w:val="0"/>
          <w:sz w:val="32"/>
          <w:szCs w:val="32"/>
          <w:shd w:val="clear" w:color="auto" w:fill="FFFFFF"/>
        </w:rPr>
        <w:t>第二十七条</w:t>
      </w:r>
      <w:r>
        <w:rPr>
          <w:rStyle w:val="6"/>
          <w:rFonts w:hint="eastAsia" w:ascii="仿宋_GB2312" w:hAnsi="仿宋_GB2312" w:eastAsia="仿宋_GB2312" w:cs="仿宋_GB2312"/>
          <w:b w:val="0"/>
          <w:bCs w:val="0"/>
          <w:i w:val="0"/>
          <w:iCs w:val="0"/>
          <w:caps w:val="0"/>
          <w:color w:val="333333"/>
          <w:spacing w:val="0"/>
          <w:sz w:val="32"/>
          <w:szCs w:val="32"/>
          <w:shd w:val="clear" w:color="auto" w:fill="FFFFFF"/>
        </w:rPr>
        <w:t> 所出资企业对重大项目要加强全程监管，强化跟踪审计。国资中心根据监管需要，每年抽取部分投资项目进行监督检查，重点关注重大投资项目的决策、实施及运行效果。</w:t>
      </w:r>
    </w:p>
    <w:p>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643" w:firstLineChars="200"/>
        <w:jc w:val="left"/>
        <w:textAlignment w:val="auto"/>
        <w:outlineLvl w:val="9"/>
        <w:rPr>
          <w:rFonts w:hint="eastAsia" w:ascii="仿宋_GB2312" w:hAnsi="仿宋_GB2312" w:eastAsia="仿宋_GB2312" w:cs="仿宋_GB2312"/>
          <w:b w:val="0"/>
          <w:bCs w:val="0"/>
          <w:sz w:val="32"/>
          <w:szCs w:val="32"/>
        </w:rPr>
      </w:pPr>
      <w:r>
        <w:rPr>
          <w:rStyle w:val="6"/>
          <w:rFonts w:hint="eastAsia" w:ascii="仿宋_GB2312" w:hAnsi="仿宋_GB2312" w:eastAsia="仿宋_GB2312" w:cs="仿宋_GB2312"/>
          <w:b/>
          <w:bCs/>
          <w:i w:val="0"/>
          <w:iCs w:val="0"/>
          <w:caps w:val="0"/>
          <w:color w:val="333333"/>
          <w:spacing w:val="0"/>
          <w:sz w:val="32"/>
          <w:szCs w:val="32"/>
          <w:shd w:val="clear" w:color="auto" w:fill="FFFFFF"/>
        </w:rPr>
        <w:t>第二十八条</w:t>
      </w:r>
      <w:r>
        <w:rPr>
          <w:rStyle w:val="6"/>
          <w:rFonts w:hint="eastAsia" w:ascii="仿宋_GB2312" w:hAnsi="仿宋_GB2312" w:eastAsia="仿宋_GB2312" w:cs="仿宋_GB2312"/>
          <w:b w:val="0"/>
          <w:bCs w:val="0"/>
          <w:i w:val="0"/>
          <w:iCs w:val="0"/>
          <w:caps w:val="0"/>
          <w:color w:val="333333"/>
          <w:spacing w:val="0"/>
          <w:sz w:val="32"/>
          <w:szCs w:val="32"/>
          <w:shd w:val="clear" w:color="auto" w:fill="FFFFFF"/>
        </w:rPr>
        <w:t> 所出资企业应编制年度投资完成情况报告，并于次年1月20日前报送国资中心。年度投资完成情况报告包括但不限于以下内容：</w:t>
      </w:r>
    </w:p>
    <w:p>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640" w:firstLineChars="200"/>
        <w:jc w:val="left"/>
        <w:textAlignment w:val="auto"/>
        <w:outlineLvl w:val="9"/>
        <w:rPr>
          <w:rFonts w:hint="eastAsia" w:ascii="仿宋_GB2312" w:hAnsi="仿宋_GB2312" w:eastAsia="仿宋_GB2312" w:cs="仿宋_GB2312"/>
          <w:b w:val="0"/>
          <w:bCs w:val="0"/>
          <w:sz w:val="32"/>
          <w:szCs w:val="32"/>
        </w:rPr>
      </w:pPr>
      <w:r>
        <w:rPr>
          <w:rFonts w:hint="eastAsia" w:ascii="仿宋_GB2312" w:hAnsi="仿宋_GB2312" w:eastAsia="仿宋_GB2312" w:cs="仿宋_GB2312"/>
          <w:b w:val="0"/>
          <w:bCs w:val="0"/>
          <w:i w:val="0"/>
          <w:iCs w:val="0"/>
          <w:caps w:val="0"/>
          <w:color w:val="333333"/>
          <w:spacing w:val="0"/>
          <w:sz w:val="32"/>
          <w:szCs w:val="32"/>
          <w:shd w:val="clear" w:color="auto" w:fill="FFFFFF"/>
        </w:rPr>
        <w:t>（一）年度投资完成总体情况及结构分析。包括固定资产投资、股权投资、金融及其他投资的规模、行业分布等情况；</w:t>
      </w:r>
    </w:p>
    <w:p>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640" w:firstLineChars="200"/>
        <w:jc w:val="left"/>
        <w:textAlignment w:val="auto"/>
        <w:outlineLvl w:val="9"/>
        <w:rPr>
          <w:rFonts w:hint="eastAsia" w:ascii="仿宋_GB2312" w:hAnsi="仿宋_GB2312" w:eastAsia="仿宋_GB2312" w:cs="仿宋_GB2312"/>
          <w:b w:val="0"/>
          <w:bCs w:val="0"/>
          <w:sz w:val="32"/>
          <w:szCs w:val="32"/>
        </w:rPr>
      </w:pPr>
      <w:r>
        <w:rPr>
          <w:rFonts w:hint="eastAsia" w:ascii="仿宋_GB2312" w:hAnsi="仿宋_GB2312" w:eastAsia="仿宋_GB2312" w:cs="仿宋_GB2312"/>
          <w:b w:val="0"/>
          <w:bCs w:val="0"/>
          <w:i w:val="0"/>
          <w:iCs w:val="0"/>
          <w:caps w:val="0"/>
          <w:color w:val="333333"/>
          <w:spacing w:val="0"/>
          <w:sz w:val="32"/>
          <w:szCs w:val="32"/>
          <w:shd w:val="clear" w:color="auto" w:fill="FFFFFF"/>
        </w:rPr>
        <w:t>（二）年度投资效果分析；</w:t>
      </w:r>
    </w:p>
    <w:p>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640" w:firstLineChars="200"/>
        <w:jc w:val="left"/>
        <w:textAlignment w:val="auto"/>
        <w:outlineLvl w:val="9"/>
        <w:rPr>
          <w:rFonts w:hint="eastAsia" w:ascii="仿宋_GB2312" w:hAnsi="仿宋_GB2312" w:eastAsia="仿宋_GB2312" w:cs="仿宋_GB2312"/>
          <w:b w:val="0"/>
          <w:bCs w:val="0"/>
          <w:sz w:val="32"/>
          <w:szCs w:val="32"/>
        </w:rPr>
      </w:pPr>
      <w:r>
        <w:rPr>
          <w:rFonts w:hint="eastAsia" w:ascii="仿宋_GB2312" w:hAnsi="仿宋_GB2312" w:eastAsia="仿宋_GB2312" w:cs="仿宋_GB2312"/>
          <w:b w:val="0"/>
          <w:bCs w:val="0"/>
          <w:i w:val="0"/>
          <w:iCs w:val="0"/>
          <w:caps w:val="0"/>
          <w:color w:val="333333"/>
          <w:spacing w:val="0"/>
          <w:sz w:val="32"/>
          <w:szCs w:val="32"/>
          <w:shd w:val="clear" w:color="auto" w:fill="FFFFFF"/>
        </w:rPr>
        <w:t>（三）重大投资项目进展情况；</w:t>
      </w:r>
    </w:p>
    <w:p>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640" w:firstLineChars="200"/>
        <w:jc w:val="left"/>
        <w:textAlignment w:val="auto"/>
        <w:outlineLvl w:val="9"/>
        <w:rPr>
          <w:rFonts w:hint="eastAsia" w:ascii="仿宋_GB2312" w:hAnsi="仿宋_GB2312" w:eastAsia="仿宋_GB2312" w:cs="仿宋_GB2312"/>
          <w:b w:val="0"/>
          <w:bCs w:val="0"/>
          <w:sz w:val="32"/>
          <w:szCs w:val="32"/>
        </w:rPr>
      </w:pPr>
      <w:r>
        <w:rPr>
          <w:rFonts w:hint="eastAsia" w:ascii="仿宋_GB2312" w:hAnsi="仿宋_GB2312" w:eastAsia="仿宋_GB2312" w:cs="仿宋_GB2312"/>
          <w:b w:val="0"/>
          <w:bCs w:val="0"/>
          <w:i w:val="0"/>
          <w:iCs w:val="0"/>
          <w:caps w:val="0"/>
          <w:color w:val="333333"/>
          <w:spacing w:val="0"/>
          <w:sz w:val="32"/>
          <w:szCs w:val="32"/>
          <w:shd w:val="clear" w:color="auto" w:fill="FFFFFF"/>
        </w:rPr>
        <w:t>（四）年度投资后评价工作开展情况；</w:t>
      </w:r>
    </w:p>
    <w:p>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640" w:firstLineChars="200"/>
        <w:jc w:val="left"/>
        <w:textAlignment w:val="auto"/>
        <w:outlineLvl w:val="9"/>
        <w:rPr>
          <w:rFonts w:hint="eastAsia" w:ascii="仿宋_GB2312" w:hAnsi="仿宋_GB2312" w:eastAsia="仿宋_GB2312" w:cs="仿宋_GB2312"/>
          <w:b w:val="0"/>
          <w:bCs w:val="0"/>
          <w:sz w:val="32"/>
          <w:szCs w:val="32"/>
        </w:rPr>
      </w:pPr>
      <w:r>
        <w:rPr>
          <w:rFonts w:hint="eastAsia" w:ascii="仿宋_GB2312" w:hAnsi="仿宋_GB2312" w:eastAsia="仿宋_GB2312" w:cs="仿宋_GB2312"/>
          <w:b w:val="0"/>
          <w:bCs w:val="0"/>
          <w:i w:val="0"/>
          <w:iCs w:val="0"/>
          <w:caps w:val="0"/>
          <w:color w:val="333333"/>
          <w:spacing w:val="0"/>
          <w:sz w:val="32"/>
          <w:szCs w:val="32"/>
          <w:shd w:val="clear" w:color="auto" w:fill="FFFFFF"/>
        </w:rPr>
        <w:t>（五）年度投资存在的主要问题及建议。</w:t>
      </w:r>
    </w:p>
    <w:p>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643" w:firstLineChars="200"/>
        <w:jc w:val="left"/>
        <w:textAlignment w:val="auto"/>
        <w:outlineLvl w:val="9"/>
        <w:rPr>
          <w:rFonts w:hint="eastAsia" w:ascii="仿宋_GB2312" w:hAnsi="仿宋_GB2312" w:eastAsia="仿宋_GB2312" w:cs="仿宋_GB2312"/>
          <w:b w:val="0"/>
          <w:bCs w:val="0"/>
          <w:sz w:val="32"/>
          <w:szCs w:val="32"/>
        </w:rPr>
      </w:pPr>
      <w:r>
        <w:rPr>
          <w:rStyle w:val="6"/>
          <w:rFonts w:hint="eastAsia" w:ascii="仿宋_GB2312" w:hAnsi="仿宋_GB2312" w:eastAsia="仿宋_GB2312" w:cs="仿宋_GB2312"/>
          <w:b/>
          <w:bCs/>
          <w:i w:val="0"/>
          <w:iCs w:val="0"/>
          <w:caps w:val="0"/>
          <w:color w:val="333333"/>
          <w:spacing w:val="0"/>
          <w:sz w:val="32"/>
          <w:szCs w:val="32"/>
          <w:shd w:val="clear" w:color="auto" w:fill="FFFFFF"/>
        </w:rPr>
        <w:t>第二十九条</w:t>
      </w:r>
      <w:r>
        <w:rPr>
          <w:rStyle w:val="6"/>
          <w:rFonts w:hint="eastAsia" w:ascii="仿宋_GB2312" w:hAnsi="仿宋_GB2312" w:eastAsia="仿宋_GB2312" w:cs="仿宋_GB2312"/>
          <w:b w:val="0"/>
          <w:bCs w:val="0"/>
          <w:i w:val="0"/>
          <w:iCs w:val="0"/>
          <w:caps w:val="0"/>
          <w:color w:val="333333"/>
          <w:spacing w:val="0"/>
          <w:sz w:val="32"/>
          <w:szCs w:val="32"/>
          <w:shd w:val="clear" w:color="auto" w:fill="FFFFFF"/>
        </w:rPr>
        <w:t> 所出资企业应按照科学规范、客观公正、全面真实、统筹协调以及利益回避原则，对投资项目自行开展或委托第三方机构开展项目后评价，并形成项目后评价报告。</w:t>
      </w:r>
    </w:p>
    <w:p>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640" w:firstLineChars="200"/>
        <w:jc w:val="left"/>
        <w:textAlignment w:val="auto"/>
        <w:outlineLvl w:val="9"/>
        <w:rPr>
          <w:rFonts w:hint="eastAsia" w:ascii="仿宋_GB2312" w:hAnsi="仿宋_GB2312" w:eastAsia="仿宋_GB2312" w:cs="仿宋_GB2312"/>
          <w:b w:val="0"/>
          <w:bCs w:val="0"/>
          <w:sz w:val="32"/>
          <w:szCs w:val="32"/>
        </w:rPr>
      </w:pPr>
      <w:r>
        <w:rPr>
          <w:rFonts w:hint="eastAsia" w:ascii="仿宋_GB2312" w:hAnsi="仿宋_GB2312" w:eastAsia="仿宋_GB2312" w:cs="仿宋_GB2312"/>
          <w:b w:val="0"/>
          <w:bCs w:val="0"/>
          <w:i w:val="0"/>
          <w:iCs w:val="0"/>
          <w:caps w:val="0"/>
          <w:color w:val="333333"/>
          <w:spacing w:val="0"/>
          <w:sz w:val="32"/>
          <w:szCs w:val="32"/>
          <w:shd w:val="clear" w:color="auto" w:fill="FFFFFF"/>
        </w:rPr>
        <w:t>项目后评价报告是完善企业规划实施、提升投资管理水平、评价企业负责人行权履职情况以及重大决策失误责任追究的重要依据。国资中心对监管企业投资项目后评价工作进行监督和指导，并可根据工作需要选取部分投资项目开展后评价，根据发现的问题及时向企业警示风险，维护国有资本安全。</w:t>
      </w:r>
    </w:p>
    <w:p>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643" w:firstLineChars="200"/>
        <w:jc w:val="left"/>
        <w:textAlignment w:val="auto"/>
        <w:outlineLvl w:val="9"/>
        <w:rPr>
          <w:rStyle w:val="6"/>
          <w:rFonts w:hint="eastAsia" w:ascii="仿宋_GB2312" w:hAnsi="仿宋_GB2312" w:eastAsia="仿宋_GB2312" w:cs="仿宋_GB2312"/>
          <w:b/>
          <w:bCs/>
          <w:i w:val="0"/>
          <w:iCs w:val="0"/>
          <w:caps w:val="0"/>
          <w:color w:val="333333"/>
          <w:spacing w:val="0"/>
          <w:sz w:val="32"/>
          <w:szCs w:val="32"/>
          <w:shd w:val="clear" w:color="auto" w:fill="FFFFFF"/>
        </w:rPr>
      </w:pPr>
      <w:r>
        <w:rPr>
          <w:rStyle w:val="6"/>
          <w:rFonts w:hint="eastAsia" w:ascii="仿宋_GB2312" w:hAnsi="仿宋_GB2312" w:eastAsia="仿宋_GB2312" w:cs="仿宋_GB2312"/>
          <w:b/>
          <w:bCs/>
          <w:i w:val="0"/>
          <w:iCs w:val="0"/>
          <w:caps w:val="0"/>
          <w:color w:val="333333"/>
          <w:spacing w:val="0"/>
          <w:sz w:val="32"/>
          <w:szCs w:val="32"/>
          <w:shd w:val="clear" w:color="auto" w:fill="FFFFFF"/>
        </w:rPr>
        <w:t>第三十条</w:t>
      </w:r>
      <w:r>
        <w:rPr>
          <w:rStyle w:val="6"/>
          <w:rFonts w:hint="eastAsia" w:ascii="仿宋_GB2312" w:hAnsi="仿宋_GB2312" w:eastAsia="仿宋_GB2312" w:cs="仿宋_GB2312"/>
          <w:b w:val="0"/>
          <w:bCs w:val="0"/>
          <w:i w:val="0"/>
          <w:iCs w:val="0"/>
          <w:caps w:val="0"/>
          <w:color w:val="333333"/>
          <w:spacing w:val="0"/>
          <w:sz w:val="32"/>
          <w:szCs w:val="32"/>
          <w:shd w:val="clear" w:color="auto" w:fill="FFFFFF"/>
        </w:rPr>
        <w:t> 投资项目完工后，企业应自行开展或委托第三方机构开展项目审计，并将投资1000万元以上的项目（结算）审计报告报送国资中心；国资中心根据工作需要，每年选取部分已实施项目联合有关部门开展审计工作（可以聘请第三方进行审计），重点关注计划外追加以及重大调整的投资项目。通过经济责任审计调查、审计延伸等多种方式，推进投资项目审计监督，存在重大问题的，视情况采取约谈整改、启动追责问责程序等措施。</w:t>
      </w:r>
    </w:p>
    <w:p>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643" w:firstLineChars="200"/>
        <w:jc w:val="left"/>
        <w:textAlignment w:val="auto"/>
        <w:outlineLvl w:val="9"/>
        <w:rPr>
          <w:rFonts w:hint="eastAsia" w:ascii="仿宋_GB2312" w:hAnsi="仿宋_GB2312" w:eastAsia="仿宋_GB2312" w:cs="仿宋_GB2312"/>
          <w:b w:val="0"/>
          <w:bCs w:val="0"/>
          <w:sz w:val="32"/>
          <w:szCs w:val="32"/>
        </w:rPr>
      </w:pPr>
      <w:r>
        <w:rPr>
          <w:rStyle w:val="6"/>
          <w:rFonts w:hint="eastAsia" w:ascii="仿宋_GB2312" w:hAnsi="仿宋_GB2312" w:eastAsia="仿宋_GB2312" w:cs="仿宋_GB2312"/>
          <w:b/>
          <w:bCs/>
          <w:i w:val="0"/>
          <w:iCs w:val="0"/>
          <w:caps w:val="0"/>
          <w:color w:val="333333"/>
          <w:spacing w:val="0"/>
          <w:sz w:val="32"/>
          <w:szCs w:val="32"/>
          <w:shd w:val="clear" w:color="auto" w:fill="FFFFFF"/>
        </w:rPr>
        <w:t>第三十一条</w:t>
      </w:r>
      <w:r>
        <w:rPr>
          <w:rStyle w:val="6"/>
          <w:rFonts w:hint="eastAsia" w:ascii="仿宋_GB2312" w:hAnsi="仿宋_GB2312" w:eastAsia="仿宋_GB2312" w:cs="仿宋_GB2312"/>
          <w:b w:val="0"/>
          <w:bCs w:val="0"/>
          <w:i w:val="0"/>
          <w:iCs w:val="0"/>
          <w:caps w:val="0"/>
          <w:color w:val="333333"/>
          <w:spacing w:val="0"/>
          <w:sz w:val="32"/>
          <w:szCs w:val="32"/>
          <w:shd w:val="clear" w:color="auto" w:fill="FFFFFF"/>
        </w:rPr>
        <w:t> 所出资企业应建立健全投资风险管理制度，以合规管理、风险防范为重点，规范完善风险评估、风险监测预警和应对机制，提升防范化解重大风险能力。尤其应加强对外并购等重大股权投资项目风险防控，严格执行资产评估管理制度，开展专项风险评估，科学研判并购项目价值，做好项目融资、投资、管理、退出全过程研究论证，避免企业规模盲目扩张。</w:t>
      </w:r>
    </w:p>
    <w:p>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643" w:firstLineChars="200"/>
        <w:jc w:val="left"/>
        <w:textAlignment w:val="auto"/>
        <w:outlineLvl w:val="9"/>
        <w:rPr>
          <w:rFonts w:hint="eastAsia" w:ascii="仿宋_GB2312" w:hAnsi="仿宋_GB2312" w:eastAsia="仿宋_GB2312" w:cs="仿宋_GB2312"/>
          <w:b w:val="0"/>
          <w:bCs w:val="0"/>
          <w:sz w:val="32"/>
          <w:szCs w:val="32"/>
        </w:rPr>
      </w:pPr>
      <w:r>
        <w:rPr>
          <w:rStyle w:val="6"/>
          <w:rFonts w:hint="eastAsia" w:ascii="仿宋_GB2312" w:hAnsi="仿宋_GB2312" w:eastAsia="仿宋_GB2312" w:cs="仿宋_GB2312"/>
          <w:b/>
          <w:bCs/>
          <w:i w:val="0"/>
          <w:iCs w:val="0"/>
          <w:caps w:val="0"/>
          <w:color w:val="333333"/>
          <w:spacing w:val="0"/>
          <w:sz w:val="32"/>
          <w:szCs w:val="32"/>
          <w:shd w:val="clear" w:color="auto" w:fill="FFFFFF"/>
        </w:rPr>
        <w:t>第三十二条</w:t>
      </w:r>
      <w:r>
        <w:rPr>
          <w:rStyle w:val="6"/>
          <w:rFonts w:hint="eastAsia" w:ascii="仿宋_GB2312" w:hAnsi="仿宋_GB2312" w:eastAsia="仿宋_GB2312" w:cs="仿宋_GB2312"/>
          <w:b w:val="0"/>
          <w:bCs w:val="0"/>
          <w:i w:val="0"/>
          <w:iCs w:val="0"/>
          <w:caps w:val="0"/>
          <w:color w:val="333333"/>
          <w:spacing w:val="0"/>
          <w:sz w:val="32"/>
          <w:szCs w:val="32"/>
          <w:shd w:val="clear" w:color="auto" w:fill="FFFFFF"/>
        </w:rPr>
        <w:t> 国资中心可根据国资监管工作需要和企业实际，通过公司章程或授权经营文件，对有关企业投资管理方式和权限进行调整。企业可根据生产经营特点及实际需要，向国资中心申请对特定类别的投资项目或单户子企业（包括重要子企业或其他承担特定功能的子企业）的投资管理授权。</w:t>
      </w:r>
    </w:p>
    <w:p>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640" w:firstLineChars="200"/>
        <w:jc w:val="left"/>
        <w:textAlignment w:val="auto"/>
        <w:outlineLvl w:val="9"/>
        <w:rPr>
          <w:rFonts w:hint="eastAsia" w:ascii="仿宋_GB2312" w:hAnsi="仿宋_GB2312" w:eastAsia="仿宋_GB2312" w:cs="仿宋_GB2312"/>
          <w:b w:val="0"/>
          <w:bCs w:val="0"/>
          <w:sz w:val="32"/>
          <w:szCs w:val="32"/>
        </w:rPr>
      </w:pPr>
      <w:r>
        <w:rPr>
          <w:rFonts w:hint="eastAsia" w:ascii="仿宋_GB2312" w:hAnsi="仿宋_GB2312" w:eastAsia="仿宋_GB2312" w:cs="仿宋_GB2312"/>
          <w:b w:val="0"/>
          <w:bCs w:val="0"/>
          <w:i w:val="0"/>
          <w:iCs w:val="0"/>
          <w:caps w:val="0"/>
          <w:color w:val="333333"/>
          <w:spacing w:val="0"/>
          <w:sz w:val="32"/>
          <w:szCs w:val="32"/>
          <w:shd w:val="clear" w:color="auto" w:fill="FFFFFF"/>
        </w:rPr>
        <w:t> </w:t>
      </w:r>
    </w:p>
    <w:p>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right="0"/>
        <w:jc w:val="center"/>
        <w:textAlignment w:val="auto"/>
        <w:outlineLvl w:val="9"/>
        <w:rPr>
          <w:rFonts w:hint="eastAsia" w:ascii="黑体" w:hAnsi="黑体" w:eastAsia="黑体" w:cs="黑体"/>
          <w:b w:val="0"/>
          <w:bCs w:val="0"/>
          <w:sz w:val="32"/>
          <w:szCs w:val="32"/>
        </w:rPr>
      </w:pPr>
      <w:r>
        <w:rPr>
          <w:rFonts w:hint="eastAsia" w:ascii="黑体" w:hAnsi="黑体" w:eastAsia="黑体" w:cs="黑体"/>
          <w:b w:val="0"/>
          <w:bCs w:val="0"/>
          <w:i w:val="0"/>
          <w:iCs w:val="0"/>
          <w:caps w:val="0"/>
          <w:color w:val="333333"/>
          <w:spacing w:val="0"/>
          <w:sz w:val="32"/>
          <w:szCs w:val="32"/>
          <w:shd w:val="clear" w:color="auto" w:fill="FFFFFF"/>
        </w:rPr>
        <w:t>第五章  融资事项</w:t>
      </w:r>
    </w:p>
    <w:p>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643" w:firstLineChars="200"/>
        <w:jc w:val="left"/>
        <w:textAlignment w:val="auto"/>
        <w:outlineLvl w:val="9"/>
        <w:rPr>
          <w:rFonts w:hint="eastAsia" w:ascii="仿宋_GB2312" w:hAnsi="仿宋_GB2312" w:eastAsia="仿宋_GB2312" w:cs="仿宋_GB2312"/>
          <w:b w:val="0"/>
          <w:bCs w:val="0"/>
          <w:sz w:val="32"/>
          <w:szCs w:val="32"/>
        </w:rPr>
      </w:pPr>
      <w:r>
        <w:rPr>
          <w:rStyle w:val="6"/>
          <w:rFonts w:hint="eastAsia" w:ascii="仿宋_GB2312" w:hAnsi="仿宋_GB2312" w:eastAsia="仿宋_GB2312" w:cs="仿宋_GB2312"/>
          <w:b/>
          <w:bCs/>
          <w:i w:val="0"/>
          <w:iCs w:val="0"/>
          <w:caps w:val="0"/>
          <w:color w:val="333333"/>
          <w:spacing w:val="0"/>
          <w:sz w:val="32"/>
          <w:szCs w:val="32"/>
          <w:shd w:val="clear" w:color="auto" w:fill="FFFFFF"/>
        </w:rPr>
        <w:t>第三十三条</w:t>
      </w:r>
      <w:r>
        <w:rPr>
          <w:rStyle w:val="6"/>
          <w:rFonts w:hint="eastAsia" w:ascii="仿宋_GB2312" w:hAnsi="仿宋_GB2312" w:eastAsia="仿宋_GB2312" w:cs="仿宋_GB2312"/>
          <w:b w:val="0"/>
          <w:bCs w:val="0"/>
          <w:i w:val="0"/>
          <w:iCs w:val="0"/>
          <w:caps w:val="0"/>
          <w:color w:val="333333"/>
          <w:spacing w:val="0"/>
          <w:sz w:val="32"/>
          <w:szCs w:val="32"/>
          <w:shd w:val="clear" w:color="auto" w:fill="FFFFFF"/>
        </w:rPr>
        <w:t> 本规定所称融资事项，是指企业因自身生产经营活动、投资活动需要而进行资金筹措的行为。主要包括以信用、保证、抵押、质押、租赁、发行债券等方式开展的间接、直接筹资活动。</w:t>
      </w:r>
    </w:p>
    <w:p>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643" w:firstLineChars="200"/>
        <w:jc w:val="left"/>
        <w:textAlignment w:val="auto"/>
        <w:outlineLvl w:val="9"/>
        <w:rPr>
          <w:rFonts w:hint="eastAsia" w:ascii="仿宋_GB2312" w:hAnsi="仿宋_GB2312" w:eastAsia="仿宋_GB2312" w:cs="仿宋_GB2312"/>
          <w:b w:val="0"/>
          <w:bCs w:val="0"/>
          <w:sz w:val="32"/>
          <w:szCs w:val="32"/>
        </w:rPr>
      </w:pPr>
      <w:r>
        <w:rPr>
          <w:rStyle w:val="6"/>
          <w:rFonts w:hint="eastAsia" w:ascii="仿宋_GB2312" w:hAnsi="仿宋_GB2312" w:eastAsia="仿宋_GB2312" w:cs="仿宋_GB2312"/>
          <w:b/>
          <w:bCs/>
          <w:i w:val="0"/>
          <w:iCs w:val="0"/>
          <w:caps w:val="0"/>
          <w:color w:val="333333"/>
          <w:spacing w:val="0"/>
          <w:sz w:val="32"/>
          <w:szCs w:val="32"/>
          <w:shd w:val="clear" w:color="auto" w:fill="FFFFFF"/>
        </w:rPr>
        <w:t>第三十四条</w:t>
      </w:r>
      <w:r>
        <w:rPr>
          <w:rStyle w:val="6"/>
          <w:rFonts w:hint="eastAsia" w:ascii="仿宋_GB2312" w:hAnsi="仿宋_GB2312" w:eastAsia="仿宋_GB2312" w:cs="仿宋_GB2312"/>
          <w:b w:val="0"/>
          <w:bCs w:val="0"/>
          <w:i w:val="0"/>
          <w:iCs w:val="0"/>
          <w:caps w:val="0"/>
          <w:color w:val="333333"/>
          <w:spacing w:val="0"/>
          <w:sz w:val="32"/>
          <w:szCs w:val="32"/>
          <w:shd w:val="clear" w:color="auto" w:fill="FFFFFF"/>
        </w:rPr>
        <w:t> 所出资企业是本企业融资活动的责任主体，是融资决策直接责任人。企业应制定融资管理制度，明确本企业融资事项管理专门机构及工作职责、融资决策事项、所属企业融资权限等内容，构建“借、用、管、还”及风险防范一体的融资管理体系。</w:t>
      </w:r>
    </w:p>
    <w:p>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643" w:firstLineChars="200"/>
        <w:jc w:val="left"/>
        <w:textAlignment w:val="auto"/>
        <w:outlineLvl w:val="9"/>
        <w:rPr>
          <w:rFonts w:hint="eastAsia" w:ascii="仿宋_GB2312" w:hAnsi="仿宋_GB2312" w:eastAsia="仿宋_GB2312" w:cs="仿宋_GB2312"/>
          <w:b w:val="0"/>
          <w:bCs w:val="0"/>
          <w:sz w:val="32"/>
          <w:szCs w:val="32"/>
        </w:rPr>
      </w:pPr>
      <w:r>
        <w:rPr>
          <w:rStyle w:val="6"/>
          <w:rFonts w:hint="eastAsia" w:ascii="仿宋_GB2312" w:hAnsi="仿宋_GB2312" w:eastAsia="仿宋_GB2312" w:cs="仿宋_GB2312"/>
          <w:b/>
          <w:bCs/>
          <w:i w:val="0"/>
          <w:iCs w:val="0"/>
          <w:caps w:val="0"/>
          <w:color w:val="333333"/>
          <w:spacing w:val="0"/>
          <w:sz w:val="32"/>
          <w:szCs w:val="32"/>
          <w:shd w:val="clear" w:color="auto" w:fill="FFFFFF"/>
        </w:rPr>
        <w:t>第三十五条</w:t>
      </w:r>
      <w:r>
        <w:rPr>
          <w:rStyle w:val="6"/>
          <w:rFonts w:hint="eastAsia" w:ascii="仿宋_GB2312" w:hAnsi="仿宋_GB2312" w:eastAsia="仿宋_GB2312" w:cs="仿宋_GB2312"/>
          <w:b w:val="0"/>
          <w:bCs w:val="0"/>
          <w:i w:val="0"/>
          <w:iCs w:val="0"/>
          <w:caps w:val="0"/>
          <w:color w:val="333333"/>
          <w:spacing w:val="0"/>
          <w:sz w:val="32"/>
          <w:szCs w:val="32"/>
          <w:shd w:val="clear" w:color="auto" w:fill="FFFFFF"/>
        </w:rPr>
        <w:t> 所出资企业应制订年度融资计划，包括资金需求、融资规模、融资方式、融资成本、资金用途、债务结构、财务状况及对未来收益的影响等内容。每年3月底以前将经董事会审议的年度融资计划报县国资中心核准。</w:t>
      </w:r>
    </w:p>
    <w:p>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640" w:firstLineChars="200"/>
        <w:jc w:val="left"/>
        <w:textAlignment w:val="auto"/>
        <w:outlineLvl w:val="9"/>
        <w:rPr>
          <w:rFonts w:hint="eastAsia" w:ascii="仿宋_GB2312" w:hAnsi="仿宋_GB2312" w:eastAsia="仿宋_GB2312" w:cs="仿宋_GB2312"/>
          <w:b w:val="0"/>
          <w:bCs w:val="0"/>
          <w:sz w:val="32"/>
          <w:szCs w:val="32"/>
        </w:rPr>
      </w:pPr>
      <w:r>
        <w:rPr>
          <w:rFonts w:hint="eastAsia" w:ascii="仿宋_GB2312" w:hAnsi="仿宋_GB2312" w:eastAsia="仿宋_GB2312" w:cs="仿宋_GB2312"/>
          <w:b w:val="0"/>
          <w:bCs w:val="0"/>
          <w:i w:val="0"/>
          <w:iCs w:val="0"/>
          <w:caps w:val="0"/>
          <w:color w:val="333333"/>
          <w:spacing w:val="0"/>
          <w:sz w:val="32"/>
          <w:szCs w:val="32"/>
          <w:shd w:val="clear" w:color="auto" w:fill="FFFFFF"/>
        </w:rPr>
        <w:t>经核准的年度融资计划在执行过程中可根据实际进行调整，调增幅度超过10%的，要将拟调整计划及时报国资中心核准；未超10%的将调整计划报国资中心备案。</w:t>
      </w:r>
    </w:p>
    <w:p>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643" w:firstLineChars="200"/>
        <w:jc w:val="both"/>
        <w:textAlignment w:val="auto"/>
        <w:outlineLvl w:val="9"/>
        <w:rPr>
          <w:rFonts w:hint="eastAsia" w:ascii="仿宋_GB2312" w:hAnsi="仿宋_GB2312" w:eastAsia="仿宋_GB2312" w:cs="仿宋_GB2312"/>
          <w:b w:val="0"/>
          <w:bCs w:val="0"/>
          <w:sz w:val="32"/>
          <w:szCs w:val="32"/>
        </w:rPr>
      </w:pPr>
      <w:r>
        <w:rPr>
          <w:rStyle w:val="6"/>
          <w:rFonts w:hint="eastAsia" w:ascii="仿宋_GB2312" w:hAnsi="仿宋_GB2312" w:eastAsia="仿宋_GB2312" w:cs="仿宋_GB2312"/>
          <w:b/>
          <w:bCs/>
          <w:i w:val="0"/>
          <w:iCs w:val="0"/>
          <w:caps w:val="0"/>
          <w:color w:val="333333"/>
          <w:spacing w:val="0"/>
          <w:sz w:val="32"/>
          <w:szCs w:val="32"/>
          <w:shd w:val="clear" w:color="auto" w:fill="FFFFFF"/>
        </w:rPr>
        <w:t>第三十六条</w:t>
      </w:r>
      <w:r>
        <w:rPr>
          <w:rStyle w:val="6"/>
          <w:rFonts w:hint="eastAsia" w:ascii="仿宋_GB2312" w:hAnsi="仿宋_GB2312" w:eastAsia="仿宋_GB2312" w:cs="仿宋_GB2312"/>
          <w:b w:val="0"/>
          <w:bCs w:val="0"/>
          <w:i w:val="0"/>
          <w:iCs w:val="0"/>
          <w:caps w:val="0"/>
          <w:color w:val="333333"/>
          <w:spacing w:val="0"/>
          <w:sz w:val="32"/>
          <w:szCs w:val="32"/>
          <w:shd w:val="clear" w:color="auto" w:fill="FFFFFF"/>
        </w:rPr>
        <w:t> 所出资企业应根据批准的年度融资计划分项、分批编制融资方案，结合企业发展战略、投资计划、项目建设周期、债务规模、债务结构、盈利能力、偿还能力、资产质量等实际，充分考虑金融市场利率水平和变化趋势，优化债务结构，降低融资成本。定期开展资金流动性风险评估，加强债务风险预警，充分研判企业未来债务偿还能力，及时采取有效措施化解偿付风险。</w:t>
      </w:r>
    </w:p>
    <w:p>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643" w:firstLineChars="200"/>
        <w:jc w:val="left"/>
        <w:textAlignment w:val="auto"/>
        <w:outlineLvl w:val="9"/>
        <w:rPr>
          <w:rFonts w:hint="eastAsia" w:ascii="仿宋_GB2312" w:hAnsi="仿宋_GB2312" w:eastAsia="仿宋_GB2312" w:cs="仿宋_GB2312"/>
          <w:b w:val="0"/>
          <w:bCs w:val="0"/>
          <w:sz w:val="32"/>
          <w:szCs w:val="32"/>
        </w:rPr>
      </w:pPr>
      <w:r>
        <w:rPr>
          <w:rStyle w:val="6"/>
          <w:rFonts w:hint="eastAsia" w:ascii="仿宋_GB2312" w:hAnsi="仿宋_GB2312" w:eastAsia="仿宋_GB2312" w:cs="仿宋_GB2312"/>
          <w:b/>
          <w:bCs/>
          <w:i w:val="0"/>
          <w:iCs w:val="0"/>
          <w:caps w:val="0"/>
          <w:color w:val="333333"/>
          <w:spacing w:val="0"/>
          <w:sz w:val="32"/>
          <w:szCs w:val="32"/>
          <w:shd w:val="clear" w:color="auto" w:fill="FFFFFF"/>
        </w:rPr>
        <w:t>第三十七条</w:t>
      </w:r>
      <w:r>
        <w:rPr>
          <w:rStyle w:val="6"/>
          <w:rFonts w:hint="eastAsia" w:ascii="仿宋_GB2312" w:hAnsi="仿宋_GB2312" w:eastAsia="仿宋_GB2312" w:cs="仿宋_GB2312"/>
          <w:b w:val="0"/>
          <w:bCs w:val="0"/>
          <w:i w:val="0"/>
          <w:iCs w:val="0"/>
          <w:caps w:val="0"/>
          <w:color w:val="333333"/>
          <w:spacing w:val="0"/>
          <w:sz w:val="32"/>
          <w:szCs w:val="32"/>
          <w:shd w:val="clear" w:color="auto" w:fill="FFFFFF"/>
        </w:rPr>
        <w:t> 建立融资计划执行情况报告制度。每年7月底前，将年度融资计划上半年执行情况向国资中心作出书面报告。次年3月底前，上报上一年度的融资分析报告。上一年度融资分析报告可与下一年度融资计划一并上报。</w:t>
      </w:r>
    </w:p>
    <w:p>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643" w:firstLineChars="200"/>
        <w:jc w:val="left"/>
        <w:textAlignment w:val="auto"/>
        <w:outlineLvl w:val="9"/>
        <w:rPr>
          <w:rFonts w:hint="eastAsia" w:ascii="仿宋_GB2312" w:hAnsi="仿宋_GB2312" w:eastAsia="仿宋_GB2312" w:cs="仿宋_GB2312"/>
          <w:b w:val="0"/>
          <w:bCs w:val="0"/>
          <w:sz w:val="32"/>
          <w:szCs w:val="32"/>
        </w:rPr>
      </w:pPr>
      <w:r>
        <w:rPr>
          <w:rStyle w:val="6"/>
          <w:rFonts w:hint="eastAsia" w:ascii="仿宋_GB2312" w:hAnsi="仿宋_GB2312" w:eastAsia="仿宋_GB2312" w:cs="仿宋_GB2312"/>
          <w:b/>
          <w:bCs/>
          <w:i w:val="0"/>
          <w:iCs w:val="0"/>
          <w:caps w:val="0"/>
          <w:color w:val="333333"/>
          <w:spacing w:val="0"/>
          <w:sz w:val="32"/>
          <w:szCs w:val="32"/>
          <w:shd w:val="clear" w:color="auto" w:fill="FFFFFF"/>
        </w:rPr>
        <w:t>第三十八条</w:t>
      </w:r>
      <w:r>
        <w:rPr>
          <w:rStyle w:val="6"/>
          <w:rFonts w:hint="eastAsia" w:ascii="仿宋_GB2312" w:hAnsi="仿宋_GB2312" w:eastAsia="仿宋_GB2312" w:cs="仿宋_GB2312"/>
          <w:b w:val="0"/>
          <w:bCs w:val="0"/>
          <w:i w:val="0"/>
          <w:iCs w:val="0"/>
          <w:caps w:val="0"/>
          <w:color w:val="333333"/>
          <w:spacing w:val="0"/>
          <w:sz w:val="32"/>
          <w:szCs w:val="32"/>
          <w:shd w:val="clear" w:color="auto" w:fill="FFFFFF"/>
        </w:rPr>
        <w:t> 所出资企业及其所属企业已列入企业发展战略规划年度实施计划或年度融资计划并经批准的融资事项，按内部决策程序实施及管理即可。国资中心直属一级公司单笔融资额300万元以下备案、300万元-1000万元以下由国资中心审批，1000万元及以上的由县政府审批；一级公司控股和实际控制的下属公司单笔融资额400万元以下由一级公司审批后报国资中心备案、400万元-1000万元以下由国资中心审批，1000万元及以上的由县政府审批。</w:t>
      </w:r>
    </w:p>
    <w:p>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643" w:firstLineChars="200"/>
        <w:jc w:val="left"/>
        <w:textAlignment w:val="auto"/>
        <w:outlineLvl w:val="9"/>
        <w:rPr>
          <w:rFonts w:hint="eastAsia" w:ascii="仿宋_GB2312" w:hAnsi="仿宋_GB2312" w:eastAsia="仿宋_GB2312" w:cs="仿宋_GB2312"/>
          <w:b w:val="0"/>
          <w:bCs w:val="0"/>
          <w:sz w:val="32"/>
          <w:szCs w:val="32"/>
        </w:rPr>
      </w:pPr>
      <w:r>
        <w:rPr>
          <w:rStyle w:val="6"/>
          <w:rFonts w:hint="eastAsia" w:ascii="仿宋_GB2312" w:hAnsi="仿宋_GB2312" w:eastAsia="仿宋_GB2312" w:cs="仿宋_GB2312"/>
          <w:b/>
          <w:bCs/>
          <w:i w:val="0"/>
          <w:iCs w:val="0"/>
          <w:caps w:val="0"/>
          <w:color w:val="333333"/>
          <w:spacing w:val="0"/>
          <w:sz w:val="32"/>
          <w:szCs w:val="32"/>
          <w:shd w:val="clear" w:color="auto" w:fill="FFFFFF"/>
        </w:rPr>
        <w:t>第三十九条</w:t>
      </w:r>
      <w:r>
        <w:rPr>
          <w:rStyle w:val="6"/>
          <w:rFonts w:hint="eastAsia" w:ascii="仿宋_GB2312" w:hAnsi="仿宋_GB2312" w:eastAsia="仿宋_GB2312" w:cs="仿宋_GB2312"/>
          <w:b w:val="0"/>
          <w:bCs w:val="0"/>
          <w:i w:val="0"/>
          <w:iCs w:val="0"/>
          <w:caps w:val="0"/>
          <w:color w:val="333333"/>
          <w:spacing w:val="0"/>
          <w:sz w:val="32"/>
          <w:szCs w:val="32"/>
          <w:shd w:val="clear" w:color="auto" w:fill="FFFFFF"/>
        </w:rPr>
        <w:t> 所出资企业发行企业债、公司债、银行间市场非金融企业债务融资工具等直接融资事项，经公司董事会审议通过并经国资中心核准后报县人民政府批准方可实施。对资产负债超过合理水平、偿债能力弱的企业，从严审批。</w:t>
      </w:r>
    </w:p>
    <w:p>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643" w:firstLineChars="200"/>
        <w:jc w:val="left"/>
        <w:textAlignment w:val="auto"/>
        <w:outlineLvl w:val="9"/>
        <w:rPr>
          <w:rFonts w:hint="eastAsia" w:ascii="仿宋_GB2312" w:hAnsi="仿宋_GB2312" w:eastAsia="仿宋_GB2312" w:cs="仿宋_GB2312"/>
          <w:b w:val="0"/>
          <w:bCs w:val="0"/>
          <w:sz w:val="32"/>
          <w:szCs w:val="32"/>
        </w:rPr>
      </w:pPr>
      <w:r>
        <w:rPr>
          <w:rStyle w:val="6"/>
          <w:rFonts w:hint="eastAsia" w:ascii="仿宋_GB2312" w:hAnsi="仿宋_GB2312" w:eastAsia="仿宋_GB2312" w:cs="仿宋_GB2312"/>
          <w:b/>
          <w:bCs/>
          <w:i w:val="0"/>
          <w:iCs w:val="0"/>
          <w:caps w:val="0"/>
          <w:color w:val="333333"/>
          <w:spacing w:val="0"/>
          <w:sz w:val="32"/>
          <w:szCs w:val="32"/>
          <w:shd w:val="clear" w:color="auto" w:fill="FFFFFF"/>
        </w:rPr>
        <w:t>第四十条</w:t>
      </w:r>
      <w:r>
        <w:rPr>
          <w:rStyle w:val="6"/>
          <w:rFonts w:hint="eastAsia" w:ascii="仿宋_GB2312" w:hAnsi="仿宋_GB2312" w:eastAsia="仿宋_GB2312" w:cs="仿宋_GB2312"/>
          <w:b w:val="0"/>
          <w:bCs w:val="0"/>
          <w:i w:val="0"/>
          <w:iCs w:val="0"/>
          <w:caps w:val="0"/>
          <w:color w:val="333333"/>
          <w:spacing w:val="0"/>
          <w:sz w:val="32"/>
          <w:szCs w:val="32"/>
          <w:shd w:val="clear" w:color="auto" w:fill="FFFFFF"/>
        </w:rPr>
        <w:t> 对于融资事项，所出资企业履行内部决策程序后应向国资中心报送以下材料：</w:t>
      </w:r>
    </w:p>
    <w:p>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640" w:firstLineChars="200"/>
        <w:jc w:val="left"/>
        <w:textAlignment w:val="auto"/>
        <w:outlineLvl w:val="9"/>
        <w:rPr>
          <w:rFonts w:hint="eastAsia" w:ascii="仿宋_GB2312" w:hAnsi="仿宋_GB2312" w:eastAsia="仿宋_GB2312" w:cs="仿宋_GB2312"/>
          <w:b w:val="0"/>
          <w:bCs w:val="0"/>
          <w:sz w:val="32"/>
          <w:szCs w:val="32"/>
        </w:rPr>
      </w:pPr>
      <w:r>
        <w:rPr>
          <w:rFonts w:hint="eastAsia" w:ascii="仿宋_GB2312" w:hAnsi="仿宋_GB2312" w:eastAsia="仿宋_GB2312" w:cs="仿宋_GB2312"/>
          <w:b w:val="0"/>
          <w:bCs w:val="0"/>
          <w:i w:val="0"/>
          <w:iCs w:val="0"/>
          <w:caps w:val="0"/>
          <w:color w:val="333333"/>
          <w:spacing w:val="0"/>
          <w:sz w:val="32"/>
          <w:szCs w:val="32"/>
          <w:shd w:val="clear" w:color="auto" w:fill="FFFFFF"/>
        </w:rPr>
        <w:t>（一）申请融资的请示，包括融资规模、融资渠道、融资方式、资金用途、融资期限、融资成本等情况说明。</w:t>
      </w:r>
    </w:p>
    <w:p>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640" w:firstLineChars="200"/>
        <w:jc w:val="left"/>
        <w:textAlignment w:val="auto"/>
        <w:outlineLvl w:val="9"/>
        <w:rPr>
          <w:rFonts w:hint="eastAsia" w:ascii="仿宋_GB2312" w:hAnsi="仿宋_GB2312" w:eastAsia="仿宋_GB2312" w:cs="仿宋_GB2312"/>
          <w:b w:val="0"/>
          <w:bCs w:val="0"/>
          <w:sz w:val="32"/>
          <w:szCs w:val="32"/>
        </w:rPr>
      </w:pPr>
      <w:r>
        <w:rPr>
          <w:rFonts w:hint="eastAsia" w:ascii="仿宋_GB2312" w:hAnsi="仿宋_GB2312" w:eastAsia="仿宋_GB2312" w:cs="仿宋_GB2312"/>
          <w:b w:val="0"/>
          <w:bCs w:val="0"/>
          <w:i w:val="0"/>
          <w:iCs w:val="0"/>
          <w:caps w:val="0"/>
          <w:color w:val="333333"/>
          <w:spacing w:val="0"/>
          <w:sz w:val="32"/>
          <w:szCs w:val="32"/>
          <w:shd w:val="clear" w:color="auto" w:fill="FFFFFF"/>
        </w:rPr>
        <w:t>（二）企业《公司章程》规定的内部决策程序文件。</w:t>
      </w:r>
    </w:p>
    <w:p>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640" w:firstLineChars="200"/>
        <w:jc w:val="left"/>
        <w:textAlignment w:val="auto"/>
        <w:outlineLvl w:val="9"/>
        <w:rPr>
          <w:rFonts w:hint="eastAsia" w:ascii="仿宋_GB2312" w:hAnsi="仿宋_GB2312" w:eastAsia="仿宋_GB2312" w:cs="仿宋_GB2312"/>
          <w:b w:val="0"/>
          <w:bCs w:val="0"/>
          <w:sz w:val="32"/>
          <w:szCs w:val="32"/>
        </w:rPr>
      </w:pPr>
      <w:r>
        <w:rPr>
          <w:rFonts w:hint="eastAsia" w:ascii="仿宋_GB2312" w:hAnsi="仿宋_GB2312" w:eastAsia="仿宋_GB2312" w:cs="仿宋_GB2312"/>
          <w:b w:val="0"/>
          <w:bCs w:val="0"/>
          <w:i w:val="0"/>
          <w:iCs w:val="0"/>
          <w:caps w:val="0"/>
          <w:color w:val="333333"/>
          <w:spacing w:val="0"/>
          <w:sz w:val="32"/>
          <w:szCs w:val="32"/>
          <w:shd w:val="clear" w:color="auto" w:fill="FFFFFF"/>
        </w:rPr>
        <w:t>（三）融资方案及可行性研究报告。</w:t>
      </w:r>
    </w:p>
    <w:p>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640" w:firstLineChars="200"/>
        <w:jc w:val="left"/>
        <w:textAlignment w:val="auto"/>
        <w:outlineLvl w:val="9"/>
        <w:rPr>
          <w:rFonts w:hint="eastAsia" w:ascii="仿宋_GB2312" w:hAnsi="仿宋_GB2312" w:eastAsia="仿宋_GB2312" w:cs="仿宋_GB2312"/>
          <w:b w:val="0"/>
          <w:bCs w:val="0"/>
          <w:sz w:val="32"/>
          <w:szCs w:val="32"/>
        </w:rPr>
      </w:pPr>
      <w:r>
        <w:rPr>
          <w:rFonts w:hint="eastAsia" w:ascii="仿宋_GB2312" w:hAnsi="仿宋_GB2312" w:eastAsia="仿宋_GB2312" w:cs="仿宋_GB2312"/>
          <w:b w:val="0"/>
          <w:bCs w:val="0"/>
          <w:i w:val="0"/>
          <w:iCs w:val="0"/>
          <w:caps w:val="0"/>
          <w:color w:val="333333"/>
          <w:spacing w:val="0"/>
          <w:sz w:val="32"/>
          <w:szCs w:val="32"/>
          <w:shd w:val="clear" w:color="auto" w:fill="FFFFFF"/>
        </w:rPr>
        <w:t>（四）还款计划及资金来源说明。</w:t>
      </w:r>
    </w:p>
    <w:p>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640" w:firstLineChars="200"/>
        <w:jc w:val="left"/>
        <w:textAlignment w:val="auto"/>
        <w:outlineLvl w:val="9"/>
        <w:rPr>
          <w:rFonts w:hint="eastAsia" w:ascii="仿宋_GB2312" w:hAnsi="仿宋_GB2312" w:eastAsia="仿宋_GB2312" w:cs="仿宋_GB2312"/>
          <w:b w:val="0"/>
          <w:bCs w:val="0"/>
          <w:sz w:val="32"/>
          <w:szCs w:val="32"/>
        </w:rPr>
      </w:pPr>
      <w:r>
        <w:rPr>
          <w:rFonts w:hint="eastAsia" w:ascii="仿宋_GB2312" w:hAnsi="仿宋_GB2312" w:eastAsia="仿宋_GB2312" w:cs="仿宋_GB2312"/>
          <w:b w:val="0"/>
          <w:bCs w:val="0"/>
          <w:i w:val="0"/>
          <w:iCs w:val="0"/>
          <w:caps w:val="0"/>
          <w:color w:val="333333"/>
          <w:spacing w:val="0"/>
          <w:sz w:val="32"/>
          <w:szCs w:val="32"/>
          <w:shd w:val="clear" w:color="auto" w:fill="FFFFFF"/>
        </w:rPr>
        <w:t>（五）法律意见书。</w:t>
      </w:r>
    </w:p>
    <w:p>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640" w:firstLineChars="200"/>
        <w:jc w:val="left"/>
        <w:textAlignment w:val="auto"/>
        <w:outlineLvl w:val="9"/>
        <w:rPr>
          <w:rFonts w:hint="eastAsia" w:ascii="仿宋_GB2312" w:hAnsi="仿宋_GB2312" w:eastAsia="仿宋_GB2312" w:cs="仿宋_GB2312"/>
          <w:b w:val="0"/>
          <w:bCs w:val="0"/>
          <w:sz w:val="32"/>
          <w:szCs w:val="32"/>
        </w:rPr>
      </w:pPr>
      <w:r>
        <w:rPr>
          <w:rFonts w:hint="eastAsia" w:ascii="仿宋_GB2312" w:hAnsi="仿宋_GB2312" w:eastAsia="仿宋_GB2312" w:cs="仿宋_GB2312"/>
          <w:b w:val="0"/>
          <w:bCs w:val="0"/>
          <w:i w:val="0"/>
          <w:iCs w:val="0"/>
          <w:caps w:val="0"/>
          <w:color w:val="333333"/>
          <w:spacing w:val="0"/>
          <w:sz w:val="32"/>
          <w:szCs w:val="32"/>
          <w:shd w:val="clear" w:color="auto" w:fill="FFFFFF"/>
        </w:rPr>
        <w:t>（六）国资中心认为须上报的其他材料。</w:t>
      </w:r>
    </w:p>
    <w:p>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640" w:firstLineChars="200"/>
        <w:jc w:val="left"/>
        <w:textAlignment w:val="auto"/>
        <w:outlineLvl w:val="9"/>
        <w:rPr>
          <w:rFonts w:hint="eastAsia" w:ascii="仿宋_GB2312" w:hAnsi="仿宋_GB2312" w:eastAsia="仿宋_GB2312" w:cs="仿宋_GB2312"/>
          <w:b w:val="0"/>
          <w:bCs w:val="0"/>
          <w:sz w:val="32"/>
          <w:szCs w:val="32"/>
        </w:rPr>
      </w:pPr>
      <w:r>
        <w:rPr>
          <w:rFonts w:hint="eastAsia" w:ascii="仿宋_GB2312" w:hAnsi="仿宋_GB2312" w:eastAsia="仿宋_GB2312" w:cs="仿宋_GB2312"/>
          <w:b w:val="0"/>
          <w:bCs w:val="0"/>
          <w:i w:val="0"/>
          <w:iCs w:val="0"/>
          <w:caps w:val="0"/>
          <w:color w:val="333333"/>
          <w:spacing w:val="0"/>
          <w:sz w:val="32"/>
          <w:szCs w:val="32"/>
          <w:shd w:val="clear" w:color="auto" w:fill="FFFFFF"/>
        </w:rPr>
        <w:t>流动资金贷款可不提供（三）和（五）。</w:t>
      </w:r>
    </w:p>
    <w:p>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643" w:firstLineChars="200"/>
        <w:jc w:val="left"/>
        <w:textAlignment w:val="auto"/>
        <w:outlineLvl w:val="9"/>
        <w:rPr>
          <w:rFonts w:hint="eastAsia" w:ascii="仿宋_GB2312" w:hAnsi="仿宋_GB2312" w:eastAsia="仿宋_GB2312" w:cs="仿宋_GB2312"/>
          <w:b w:val="0"/>
          <w:bCs w:val="0"/>
          <w:sz w:val="32"/>
          <w:szCs w:val="32"/>
        </w:rPr>
      </w:pPr>
      <w:r>
        <w:rPr>
          <w:rStyle w:val="6"/>
          <w:rFonts w:hint="eastAsia" w:ascii="仿宋_GB2312" w:hAnsi="仿宋_GB2312" w:eastAsia="仿宋_GB2312" w:cs="仿宋_GB2312"/>
          <w:b/>
          <w:bCs/>
          <w:i w:val="0"/>
          <w:iCs w:val="0"/>
          <w:caps w:val="0"/>
          <w:color w:val="333333"/>
          <w:spacing w:val="0"/>
          <w:sz w:val="32"/>
          <w:szCs w:val="32"/>
          <w:shd w:val="clear" w:color="auto" w:fill="FFFFFF"/>
        </w:rPr>
        <w:t>第四十一条 </w:t>
      </w:r>
      <w:r>
        <w:rPr>
          <w:rStyle w:val="6"/>
          <w:rFonts w:hint="eastAsia" w:ascii="仿宋_GB2312" w:hAnsi="仿宋_GB2312" w:eastAsia="仿宋_GB2312" w:cs="仿宋_GB2312"/>
          <w:b w:val="0"/>
          <w:bCs w:val="0"/>
          <w:i w:val="0"/>
          <w:iCs w:val="0"/>
          <w:caps w:val="0"/>
          <w:color w:val="333333"/>
          <w:spacing w:val="0"/>
          <w:sz w:val="32"/>
          <w:szCs w:val="32"/>
          <w:shd w:val="clear" w:color="auto" w:fill="FFFFFF"/>
        </w:rPr>
        <w:t>所出资企业及其所属企业严禁下列融资行为:</w:t>
      </w:r>
    </w:p>
    <w:p>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640" w:firstLineChars="200"/>
        <w:jc w:val="left"/>
        <w:textAlignment w:val="auto"/>
        <w:outlineLvl w:val="9"/>
        <w:rPr>
          <w:rFonts w:hint="eastAsia" w:ascii="仿宋_GB2312" w:hAnsi="仿宋_GB2312" w:eastAsia="仿宋_GB2312" w:cs="仿宋_GB2312"/>
          <w:b w:val="0"/>
          <w:bCs w:val="0"/>
          <w:sz w:val="32"/>
          <w:szCs w:val="32"/>
        </w:rPr>
      </w:pPr>
      <w:r>
        <w:rPr>
          <w:rFonts w:hint="eastAsia" w:ascii="仿宋_GB2312" w:hAnsi="仿宋_GB2312" w:eastAsia="仿宋_GB2312" w:cs="仿宋_GB2312"/>
          <w:b w:val="0"/>
          <w:bCs w:val="0"/>
          <w:i w:val="0"/>
          <w:iCs w:val="0"/>
          <w:caps w:val="0"/>
          <w:color w:val="333333"/>
          <w:spacing w:val="0"/>
          <w:sz w:val="32"/>
          <w:szCs w:val="32"/>
          <w:shd w:val="clear" w:color="auto" w:fill="FFFFFF"/>
        </w:rPr>
        <w:t>（一）非经县人民政府批准，融资成本不得超过8%。</w:t>
      </w:r>
    </w:p>
    <w:p>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640" w:firstLineChars="200"/>
        <w:jc w:val="left"/>
        <w:textAlignment w:val="auto"/>
        <w:outlineLvl w:val="9"/>
        <w:rPr>
          <w:rFonts w:hint="eastAsia" w:ascii="仿宋_GB2312" w:hAnsi="仿宋_GB2312" w:eastAsia="仿宋_GB2312" w:cs="仿宋_GB2312"/>
          <w:b w:val="0"/>
          <w:bCs w:val="0"/>
          <w:sz w:val="32"/>
          <w:szCs w:val="32"/>
        </w:rPr>
      </w:pPr>
      <w:r>
        <w:rPr>
          <w:rFonts w:hint="eastAsia" w:ascii="仿宋_GB2312" w:hAnsi="仿宋_GB2312" w:eastAsia="仿宋_GB2312" w:cs="仿宋_GB2312"/>
          <w:b w:val="0"/>
          <w:bCs w:val="0"/>
          <w:i w:val="0"/>
          <w:iCs w:val="0"/>
          <w:caps w:val="0"/>
          <w:color w:val="333333"/>
          <w:spacing w:val="0"/>
          <w:sz w:val="32"/>
          <w:szCs w:val="32"/>
          <w:shd w:val="clear" w:color="auto" w:fill="FFFFFF"/>
        </w:rPr>
        <w:t>（二）不得举借没有偿债资金来源的债务。</w:t>
      </w:r>
    </w:p>
    <w:p>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640" w:firstLineChars="200"/>
        <w:jc w:val="left"/>
        <w:textAlignment w:val="auto"/>
        <w:outlineLvl w:val="9"/>
        <w:rPr>
          <w:rFonts w:hint="eastAsia" w:ascii="仿宋_GB2312" w:hAnsi="仿宋_GB2312" w:eastAsia="仿宋_GB2312" w:cs="仿宋_GB2312"/>
          <w:b w:val="0"/>
          <w:bCs w:val="0"/>
          <w:sz w:val="32"/>
          <w:szCs w:val="32"/>
        </w:rPr>
      </w:pPr>
      <w:r>
        <w:rPr>
          <w:rFonts w:hint="eastAsia" w:ascii="仿宋_GB2312" w:hAnsi="仿宋_GB2312" w:eastAsia="仿宋_GB2312" w:cs="仿宋_GB2312"/>
          <w:b w:val="0"/>
          <w:bCs w:val="0"/>
          <w:i w:val="0"/>
          <w:iCs w:val="0"/>
          <w:caps w:val="0"/>
          <w:color w:val="333333"/>
          <w:spacing w:val="0"/>
          <w:sz w:val="32"/>
          <w:szCs w:val="32"/>
          <w:shd w:val="clear" w:color="auto" w:fill="FFFFFF"/>
        </w:rPr>
        <w:t>（三）严禁以任何形式为政府及其部门举借债务，或以任何形式产生以政府财政收入作为还款来源、增加政府隐性负债的融资行为。在举债融资时需主动声明不承担政府融资职能、所举借债务是企业债务，政府不承担偿债责任。</w:t>
      </w:r>
    </w:p>
    <w:p>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643" w:firstLineChars="200"/>
        <w:jc w:val="left"/>
        <w:textAlignment w:val="auto"/>
        <w:outlineLvl w:val="9"/>
        <w:rPr>
          <w:rFonts w:hint="eastAsia" w:ascii="仿宋_GB2312" w:hAnsi="仿宋_GB2312" w:eastAsia="仿宋_GB2312" w:cs="仿宋_GB2312"/>
          <w:b w:val="0"/>
          <w:bCs w:val="0"/>
          <w:sz w:val="32"/>
          <w:szCs w:val="32"/>
        </w:rPr>
      </w:pPr>
      <w:r>
        <w:rPr>
          <w:rStyle w:val="6"/>
          <w:rFonts w:hint="eastAsia" w:ascii="仿宋_GB2312" w:hAnsi="仿宋_GB2312" w:eastAsia="仿宋_GB2312" w:cs="仿宋_GB2312"/>
          <w:b/>
          <w:bCs/>
          <w:i w:val="0"/>
          <w:iCs w:val="0"/>
          <w:caps w:val="0"/>
          <w:color w:val="333333"/>
          <w:spacing w:val="0"/>
          <w:sz w:val="32"/>
          <w:szCs w:val="32"/>
          <w:shd w:val="clear" w:color="auto" w:fill="FFFFFF"/>
        </w:rPr>
        <w:t>第四十二条</w:t>
      </w:r>
      <w:r>
        <w:rPr>
          <w:rStyle w:val="6"/>
          <w:rFonts w:hint="eastAsia" w:ascii="仿宋_GB2312" w:hAnsi="仿宋_GB2312" w:eastAsia="仿宋_GB2312" w:cs="仿宋_GB2312"/>
          <w:b w:val="0"/>
          <w:bCs w:val="0"/>
          <w:i w:val="0"/>
          <w:iCs w:val="0"/>
          <w:caps w:val="0"/>
          <w:color w:val="333333"/>
          <w:spacing w:val="0"/>
          <w:sz w:val="32"/>
          <w:szCs w:val="32"/>
          <w:shd w:val="clear" w:color="auto" w:fill="FFFFFF"/>
        </w:rPr>
        <w:t> 国资中心可根据国资监管工作需要和企业实际，通过公司章程或授权经营文件，对有关企业融资管理方式和权限进行调整。企业可根据生产经营特点及实际需要，向国资中心申请对特定类别的融资项目或单户子企业（包括重要子企业或其他承担特定功能的子企业）的融资管理授权。</w:t>
      </w:r>
    </w:p>
    <w:p>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640" w:firstLineChars="200"/>
        <w:jc w:val="left"/>
        <w:textAlignment w:val="auto"/>
        <w:outlineLvl w:val="9"/>
        <w:rPr>
          <w:rFonts w:hint="eastAsia" w:ascii="仿宋_GB2312" w:hAnsi="仿宋_GB2312" w:eastAsia="仿宋_GB2312" w:cs="仿宋_GB2312"/>
          <w:b w:val="0"/>
          <w:bCs w:val="0"/>
          <w:i w:val="0"/>
          <w:iCs w:val="0"/>
          <w:caps w:val="0"/>
          <w:color w:val="333333"/>
          <w:spacing w:val="0"/>
          <w:sz w:val="32"/>
          <w:szCs w:val="32"/>
          <w:shd w:val="clear" w:color="auto" w:fill="FFFFFF"/>
        </w:rPr>
      </w:pPr>
      <w:r>
        <w:rPr>
          <w:rFonts w:hint="eastAsia" w:ascii="仿宋_GB2312" w:hAnsi="仿宋_GB2312" w:eastAsia="仿宋_GB2312" w:cs="仿宋_GB2312"/>
          <w:b w:val="0"/>
          <w:bCs w:val="0"/>
          <w:i w:val="0"/>
          <w:iCs w:val="0"/>
          <w:caps w:val="0"/>
          <w:color w:val="333333"/>
          <w:spacing w:val="0"/>
          <w:sz w:val="32"/>
          <w:szCs w:val="32"/>
          <w:shd w:val="clear" w:color="auto" w:fill="FFFFFF"/>
        </w:rPr>
        <w:t> </w:t>
      </w:r>
    </w:p>
    <w:p>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right="0"/>
        <w:jc w:val="center"/>
        <w:textAlignment w:val="auto"/>
        <w:outlineLvl w:val="9"/>
        <w:rPr>
          <w:rFonts w:hint="eastAsia" w:ascii="黑体" w:hAnsi="黑体" w:eastAsia="黑体" w:cs="黑体"/>
          <w:b w:val="0"/>
          <w:bCs w:val="0"/>
          <w:sz w:val="32"/>
          <w:szCs w:val="32"/>
        </w:rPr>
      </w:pPr>
      <w:r>
        <w:rPr>
          <w:rFonts w:hint="eastAsia" w:ascii="黑体" w:hAnsi="黑体" w:eastAsia="黑体" w:cs="黑体"/>
          <w:b w:val="0"/>
          <w:bCs w:val="0"/>
          <w:i w:val="0"/>
          <w:iCs w:val="0"/>
          <w:caps w:val="0"/>
          <w:color w:val="333333"/>
          <w:spacing w:val="0"/>
          <w:sz w:val="32"/>
          <w:szCs w:val="32"/>
          <w:shd w:val="clear" w:color="auto" w:fill="FFFFFF"/>
        </w:rPr>
        <w:t>第六章  担保事项</w:t>
      </w:r>
    </w:p>
    <w:p>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643" w:firstLineChars="200"/>
        <w:jc w:val="left"/>
        <w:textAlignment w:val="auto"/>
        <w:outlineLvl w:val="9"/>
        <w:rPr>
          <w:rFonts w:hint="eastAsia" w:ascii="仿宋_GB2312" w:hAnsi="仿宋_GB2312" w:eastAsia="仿宋_GB2312" w:cs="仿宋_GB2312"/>
          <w:b w:val="0"/>
          <w:bCs w:val="0"/>
          <w:sz w:val="32"/>
          <w:szCs w:val="32"/>
        </w:rPr>
      </w:pPr>
      <w:r>
        <w:rPr>
          <w:rStyle w:val="6"/>
          <w:rFonts w:hint="eastAsia" w:ascii="仿宋_GB2312" w:hAnsi="仿宋_GB2312" w:eastAsia="仿宋_GB2312" w:cs="仿宋_GB2312"/>
          <w:b/>
          <w:bCs/>
          <w:i w:val="0"/>
          <w:iCs w:val="0"/>
          <w:caps w:val="0"/>
          <w:color w:val="333333"/>
          <w:spacing w:val="0"/>
          <w:sz w:val="32"/>
          <w:szCs w:val="32"/>
          <w:shd w:val="clear" w:color="auto" w:fill="FFFFFF"/>
        </w:rPr>
        <w:t>第四十三条</w:t>
      </w:r>
      <w:r>
        <w:rPr>
          <w:rStyle w:val="6"/>
          <w:rFonts w:hint="eastAsia" w:ascii="仿宋_GB2312" w:hAnsi="仿宋_GB2312" w:eastAsia="仿宋_GB2312" w:cs="仿宋_GB2312"/>
          <w:b w:val="0"/>
          <w:bCs w:val="0"/>
          <w:i w:val="0"/>
          <w:iCs w:val="0"/>
          <w:caps w:val="0"/>
          <w:color w:val="333333"/>
          <w:spacing w:val="0"/>
          <w:sz w:val="32"/>
          <w:szCs w:val="32"/>
          <w:shd w:val="clear" w:color="auto" w:fill="FFFFFF"/>
        </w:rPr>
        <w:t> 本规定所称担保事项是指所出资企业及其所属各级全资、控股企业（以下简称“所属企业”）以企业财产或保证人身份为被担保人（债务人或自身）的债务、行为、合同或协议履行而提供的抵押、质押以及保证等形式的保障措施的行为。</w:t>
      </w:r>
    </w:p>
    <w:p>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640" w:firstLineChars="200"/>
        <w:jc w:val="left"/>
        <w:textAlignment w:val="auto"/>
        <w:outlineLvl w:val="9"/>
        <w:rPr>
          <w:rStyle w:val="6"/>
          <w:rFonts w:hint="eastAsia" w:ascii="仿宋_GB2312" w:hAnsi="仿宋_GB2312" w:eastAsia="仿宋_GB2312" w:cs="仿宋_GB2312"/>
          <w:b w:val="0"/>
          <w:bCs w:val="0"/>
          <w:i w:val="0"/>
          <w:iCs w:val="0"/>
          <w:caps w:val="0"/>
          <w:color w:val="333333"/>
          <w:spacing w:val="0"/>
          <w:sz w:val="32"/>
          <w:szCs w:val="32"/>
          <w:shd w:val="clear" w:color="auto" w:fill="FFFFFF"/>
        </w:rPr>
      </w:pPr>
      <w:r>
        <w:rPr>
          <w:rFonts w:hint="eastAsia" w:ascii="仿宋_GB2312" w:hAnsi="仿宋_GB2312" w:eastAsia="仿宋_GB2312" w:cs="仿宋_GB2312"/>
          <w:b w:val="0"/>
          <w:bCs w:val="0"/>
          <w:i w:val="0"/>
          <w:iCs w:val="0"/>
          <w:caps w:val="0"/>
          <w:color w:val="333333"/>
          <w:spacing w:val="0"/>
          <w:sz w:val="32"/>
          <w:szCs w:val="32"/>
          <w:shd w:val="clear" w:color="auto" w:fill="FFFFFF"/>
        </w:rPr>
        <w:t>本规定所称提供反担保的物或者权利等财产，是指财产</w:t>
      </w:r>
      <w:r>
        <w:rPr>
          <w:rStyle w:val="6"/>
          <w:rFonts w:hint="eastAsia" w:ascii="仿宋_GB2312" w:hAnsi="仿宋_GB2312" w:eastAsia="仿宋_GB2312" w:cs="仿宋_GB2312"/>
          <w:b w:val="0"/>
          <w:bCs w:val="0"/>
          <w:i w:val="0"/>
          <w:iCs w:val="0"/>
          <w:caps w:val="0"/>
          <w:color w:val="333333"/>
          <w:spacing w:val="0"/>
          <w:sz w:val="32"/>
          <w:szCs w:val="32"/>
          <w:shd w:val="clear" w:color="auto" w:fill="FFFFFF"/>
        </w:rPr>
        <w:t>权利人合法拥有且无权利瑕疵的财产。</w:t>
      </w:r>
    </w:p>
    <w:p>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643" w:firstLineChars="200"/>
        <w:jc w:val="left"/>
        <w:textAlignment w:val="auto"/>
        <w:outlineLvl w:val="9"/>
        <w:rPr>
          <w:rFonts w:hint="eastAsia" w:ascii="仿宋_GB2312" w:hAnsi="仿宋_GB2312" w:eastAsia="仿宋_GB2312" w:cs="仿宋_GB2312"/>
          <w:b w:val="0"/>
          <w:bCs w:val="0"/>
          <w:sz w:val="32"/>
          <w:szCs w:val="32"/>
        </w:rPr>
      </w:pPr>
      <w:r>
        <w:rPr>
          <w:rStyle w:val="6"/>
          <w:rFonts w:hint="eastAsia" w:ascii="仿宋_GB2312" w:hAnsi="仿宋_GB2312" w:eastAsia="仿宋_GB2312" w:cs="仿宋_GB2312"/>
          <w:b/>
          <w:bCs/>
          <w:i w:val="0"/>
          <w:iCs w:val="0"/>
          <w:caps w:val="0"/>
          <w:color w:val="333333"/>
          <w:spacing w:val="0"/>
          <w:sz w:val="32"/>
          <w:szCs w:val="32"/>
          <w:shd w:val="clear" w:color="auto" w:fill="FFFFFF"/>
        </w:rPr>
        <w:t>第四十四条 </w:t>
      </w:r>
      <w:r>
        <w:rPr>
          <w:rStyle w:val="6"/>
          <w:rFonts w:hint="eastAsia" w:ascii="仿宋_GB2312" w:hAnsi="仿宋_GB2312" w:eastAsia="仿宋_GB2312" w:cs="仿宋_GB2312"/>
          <w:b w:val="0"/>
          <w:bCs w:val="0"/>
          <w:i w:val="0"/>
          <w:iCs w:val="0"/>
          <w:caps w:val="0"/>
          <w:color w:val="333333"/>
          <w:spacing w:val="0"/>
          <w:sz w:val="32"/>
          <w:szCs w:val="32"/>
          <w:shd w:val="clear" w:color="auto" w:fill="FFFFFF"/>
        </w:rPr>
        <w:t>所出资企业为自身及其所属各级企业，或者为县属其他国有独资、控股企业及其所属企业提供担保或借款，经出席董事会的三分之二以上董事审议同意并做出决议后，国资中心直属公司单笔担保额300万元以下备案、300万元-1000万元以下由国资中心审批，1000万元及以上的由县政府审批；一级公司控股和实际控制的下属公司单笔担保额300万元以下由一级公司审批后报国资中心备案、300万元-1000万元以下由国资中心审批，1000万元及以上的由县政府审批。</w:t>
      </w:r>
    </w:p>
    <w:p>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643" w:firstLineChars="200"/>
        <w:jc w:val="left"/>
        <w:textAlignment w:val="auto"/>
        <w:outlineLvl w:val="9"/>
        <w:rPr>
          <w:rFonts w:hint="eastAsia" w:ascii="仿宋_GB2312" w:hAnsi="仿宋_GB2312" w:eastAsia="仿宋_GB2312" w:cs="仿宋_GB2312"/>
          <w:b w:val="0"/>
          <w:bCs w:val="0"/>
          <w:sz w:val="32"/>
          <w:szCs w:val="32"/>
        </w:rPr>
      </w:pPr>
      <w:r>
        <w:rPr>
          <w:rStyle w:val="6"/>
          <w:rFonts w:hint="eastAsia" w:ascii="仿宋_GB2312" w:hAnsi="仿宋_GB2312" w:eastAsia="仿宋_GB2312" w:cs="仿宋_GB2312"/>
          <w:b/>
          <w:bCs/>
          <w:i w:val="0"/>
          <w:iCs w:val="0"/>
          <w:caps w:val="0"/>
          <w:color w:val="333333"/>
          <w:spacing w:val="0"/>
          <w:sz w:val="32"/>
          <w:szCs w:val="32"/>
          <w:shd w:val="clear" w:color="auto" w:fill="FFFFFF"/>
        </w:rPr>
        <w:t>第四十五条</w:t>
      </w:r>
      <w:r>
        <w:rPr>
          <w:rStyle w:val="6"/>
          <w:rFonts w:hint="eastAsia" w:ascii="仿宋_GB2312" w:hAnsi="仿宋_GB2312" w:eastAsia="仿宋_GB2312" w:cs="仿宋_GB2312"/>
          <w:b w:val="0"/>
          <w:bCs w:val="0"/>
          <w:i w:val="0"/>
          <w:iCs w:val="0"/>
          <w:caps w:val="0"/>
          <w:color w:val="333333"/>
          <w:spacing w:val="0"/>
          <w:sz w:val="32"/>
          <w:szCs w:val="32"/>
          <w:shd w:val="clear" w:color="auto" w:fill="FFFFFF"/>
        </w:rPr>
        <w:t> 所出资企业不得为第四十四条规定之外的企业提供担保或借款，主营业务是担保业务的县属国有企业，按照国家相关规定开展业务。</w:t>
      </w:r>
    </w:p>
    <w:p>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643" w:firstLineChars="200"/>
        <w:jc w:val="left"/>
        <w:textAlignment w:val="auto"/>
        <w:outlineLvl w:val="9"/>
        <w:rPr>
          <w:rFonts w:hint="eastAsia" w:ascii="仿宋_GB2312" w:hAnsi="仿宋_GB2312" w:eastAsia="仿宋_GB2312" w:cs="仿宋_GB2312"/>
          <w:b w:val="0"/>
          <w:bCs w:val="0"/>
          <w:sz w:val="32"/>
          <w:szCs w:val="32"/>
        </w:rPr>
      </w:pPr>
      <w:r>
        <w:rPr>
          <w:rStyle w:val="6"/>
          <w:rFonts w:hint="eastAsia" w:ascii="仿宋_GB2312" w:hAnsi="仿宋_GB2312" w:eastAsia="仿宋_GB2312" w:cs="仿宋_GB2312"/>
          <w:b/>
          <w:bCs/>
          <w:i w:val="0"/>
          <w:iCs w:val="0"/>
          <w:caps w:val="0"/>
          <w:color w:val="333333"/>
          <w:spacing w:val="0"/>
          <w:sz w:val="32"/>
          <w:szCs w:val="32"/>
          <w:shd w:val="clear" w:color="auto" w:fill="FFFFFF"/>
        </w:rPr>
        <w:t>第四十六条</w:t>
      </w:r>
      <w:r>
        <w:rPr>
          <w:rStyle w:val="6"/>
          <w:rFonts w:hint="eastAsia" w:ascii="仿宋_GB2312" w:hAnsi="仿宋_GB2312" w:eastAsia="仿宋_GB2312" w:cs="仿宋_GB2312"/>
          <w:b w:val="0"/>
          <w:bCs w:val="0"/>
          <w:i w:val="0"/>
          <w:iCs w:val="0"/>
          <w:caps w:val="0"/>
          <w:color w:val="333333"/>
          <w:spacing w:val="0"/>
          <w:sz w:val="32"/>
          <w:szCs w:val="32"/>
          <w:shd w:val="clear" w:color="auto" w:fill="FFFFFF"/>
        </w:rPr>
        <w:t> 对于上述须报国资中心核准的担保或借款事项，所出资企业履行内部决策程序后应当向国资中心报送以下材料：</w:t>
      </w:r>
    </w:p>
    <w:p>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640" w:firstLineChars="200"/>
        <w:jc w:val="left"/>
        <w:textAlignment w:val="auto"/>
        <w:outlineLvl w:val="9"/>
        <w:rPr>
          <w:rFonts w:hint="eastAsia" w:ascii="仿宋_GB2312" w:hAnsi="仿宋_GB2312" w:eastAsia="仿宋_GB2312" w:cs="仿宋_GB2312"/>
          <w:b w:val="0"/>
          <w:bCs w:val="0"/>
          <w:sz w:val="32"/>
          <w:szCs w:val="32"/>
        </w:rPr>
      </w:pPr>
      <w:r>
        <w:rPr>
          <w:rFonts w:hint="eastAsia" w:ascii="仿宋_GB2312" w:hAnsi="仿宋_GB2312" w:eastAsia="仿宋_GB2312" w:cs="仿宋_GB2312"/>
          <w:b w:val="0"/>
          <w:bCs w:val="0"/>
          <w:i w:val="0"/>
          <w:iCs w:val="0"/>
          <w:caps w:val="0"/>
          <w:color w:val="333333"/>
          <w:spacing w:val="0"/>
          <w:sz w:val="32"/>
          <w:szCs w:val="32"/>
          <w:shd w:val="clear" w:color="auto" w:fill="FFFFFF"/>
        </w:rPr>
        <w:t>（一）董事会对本条（二）至（五）项材料审查后形成的担保或借款事项决议；</w:t>
      </w:r>
    </w:p>
    <w:p>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640" w:firstLineChars="200"/>
        <w:jc w:val="left"/>
        <w:textAlignment w:val="auto"/>
        <w:outlineLvl w:val="9"/>
        <w:rPr>
          <w:rFonts w:hint="eastAsia" w:ascii="仿宋_GB2312" w:hAnsi="仿宋_GB2312" w:eastAsia="仿宋_GB2312" w:cs="仿宋_GB2312"/>
          <w:b w:val="0"/>
          <w:bCs w:val="0"/>
          <w:sz w:val="32"/>
          <w:szCs w:val="32"/>
        </w:rPr>
      </w:pPr>
      <w:r>
        <w:rPr>
          <w:rFonts w:hint="eastAsia" w:ascii="仿宋_GB2312" w:hAnsi="仿宋_GB2312" w:eastAsia="仿宋_GB2312" w:cs="仿宋_GB2312"/>
          <w:b w:val="0"/>
          <w:bCs w:val="0"/>
          <w:i w:val="0"/>
          <w:iCs w:val="0"/>
          <w:caps w:val="0"/>
          <w:color w:val="333333"/>
          <w:spacing w:val="0"/>
          <w:sz w:val="32"/>
          <w:szCs w:val="32"/>
          <w:shd w:val="clear" w:color="auto" w:fill="FFFFFF"/>
        </w:rPr>
        <w:t>（二）总会计师出具的财务分析报告，其内容包括：担保事项说明、担保人与被担保人财务状况（含双方企业对外累计借入款项额和对外提供担保额）、融资资金用途、还款来源明细及还款计划、被担保人长短期偿债能力分析和盈利能力分析，担保事项财务风险评估及风险防范措施等；没有设置总会计师的由财务总监或财务部门负责人出具财务分析报告，并由企业分管财务的负责人签署意见；</w:t>
      </w:r>
    </w:p>
    <w:p>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640" w:firstLineChars="200"/>
        <w:jc w:val="left"/>
        <w:textAlignment w:val="auto"/>
        <w:outlineLvl w:val="9"/>
        <w:rPr>
          <w:rFonts w:hint="eastAsia" w:ascii="仿宋_GB2312" w:hAnsi="仿宋_GB2312" w:eastAsia="仿宋_GB2312" w:cs="仿宋_GB2312"/>
          <w:b w:val="0"/>
          <w:bCs w:val="0"/>
          <w:sz w:val="32"/>
          <w:szCs w:val="32"/>
        </w:rPr>
      </w:pPr>
      <w:r>
        <w:rPr>
          <w:rFonts w:hint="eastAsia" w:ascii="仿宋_GB2312" w:hAnsi="仿宋_GB2312" w:eastAsia="仿宋_GB2312" w:cs="仿宋_GB2312"/>
          <w:b w:val="0"/>
          <w:bCs w:val="0"/>
          <w:i w:val="0"/>
          <w:iCs w:val="0"/>
          <w:caps w:val="0"/>
          <w:color w:val="333333"/>
          <w:spacing w:val="0"/>
          <w:sz w:val="32"/>
          <w:szCs w:val="32"/>
          <w:shd w:val="clear" w:color="auto" w:fill="FFFFFF"/>
        </w:rPr>
        <w:t>（三）企业法律顾问出具的法律意见书，其内容包括：担保人与被担保人关系及双方股权结构、被担保人主体资格及资信状况、担保事项、反担保措施、决策程序、担保行为和担保内容的合法合规性、担保人与被担保人责任承担能力分析、担保事项法律风险评估及风险防范措施等；暂未设置法律顾问的由企业法务部门负责人或外聘律师事务所出具法律意见书，并由企业分管法务的负责人签署意见；</w:t>
      </w:r>
    </w:p>
    <w:p>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640" w:firstLineChars="200"/>
        <w:jc w:val="left"/>
        <w:textAlignment w:val="auto"/>
        <w:outlineLvl w:val="9"/>
        <w:rPr>
          <w:rFonts w:hint="eastAsia" w:ascii="仿宋_GB2312" w:hAnsi="仿宋_GB2312" w:eastAsia="仿宋_GB2312" w:cs="仿宋_GB2312"/>
          <w:b w:val="0"/>
          <w:bCs w:val="0"/>
          <w:sz w:val="32"/>
          <w:szCs w:val="32"/>
        </w:rPr>
      </w:pPr>
      <w:r>
        <w:rPr>
          <w:rFonts w:hint="eastAsia" w:ascii="仿宋_GB2312" w:hAnsi="仿宋_GB2312" w:eastAsia="仿宋_GB2312" w:cs="仿宋_GB2312"/>
          <w:b w:val="0"/>
          <w:bCs w:val="0"/>
          <w:i w:val="0"/>
          <w:iCs w:val="0"/>
          <w:caps w:val="0"/>
          <w:color w:val="333333"/>
          <w:spacing w:val="0"/>
          <w:sz w:val="32"/>
          <w:szCs w:val="32"/>
          <w:shd w:val="clear" w:color="auto" w:fill="FFFFFF"/>
        </w:rPr>
        <w:t>（四）担保人与被担保人有关财务报表，包括资产负债表、利润表、现金流量表、应上交应弥补款项表、基本情况表等；</w:t>
      </w:r>
    </w:p>
    <w:p>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640" w:firstLineChars="200"/>
        <w:jc w:val="left"/>
        <w:textAlignment w:val="auto"/>
        <w:outlineLvl w:val="9"/>
        <w:rPr>
          <w:rFonts w:hint="eastAsia" w:ascii="仿宋_GB2312" w:hAnsi="仿宋_GB2312" w:eastAsia="仿宋_GB2312" w:cs="仿宋_GB2312"/>
          <w:b w:val="0"/>
          <w:bCs w:val="0"/>
          <w:sz w:val="32"/>
          <w:szCs w:val="32"/>
        </w:rPr>
      </w:pPr>
      <w:r>
        <w:rPr>
          <w:rFonts w:hint="eastAsia" w:ascii="仿宋_GB2312" w:hAnsi="仿宋_GB2312" w:eastAsia="仿宋_GB2312" w:cs="仿宋_GB2312"/>
          <w:b w:val="0"/>
          <w:bCs w:val="0"/>
          <w:i w:val="0"/>
          <w:iCs w:val="0"/>
          <w:caps w:val="0"/>
          <w:color w:val="333333"/>
          <w:spacing w:val="0"/>
          <w:sz w:val="32"/>
          <w:szCs w:val="32"/>
          <w:shd w:val="clear" w:color="auto" w:fill="FFFFFF"/>
        </w:rPr>
        <w:t>（五）为项目或股权融资提供担保的，还应当提供有关政府部门的审批文件和国资中心的核准文件；</w:t>
      </w:r>
    </w:p>
    <w:p>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640" w:firstLineChars="200"/>
        <w:jc w:val="left"/>
        <w:textAlignment w:val="auto"/>
        <w:outlineLvl w:val="9"/>
        <w:rPr>
          <w:rFonts w:hint="eastAsia" w:ascii="仿宋_GB2312" w:hAnsi="仿宋_GB2312" w:eastAsia="仿宋_GB2312" w:cs="仿宋_GB2312"/>
          <w:b w:val="0"/>
          <w:bCs w:val="0"/>
          <w:sz w:val="32"/>
          <w:szCs w:val="32"/>
        </w:rPr>
      </w:pPr>
      <w:r>
        <w:rPr>
          <w:rFonts w:hint="eastAsia" w:ascii="仿宋_GB2312" w:hAnsi="仿宋_GB2312" w:eastAsia="仿宋_GB2312" w:cs="仿宋_GB2312"/>
          <w:b w:val="0"/>
          <w:bCs w:val="0"/>
          <w:i w:val="0"/>
          <w:iCs w:val="0"/>
          <w:caps w:val="0"/>
          <w:color w:val="333333"/>
          <w:spacing w:val="0"/>
          <w:sz w:val="32"/>
          <w:szCs w:val="32"/>
          <w:shd w:val="clear" w:color="auto" w:fill="FFFFFF"/>
        </w:rPr>
        <w:t>（六）其他需要说明的事项或需要补充的材料。</w:t>
      </w:r>
    </w:p>
    <w:p>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640" w:firstLineChars="200"/>
        <w:jc w:val="left"/>
        <w:textAlignment w:val="auto"/>
        <w:outlineLvl w:val="9"/>
        <w:rPr>
          <w:rFonts w:hint="eastAsia" w:ascii="仿宋_GB2312" w:hAnsi="仿宋_GB2312" w:eastAsia="仿宋_GB2312" w:cs="仿宋_GB2312"/>
          <w:b w:val="0"/>
          <w:bCs w:val="0"/>
          <w:sz w:val="32"/>
          <w:szCs w:val="32"/>
        </w:rPr>
      </w:pPr>
      <w:r>
        <w:rPr>
          <w:rFonts w:hint="eastAsia" w:ascii="仿宋_GB2312" w:hAnsi="仿宋_GB2312" w:eastAsia="仿宋_GB2312" w:cs="仿宋_GB2312"/>
          <w:b w:val="0"/>
          <w:bCs w:val="0"/>
          <w:i w:val="0"/>
          <w:iCs w:val="0"/>
          <w:caps w:val="0"/>
          <w:color w:val="333333"/>
          <w:spacing w:val="0"/>
          <w:sz w:val="32"/>
          <w:szCs w:val="32"/>
          <w:shd w:val="clear" w:color="auto" w:fill="FFFFFF"/>
        </w:rPr>
        <w:t>备案的担保事项无需提供（二）至（五）项材料。</w:t>
      </w:r>
    </w:p>
    <w:p>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643" w:firstLineChars="200"/>
        <w:jc w:val="left"/>
        <w:textAlignment w:val="auto"/>
        <w:outlineLvl w:val="9"/>
        <w:rPr>
          <w:rFonts w:hint="eastAsia" w:ascii="仿宋_GB2312" w:hAnsi="仿宋_GB2312" w:eastAsia="仿宋_GB2312" w:cs="仿宋_GB2312"/>
          <w:b w:val="0"/>
          <w:bCs w:val="0"/>
          <w:sz w:val="32"/>
          <w:szCs w:val="32"/>
        </w:rPr>
      </w:pPr>
      <w:r>
        <w:rPr>
          <w:rStyle w:val="6"/>
          <w:rFonts w:hint="eastAsia" w:ascii="仿宋_GB2312" w:hAnsi="仿宋_GB2312" w:eastAsia="仿宋_GB2312" w:cs="仿宋_GB2312"/>
          <w:b/>
          <w:bCs/>
          <w:i w:val="0"/>
          <w:iCs w:val="0"/>
          <w:caps w:val="0"/>
          <w:color w:val="333333"/>
          <w:spacing w:val="0"/>
          <w:sz w:val="32"/>
          <w:szCs w:val="32"/>
          <w:shd w:val="clear" w:color="auto" w:fill="FFFFFF"/>
        </w:rPr>
        <w:t>第四十七条</w:t>
      </w:r>
      <w:r>
        <w:rPr>
          <w:rStyle w:val="6"/>
          <w:rFonts w:hint="eastAsia" w:ascii="仿宋_GB2312" w:hAnsi="仿宋_GB2312" w:eastAsia="仿宋_GB2312" w:cs="仿宋_GB2312"/>
          <w:b w:val="0"/>
          <w:bCs w:val="0"/>
          <w:i w:val="0"/>
          <w:iCs w:val="0"/>
          <w:caps w:val="0"/>
          <w:color w:val="333333"/>
          <w:spacing w:val="0"/>
          <w:sz w:val="32"/>
          <w:szCs w:val="32"/>
          <w:shd w:val="clear" w:color="auto" w:fill="FFFFFF"/>
        </w:rPr>
        <w:t> 所出资企业及其所属企业与其他投资人合作新设企业时，应当在合作协议或公司章程中，按照同股同权、同股同责的要求，对各股东为新设企业提供融资担保支持的方式和原则进行约定。其他投资人为财务类投资者的，按投资协议约定或公司章程规定执行。</w:t>
      </w:r>
    </w:p>
    <w:p>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643" w:firstLineChars="200"/>
        <w:jc w:val="left"/>
        <w:textAlignment w:val="auto"/>
        <w:outlineLvl w:val="9"/>
        <w:rPr>
          <w:rFonts w:hint="eastAsia" w:ascii="仿宋_GB2312" w:hAnsi="仿宋_GB2312" w:eastAsia="仿宋_GB2312" w:cs="仿宋_GB2312"/>
          <w:b w:val="0"/>
          <w:bCs w:val="0"/>
          <w:sz w:val="32"/>
          <w:szCs w:val="32"/>
        </w:rPr>
      </w:pPr>
      <w:r>
        <w:rPr>
          <w:rStyle w:val="6"/>
          <w:rFonts w:hint="eastAsia" w:ascii="仿宋_GB2312" w:hAnsi="仿宋_GB2312" w:eastAsia="仿宋_GB2312" w:cs="仿宋_GB2312"/>
          <w:b/>
          <w:bCs/>
          <w:i w:val="0"/>
          <w:iCs w:val="0"/>
          <w:caps w:val="0"/>
          <w:color w:val="333333"/>
          <w:spacing w:val="0"/>
          <w:sz w:val="32"/>
          <w:szCs w:val="32"/>
          <w:shd w:val="clear" w:color="auto" w:fill="FFFFFF"/>
        </w:rPr>
        <w:t>第四十八条</w:t>
      </w:r>
      <w:r>
        <w:rPr>
          <w:rStyle w:val="6"/>
          <w:rFonts w:hint="eastAsia" w:ascii="仿宋_GB2312" w:hAnsi="仿宋_GB2312" w:eastAsia="仿宋_GB2312" w:cs="仿宋_GB2312"/>
          <w:b w:val="0"/>
          <w:bCs w:val="0"/>
          <w:i w:val="0"/>
          <w:iCs w:val="0"/>
          <w:caps w:val="0"/>
          <w:color w:val="333333"/>
          <w:spacing w:val="0"/>
          <w:sz w:val="32"/>
          <w:szCs w:val="32"/>
          <w:shd w:val="clear" w:color="auto" w:fill="FFFFFF"/>
        </w:rPr>
        <w:t> 所出资企业在办理担保手续前，应当严格审查被担保人的生产经营状况、财务状况、信用等级、资金用途、资金使用计划、还款计划、还款资金来源，并制定相应的风险预案；在办理担保手续后，要对被担保人的资金使用情况和生产经营状况跟踪监督，建立担保动态监管档案。</w:t>
      </w:r>
    </w:p>
    <w:p>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643" w:firstLineChars="200"/>
        <w:jc w:val="left"/>
        <w:textAlignment w:val="auto"/>
        <w:outlineLvl w:val="9"/>
        <w:rPr>
          <w:rFonts w:hint="eastAsia" w:ascii="仿宋_GB2312" w:hAnsi="仿宋_GB2312" w:eastAsia="仿宋_GB2312" w:cs="仿宋_GB2312"/>
          <w:b w:val="0"/>
          <w:bCs w:val="0"/>
          <w:sz w:val="32"/>
          <w:szCs w:val="32"/>
        </w:rPr>
      </w:pPr>
      <w:r>
        <w:rPr>
          <w:rStyle w:val="6"/>
          <w:rFonts w:hint="eastAsia" w:ascii="仿宋_GB2312" w:hAnsi="仿宋_GB2312" w:eastAsia="仿宋_GB2312" w:cs="仿宋_GB2312"/>
          <w:b/>
          <w:bCs/>
          <w:i w:val="0"/>
          <w:iCs w:val="0"/>
          <w:caps w:val="0"/>
          <w:color w:val="333333"/>
          <w:spacing w:val="0"/>
          <w:sz w:val="32"/>
          <w:szCs w:val="32"/>
          <w:shd w:val="clear" w:color="auto" w:fill="FFFFFF"/>
        </w:rPr>
        <w:t>第四十九条</w:t>
      </w:r>
      <w:r>
        <w:rPr>
          <w:rStyle w:val="6"/>
          <w:rFonts w:hint="eastAsia" w:ascii="仿宋_GB2312" w:hAnsi="仿宋_GB2312" w:eastAsia="仿宋_GB2312" w:cs="仿宋_GB2312"/>
          <w:b w:val="0"/>
          <w:bCs w:val="0"/>
          <w:i w:val="0"/>
          <w:iCs w:val="0"/>
          <w:caps w:val="0"/>
          <w:color w:val="333333"/>
          <w:spacing w:val="0"/>
          <w:sz w:val="32"/>
          <w:szCs w:val="32"/>
          <w:shd w:val="clear" w:color="auto" w:fill="FFFFFF"/>
        </w:rPr>
        <w:t> 所出资企业及其所属企业在产品销售、合作贸易、代理业务等各类生产经营活动中，应严格审查并注意识别各类合同、协议中让企业实质上承担担保责任的隐性担保条款，加强风险管控，提高决策层级。</w:t>
      </w:r>
    </w:p>
    <w:p>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643" w:firstLineChars="200"/>
        <w:jc w:val="left"/>
        <w:textAlignment w:val="auto"/>
        <w:outlineLvl w:val="9"/>
        <w:rPr>
          <w:rFonts w:hint="eastAsia" w:ascii="仿宋_GB2312" w:hAnsi="仿宋_GB2312" w:eastAsia="仿宋_GB2312" w:cs="仿宋_GB2312"/>
          <w:b w:val="0"/>
          <w:bCs w:val="0"/>
          <w:sz w:val="32"/>
          <w:szCs w:val="32"/>
        </w:rPr>
      </w:pPr>
      <w:r>
        <w:rPr>
          <w:rStyle w:val="6"/>
          <w:rFonts w:hint="eastAsia" w:ascii="仿宋_GB2312" w:hAnsi="仿宋_GB2312" w:eastAsia="仿宋_GB2312" w:cs="仿宋_GB2312"/>
          <w:b/>
          <w:bCs/>
          <w:i w:val="0"/>
          <w:iCs w:val="0"/>
          <w:caps w:val="0"/>
          <w:color w:val="333333"/>
          <w:spacing w:val="0"/>
          <w:sz w:val="32"/>
          <w:szCs w:val="32"/>
          <w:shd w:val="clear" w:color="auto" w:fill="FFFFFF"/>
        </w:rPr>
        <w:t>第五十条</w:t>
      </w:r>
      <w:r>
        <w:rPr>
          <w:rStyle w:val="6"/>
          <w:rFonts w:hint="eastAsia" w:ascii="仿宋_GB2312" w:hAnsi="仿宋_GB2312" w:eastAsia="仿宋_GB2312" w:cs="仿宋_GB2312"/>
          <w:b w:val="0"/>
          <w:bCs w:val="0"/>
          <w:i w:val="0"/>
          <w:iCs w:val="0"/>
          <w:caps w:val="0"/>
          <w:color w:val="333333"/>
          <w:spacing w:val="0"/>
          <w:sz w:val="32"/>
          <w:szCs w:val="32"/>
          <w:shd w:val="clear" w:color="auto" w:fill="FFFFFF"/>
        </w:rPr>
        <w:t> 所出资企业及其所属企业应严格加强印章管理，因印章管理不善被用于为他人提供担保盖章而承担担保责任，造成国有资产损失的，将按照企业印章管理规定追究企业负责人以及有关责任人的相关责任。</w:t>
      </w:r>
    </w:p>
    <w:p>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643" w:firstLineChars="200"/>
        <w:jc w:val="left"/>
        <w:textAlignment w:val="auto"/>
        <w:outlineLvl w:val="9"/>
        <w:rPr>
          <w:rFonts w:hint="eastAsia" w:ascii="仿宋_GB2312" w:hAnsi="仿宋_GB2312" w:eastAsia="仿宋_GB2312" w:cs="仿宋_GB2312"/>
          <w:b w:val="0"/>
          <w:bCs w:val="0"/>
          <w:sz w:val="32"/>
          <w:szCs w:val="32"/>
        </w:rPr>
      </w:pPr>
      <w:r>
        <w:rPr>
          <w:rStyle w:val="6"/>
          <w:rFonts w:hint="eastAsia" w:ascii="仿宋_GB2312" w:hAnsi="仿宋_GB2312" w:eastAsia="仿宋_GB2312" w:cs="仿宋_GB2312"/>
          <w:b/>
          <w:bCs/>
          <w:i w:val="0"/>
          <w:iCs w:val="0"/>
          <w:caps w:val="0"/>
          <w:color w:val="333333"/>
          <w:spacing w:val="0"/>
          <w:sz w:val="32"/>
          <w:szCs w:val="32"/>
          <w:shd w:val="clear" w:color="auto" w:fill="FFFFFF"/>
        </w:rPr>
        <w:t>第五十一条</w:t>
      </w:r>
      <w:r>
        <w:rPr>
          <w:rStyle w:val="6"/>
          <w:rFonts w:hint="eastAsia" w:ascii="仿宋_GB2312" w:hAnsi="仿宋_GB2312" w:eastAsia="仿宋_GB2312" w:cs="仿宋_GB2312"/>
          <w:b w:val="0"/>
          <w:bCs w:val="0"/>
          <w:i w:val="0"/>
          <w:iCs w:val="0"/>
          <w:caps w:val="0"/>
          <w:color w:val="333333"/>
          <w:spacing w:val="0"/>
          <w:sz w:val="32"/>
          <w:szCs w:val="32"/>
          <w:shd w:val="clear" w:color="auto" w:fill="FFFFFF"/>
        </w:rPr>
        <w:t> 所出资企业及其所属企业违反本规定为他人提供担保，造成国有资产损失或其他严重不良后果的，对企业主要负责人和有关责任人按照《企业国有资产法》《企业国有资产监督管理暂行条例》等有关规定</w:t>
      </w:r>
    </w:p>
    <w:p>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640" w:firstLineChars="200"/>
        <w:jc w:val="left"/>
        <w:textAlignment w:val="auto"/>
        <w:outlineLvl w:val="9"/>
        <w:rPr>
          <w:rFonts w:hint="eastAsia" w:ascii="仿宋_GB2312" w:hAnsi="仿宋_GB2312" w:eastAsia="仿宋_GB2312" w:cs="仿宋_GB2312"/>
          <w:b w:val="0"/>
          <w:bCs w:val="0"/>
          <w:sz w:val="32"/>
          <w:szCs w:val="32"/>
        </w:rPr>
      </w:pPr>
      <w:r>
        <w:rPr>
          <w:rFonts w:hint="eastAsia" w:ascii="仿宋_GB2312" w:hAnsi="仿宋_GB2312" w:eastAsia="仿宋_GB2312" w:cs="仿宋_GB2312"/>
          <w:b w:val="0"/>
          <w:bCs w:val="0"/>
          <w:i w:val="0"/>
          <w:iCs w:val="0"/>
          <w:caps w:val="0"/>
          <w:color w:val="333333"/>
          <w:spacing w:val="0"/>
          <w:sz w:val="32"/>
          <w:szCs w:val="32"/>
          <w:shd w:val="clear" w:color="auto" w:fill="FFFFFF"/>
        </w:rPr>
        <w:t>追究责任，涉嫌犯罪的，移送司法机关处理。</w:t>
      </w:r>
    </w:p>
    <w:p>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right="0"/>
        <w:jc w:val="both"/>
        <w:textAlignment w:val="auto"/>
        <w:outlineLvl w:val="9"/>
        <w:rPr>
          <w:rFonts w:hint="eastAsia" w:ascii="黑体" w:hAnsi="黑体" w:eastAsia="黑体" w:cs="黑体"/>
          <w:b w:val="0"/>
          <w:bCs w:val="0"/>
          <w:i w:val="0"/>
          <w:iCs w:val="0"/>
          <w:caps w:val="0"/>
          <w:color w:val="333333"/>
          <w:spacing w:val="0"/>
          <w:sz w:val="32"/>
          <w:szCs w:val="32"/>
          <w:shd w:val="clear" w:color="auto" w:fill="FFFFFF"/>
        </w:rPr>
      </w:pPr>
    </w:p>
    <w:p>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right="0"/>
        <w:jc w:val="center"/>
        <w:textAlignment w:val="auto"/>
        <w:outlineLvl w:val="9"/>
        <w:rPr>
          <w:rFonts w:hint="eastAsia" w:ascii="黑体" w:hAnsi="黑体" w:eastAsia="黑体" w:cs="黑体"/>
          <w:b w:val="0"/>
          <w:bCs w:val="0"/>
          <w:sz w:val="32"/>
          <w:szCs w:val="32"/>
        </w:rPr>
      </w:pPr>
      <w:r>
        <w:rPr>
          <w:rFonts w:hint="eastAsia" w:ascii="黑体" w:hAnsi="黑体" w:eastAsia="黑体" w:cs="黑体"/>
          <w:b w:val="0"/>
          <w:bCs w:val="0"/>
          <w:i w:val="0"/>
          <w:iCs w:val="0"/>
          <w:caps w:val="0"/>
          <w:color w:val="333333"/>
          <w:spacing w:val="0"/>
          <w:sz w:val="32"/>
          <w:szCs w:val="32"/>
          <w:shd w:val="clear" w:color="auto" w:fill="FFFFFF"/>
        </w:rPr>
        <w:t>第七章  重组、改制、上市</w:t>
      </w:r>
    </w:p>
    <w:p>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643" w:firstLineChars="200"/>
        <w:jc w:val="left"/>
        <w:textAlignment w:val="auto"/>
        <w:outlineLvl w:val="9"/>
        <w:rPr>
          <w:rFonts w:hint="eastAsia" w:ascii="仿宋_GB2312" w:hAnsi="仿宋_GB2312" w:eastAsia="仿宋_GB2312" w:cs="仿宋_GB2312"/>
          <w:b w:val="0"/>
          <w:bCs w:val="0"/>
          <w:sz w:val="32"/>
          <w:szCs w:val="32"/>
        </w:rPr>
      </w:pPr>
      <w:r>
        <w:rPr>
          <w:rStyle w:val="6"/>
          <w:rFonts w:hint="eastAsia" w:ascii="仿宋_GB2312" w:hAnsi="仿宋_GB2312" w:eastAsia="仿宋_GB2312" w:cs="仿宋_GB2312"/>
          <w:b/>
          <w:bCs/>
          <w:i w:val="0"/>
          <w:iCs w:val="0"/>
          <w:caps w:val="0"/>
          <w:color w:val="333333"/>
          <w:spacing w:val="0"/>
          <w:sz w:val="32"/>
          <w:szCs w:val="32"/>
          <w:shd w:val="clear" w:color="auto" w:fill="FFFFFF"/>
        </w:rPr>
        <w:t>第五十二条</w:t>
      </w:r>
      <w:r>
        <w:rPr>
          <w:rStyle w:val="6"/>
          <w:rFonts w:hint="eastAsia" w:ascii="仿宋_GB2312" w:hAnsi="仿宋_GB2312" w:eastAsia="仿宋_GB2312" w:cs="仿宋_GB2312"/>
          <w:b w:val="0"/>
          <w:bCs w:val="0"/>
          <w:i w:val="0"/>
          <w:iCs w:val="0"/>
          <w:caps w:val="0"/>
          <w:color w:val="333333"/>
          <w:spacing w:val="0"/>
          <w:sz w:val="32"/>
          <w:szCs w:val="32"/>
          <w:shd w:val="clear" w:color="auto" w:fill="FFFFFF"/>
        </w:rPr>
        <w:t> 本规定所称企业重组是指所出资企业及其所属企业采取合并、分立、增资扩股等方式实现资产、债务或产权等要素重组整合，组建新的独资、控股和参股企业或者企业集团。</w:t>
      </w:r>
    </w:p>
    <w:p>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640" w:firstLineChars="200"/>
        <w:jc w:val="left"/>
        <w:textAlignment w:val="auto"/>
        <w:outlineLvl w:val="9"/>
        <w:rPr>
          <w:rFonts w:hint="eastAsia" w:ascii="仿宋_GB2312" w:hAnsi="仿宋_GB2312" w:eastAsia="仿宋_GB2312" w:cs="仿宋_GB2312"/>
          <w:b w:val="0"/>
          <w:bCs w:val="0"/>
          <w:sz w:val="32"/>
          <w:szCs w:val="32"/>
        </w:rPr>
      </w:pPr>
      <w:r>
        <w:rPr>
          <w:rFonts w:hint="eastAsia" w:ascii="仿宋_GB2312" w:hAnsi="仿宋_GB2312" w:eastAsia="仿宋_GB2312" w:cs="仿宋_GB2312"/>
          <w:b w:val="0"/>
          <w:bCs w:val="0"/>
          <w:i w:val="0"/>
          <w:iCs w:val="0"/>
          <w:caps w:val="0"/>
          <w:color w:val="333333"/>
          <w:spacing w:val="0"/>
          <w:sz w:val="32"/>
          <w:szCs w:val="32"/>
          <w:shd w:val="clear" w:color="auto" w:fill="FFFFFF"/>
        </w:rPr>
        <w:t>本规定所称企业改制是指所出资企业及其所属企业由国有独资企业改为国有独资公司、有限公司改为股份公司、国有独资公司改为国有资本控股公司或者国有资本参股公司、国有资本控股公司改为国有资本参股公司或国有资本全部退出。</w:t>
      </w:r>
    </w:p>
    <w:p>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643" w:firstLineChars="200"/>
        <w:jc w:val="left"/>
        <w:textAlignment w:val="auto"/>
        <w:outlineLvl w:val="9"/>
        <w:rPr>
          <w:rFonts w:hint="eastAsia" w:ascii="仿宋_GB2312" w:hAnsi="仿宋_GB2312" w:eastAsia="仿宋_GB2312" w:cs="仿宋_GB2312"/>
          <w:b w:val="0"/>
          <w:bCs w:val="0"/>
          <w:sz w:val="32"/>
          <w:szCs w:val="32"/>
        </w:rPr>
      </w:pPr>
      <w:r>
        <w:rPr>
          <w:rStyle w:val="6"/>
          <w:rFonts w:hint="eastAsia" w:ascii="仿宋_GB2312" w:hAnsi="仿宋_GB2312" w:eastAsia="仿宋_GB2312" w:cs="仿宋_GB2312"/>
          <w:b/>
          <w:bCs/>
          <w:i w:val="0"/>
          <w:iCs w:val="0"/>
          <w:caps w:val="0"/>
          <w:color w:val="333333"/>
          <w:spacing w:val="0"/>
          <w:sz w:val="32"/>
          <w:szCs w:val="32"/>
          <w:shd w:val="clear" w:color="auto" w:fill="FFFFFF"/>
        </w:rPr>
        <w:t>第五十三条</w:t>
      </w:r>
      <w:r>
        <w:rPr>
          <w:rStyle w:val="6"/>
          <w:rFonts w:hint="eastAsia" w:ascii="仿宋_GB2312" w:hAnsi="仿宋_GB2312" w:eastAsia="仿宋_GB2312" w:cs="仿宋_GB2312"/>
          <w:b w:val="0"/>
          <w:bCs w:val="0"/>
          <w:i w:val="0"/>
          <w:iCs w:val="0"/>
          <w:caps w:val="0"/>
          <w:color w:val="333333"/>
          <w:spacing w:val="0"/>
          <w:sz w:val="32"/>
          <w:szCs w:val="32"/>
          <w:shd w:val="clear" w:color="auto" w:fill="FFFFFF"/>
        </w:rPr>
        <w:t> 所出资企业重组应当报国资中心核准后报县人民政府批准。涉及上市公司重组的，按照国务院国资委有关规定执行。</w:t>
      </w:r>
    </w:p>
    <w:p>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640" w:firstLineChars="200"/>
        <w:jc w:val="left"/>
        <w:textAlignment w:val="auto"/>
        <w:outlineLvl w:val="9"/>
        <w:rPr>
          <w:rFonts w:hint="eastAsia" w:ascii="仿宋_GB2312" w:hAnsi="仿宋_GB2312" w:eastAsia="仿宋_GB2312" w:cs="仿宋_GB2312"/>
          <w:b w:val="0"/>
          <w:bCs w:val="0"/>
          <w:sz w:val="32"/>
          <w:szCs w:val="32"/>
        </w:rPr>
      </w:pPr>
      <w:r>
        <w:rPr>
          <w:rFonts w:hint="eastAsia" w:ascii="仿宋_GB2312" w:hAnsi="仿宋_GB2312" w:eastAsia="仿宋_GB2312" w:cs="仿宋_GB2312"/>
          <w:b w:val="0"/>
          <w:bCs w:val="0"/>
          <w:i w:val="0"/>
          <w:iCs w:val="0"/>
          <w:caps w:val="0"/>
          <w:color w:val="333333"/>
          <w:spacing w:val="0"/>
          <w:sz w:val="32"/>
          <w:szCs w:val="32"/>
          <w:shd w:val="clear" w:color="auto" w:fill="FFFFFF"/>
        </w:rPr>
        <w:t>所出资企业改制应当报国资中心核准后报县人民政府批准。企业改制时涉及股份制改革的，按照国家和自治区有关规定同时办理相关审批手续。</w:t>
      </w:r>
    </w:p>
    <w:p>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643" w:firstLineChars="200"/>
        <w:jc w:val="left"/>
        <w:textAlignment w:val="auto"/>
        <w:outlineLvl w:val="9"/>
        <w:rPr>
          <w:rStyle w:val="6"/>
          <w:rFonts w:hint="eastAsia" w:ascii="仿宋_GB2312" w:hAnsi="仿宋_GB2312" w:eastAsia="仿宋_GB2312" w:cs="仿宋_GB2312"/>
          <w:b/>
          <w:bCs/>
          <w:i w:val="0"/>
          <w:iCs w:val="0"/>
          <w:caps w:val="0"/>
          <w:color w:val="333333"/>
          <w:spacing w:val="0"/>
          <w:sz w:val="32"/>
          <w:szCs w:val="32"/>
          <w:shd w:val="clear" w:color="auto" w:fill="FFFFFF"/>
        </w:rPr>
      </w:pPr>
      <w:r>
        <w:rPr>
          <w:rStyle w:val="6"/>
          <w:rFonts w:hint="eastAsia" w:ascii="仿宋_GB2312" w:hAnsi="仿宋_GB2312" w:eastAsia="仿宋_GB2312" w:cs="仿宋_GB2312"/>
          <w:b/>
          <w:bCs/>
          <w:i w:val="0"/>
          <w:iCs w:val="0"/>
          <w:caps w:val="0"/>
          <w:color w:val="333333"/>
          <w:spacing w:val="0"/>
          <w:sz w:val="32"/>
          <w:szCs w:val="32"/>
          <w:shd w:val="clear" w:color="auto" w:fill="FFFFFF"/>
        </w:rPr>
        <w:t>第五十四条</w:t>
      </w:r>
      <w:r>
        <w:rPr>
          <w:rStyle w:val="6"/>
          <w:rFonts w:hint="eastAsia" w:ascii="仿宋_GB2312" w:hAnsi="仿宋_GB2312" w:eastAsia="仿宋_GB2312" w:cs="仿宋_GB2312"/>
          <w:b w:val="0"/>
          <w:bCs w:val="0"/>
          <w:i w:val="0"/>
          <w:iCs w:val="0"/>
          <w:caps w:val="0"/>
          <w:color w:val="333333"/>
          <w:spacing w:val="0"/>
          <w:sz w:val="32"/>
          <w:szCs w:val="32"/>
          <w:shd w:val="clear" w:color="auto" w:fill="FFFFFF"/>
        </w:rPr>
        <w:t> 所出资企业及其所属企业的破产、解散、清算方案，报国资中心审核后，经县人民政府批准后按程序实施。</w:t>
      </w:r>
    </w:p>
    <w:p>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643" w:firstLineChars="200"/>
        <w:jc w:val="left"/>
        <w:textAlignment w:val="auto"/>
        <w:outlineLvl w:val="9"/>
        <w:rPr>
          <w:rFonts w:hint="eastAsia" w:ascii="仿宋_GB2312" w:hAnsi="仿宋_GB2312" w:eastAsia="仿宋_GB2312" w:cs="仿宋_GB2312"/>
          <w:b w:val="0"/>
          <w:bCs w:val="0"/>
          <w:sz w:val="32"/>
          <w:szCs w:val="32"/>
        </w:rPr>
      </w:pPr>
      <w:r>
        <w:rPr>
          <w:rStyle w:val="6"/>
          <w:rFonts w:hint="eastAsia" w:ascii="仿宋_GB2312" w:hAnsi="仿宋_GB2312" w:eastAsia="仿宋_GB2312" w:cs="仿宋_GB2312"/>
          <w:b/>
          <w:bCs/>
          <w:i w:val="0"/>
          <w:iCs w:val="0"/>
          <w:caps w:val="0"/>
          <w:color w:val="333333"/>
          <w:spacing w:val="0"/>
          <w:sz w:val="32"/>
          <w:szCs w:val="32"/>
          <w:shd w:val="clear" w:color="auto" w:fill="FFFFFF"/>
        </w:rPr>
        <w:t>第五十五条</w:t>
      </w:r>
      <w:r>
        <w:rPr>
          <w:rStyle w:val="6"/>
          <w:rFonts w:hint="eastAsia" w:ascii="仿宋_GB2312" w:hAnsi="仿宋_GB2312" w:eastAsia="仿宋_GB2312" w:cs="仿宋_GB2312"/>
          <w:b w:val="0"/>
          <w:bCs w:val="0"/>
          <w:i w:val="0"/>
          <w:iCs w:val="0"/>
          <w:caps w:val="0"/>
          <w:color w:val="333333"/>
          <w:spacing w:val="0"/>
          <w:sz w:val="32"/>
          <w:szCs w:val="32"/>
          <w:shd w:val="clear" w:color="auto" w:fill="FFFFFF"/>
        </w:rPr>
        <w:t> 所出资企业及其所属企业上市（首次向社会公众公开招股的发行方式）方案经县人民政府批准后，根据国家有关法律、法规的规定向有关部门、机构提出上市申请。</w:t>
      </w:r>
    </w:p>
    <w:p>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643" w:firstLineChars="200"/>
        <w:jc w:val="left"/>
        <w:textAlignment w:val="auto"/>
        <w:outlineLvl w:val="9"/>
        <w:rPr>
          <w:rFonts w:hint="eastAsia" w:ascii="仿宋_GB2312" w:hAnsi="仿宋_GB2312" w:eastAsia="仿宋_GB2312" w:cs="仿宋_GB2312"/>
          <w:b w:val="0"/>
          <w:bCs w:val="0"/>
          <w:sz w:val="32"/>
          <w:szCs w:val="32"/>
        </w:rPr>
      </w:pPr>
      <w:r>
        <w:rPr>
          <w:rStyle w:val="6"/>
          <w:rFonts w:hint="eastAsia" w:ascii="仿宋_GB2312" w:hAnsi="仿宋_GB2312" w:eastAsia="仿宋_GB2312" w:cs="仿宋_GB2312"/>
          <w:b/>
          <w:bCs/>
          <w:i w:val="0"/>
          <w:iCs w:val="0"/>
          <w:caps w:val="0"/>
          <w:color w:val="333333"/>
          <w:spacing w:val="0"/>
          <w:sz w:val="32"/>
          <w:szCs w:val="32"/>
          <w:shd w:val="clear" w:color="auto" w:fill="FFFFFF"/>
        </w:rPr>
        <w:t>第五十六条</w:t>
      </w:r>
      <w:r>
        <w:rPr>
          <w:rStyle w:val="6"/>
          <w:rFonts w:hint="eastAsia" w:ascii="仿宋_GB2312" w:hAnsi="仿宋_GB2312" w:eastAsia="仿宋_GB2312" w:cs="仿宋_GB2312"/>
          <w:b w:val="0"/>
          <w:bCs w:val="0"/>
          <w:i w:val="0"/>
          <w:iCs w:val="0"/>
          <w:caps w:val="0"/>
          <w:color w:val="333333"/>
          <w:spacing w:val="0"/>
          <w:sz w:val="32"/>
          <w:szCs w:val="32"/>
          <w:shd w:val="clear" w:color="auto" w:fill="FFFFFF"/>
        </w:rPr>
        <w:t> 所出资企业上报国资中心核准重组、改制、上市、破产、解散、清算等事项的，一般应当提交以下材料：</w:t>
      </w:r>
    </w:p>
    <w:p>
      <w:pPr>
        <w:keepNext w:val="0"/>
        <w:keepLines w:val="0"/>
        <w:pageBreakBefore w:val="0"/>
        <w:widowControl/>
        <w:suppressLineNumbers w:val="0"/>
        <w:kinsoku/>
        <w:wordWrap/>
        <w:overflowPunct/>
        <w:topLinePunct w:val="0"/>
        <w:autoSpaceDE/>
        <w:autoSpaceDN/>
        <w:bidi w:val="0"/>
        <w:adjustRightInd/>
        <w:snapToGrid/>
        <w:spacing w:line="560" w:lineRule="exact"/>
        <w:ind w:firstLine="640" w:firstLineChars="200"/>
        <w:jc w:val="left"/>
        <w:textAlignment w:val="auto"/>
        <w:outlineLvl w:val="9"/>
        <w:rPr>
          <w:rFonts w:hint="eastAsia" w:ascii="仿宋_GB2312" w:hAnsi="仿宋_GB2312" w:eastAsia="仿宋_GB2312" w:cs="仿宋_GB2312"/>
          <w:b w:val="0"/>
          <w:bCs w:val="0"/>
          <w:sz w:val="32"/>
          <w:szCs w:val="32"/>
        </w:rPr>
      </w:pPr>
      <w:r>
        <w:rPr>
          <w:rStyle w:val="6"/>
          <w:rFonts w:hint="eastAsia" w:ascii="仿宋_GB2312" w:hAnsi="仿宋_GB2312" w:eastAsia="仿宋_GB2312" w:cs="仿宋_GB2312"/>
          <w:b w:val="0"/>
          <w:bCs w:val="0"/>
          <w:i w:val="0"/>
          <w:iCs w:val="0"/>
          <w:caps w:val="0"/>
          <w:color w:val="333333"/>
          <w:spacing w:val="0"/>
          <w:kern w:val="0"/>
          <w:sz w:val="32"/>
          <w:szCs w:val="32"/>
          <w:shd w:val="clear" w:color="auto" w:fill="FFFFFF"/>
          <w:lang w:val="en-US" w:eastAsia="zh-CN" w:bidi="ar"/>
        </w:rPr>
        <w:t>（一）企业申请及方案（含职工安置方案）；</w:t>
      </w:r>
    </w:p>
    <w:p>
      <w:pPr>
        <w:keepNext w:val="0"/>
        <w:keepLines w:val="0"/>
        <w:pageBreakBefore w:val="0"/>
        <w:widowControl/>
        <w:suppressLineNumbers w:val="0"/>
        <w:kinsoku/>
        <w:wordWrap/>
        <w:overflowPunct/>
        <w:topLinePunct w:val="0"/>
        <w:autoSpaceDE/>
        <w:autoSpaceDN/>
        <w:bidi w:val="0"/>
        <w:adjustRightInd/>
        <w:snapToGrid/>
        <w:spacing w:line="560" w:lineRule="exact"/>
        <w:ind w:firstLine="640" w:firstLineChars="200"/>
        <w:jc w:val="left"/>
        <w:textAlignment w:val="auto"/>
        <w:outlineLvl w:val="9"/>
        <w:rPr>
          <w:rFonts w:hint="eastAsia" w:ascii="仿宋_GB2312" w:hAnsi="仿宋_GB2312" w:eastAsia="仿宋_GB2312" w:cs="仿宋_GB2312"/>
          <w:b w:val="0"/>
          <w:bCs w:val="0"/>
          <w:sz w:val="32"/>
          <w:szCs w:val="32"/>
        </w:rPr>
      </w:pPr>
      <w:r>
        <w:rPr>
          <w:rStyle w:val="6"/>
          <w:rFonts w:hint="eastAsia" w:ascii="仿宋_GB2312" w:hAnsi="仿宋_GB2312" w:eastAsia="仿宋_GB2312" w:cs="仿宋_GB2312"/>
          <w:b w:val="0"/>
          <w:bCs w:val="0"/>
          <w:i w:val="0"/>
          <w:iCs w:val="0"/>
          <w:caps w:val="0"/>
          <w:color w:val="333333"/>
          <w:spacing w:val="0"/>
          <w:kern w:val="0"/>
          <w:sz w:val="32"/>
          <w:szCs w:val="32"/>
          <w:shd w:val="clear" w:color="auto" w:fill="FFFFFF"/>
          <w:lang w:val="en-US" w:eastAsia="zh-CN" w:bidi="ar"/>
        </w:rPr>
        <w:t>（二）法律意见书；</w:t>
      </w:r>
    </w:p>
    <w:p>
      <w:pPr>
        <w:keepNext w:val="0"/>
        <w:keepLines w:val="0"/>
        <w:pageBreakBefore w:val="0"/>
        <w:widowControl/>
        <w:suppressLineNumbers w:val="0"/>
        <w:kinsoku/>
        <w:wordWrap/>
        <w:overflowPunct/>
        <w:topLinePunct w:val="0"/>
        <w:autoSpaceDE/>
        <w:autoSpaceDN/>
        <w:bidi w:val="0"/>
        <w:adjustRightInd/>
        <w:snapToGrid/>
        <w:spacing w:line="560" w:lineRule="exact"/>
        <w:ind w:firstLine="640" w:firstLineChars="200"/>
        <w:jc w:val="left"/>
        <w:textAlignment w:val="auto"/>
        <w:outlineLvl w:val="9"/>
        <w:rPr>
          <w:rFonts w:hint="eastAsia" w:ascii="仿宋_GB2312" w:hAnsi="仿宋_GB2312" w:eastAsia="仿宋_GB2312" w:cs="仿宋_GB2312"/>
          <w:b w:val="0"/>
          <w:bCs w:val="0"/>
          <w:sz w:val="32"/>
          <w:szCs w:val="32"/>
        </w:rPr>
      </w:pPr>
      <w:r>
        <w:rPr>
          <w:rStyle w:val="6"/>
          <w:rFonts w:hint="eastAsia" w:ascii="仿宋_GB2312" w:hAnsi="仿宋_GB2312" w:eastAsia="仿宋_GB2312" w:cs="仿宋_GB2312"/>
          <w:b w:val="0"/>
          <w:bCs w:val="0"/>
          <w:i w:val="0"/>
          <w:iCs w:val="0"/>
          <w:caps w:val="0"/>
          <w:color w:val="333333"/>
          <w:spacing w:val="0"/>
          <w:kern w:val="0"/>
          <w:sz w:val="32"/>
          <w:szCs w:val="32"/>
          <w:shd w:val="clear" w:color="auto" w:fill="FFFFFF"/>
          <w:lang w:val="en-US" w:eastAsia="zh-CN" w:bidi="ar"/>
        </w:rPr>
        <w:t>（三）企业董事会决议；</w:t>
      </w:r>
    </w:p>
    <w:p>
      <w:pPr>
        <w:keepNext w:val="0"/>
        <w:keepLines w:val="0"/>
        <w:pageBreakBefore w:val="0"/>
        <w:widowControl/>
        <w:suppressLineNumbers w:val="0"/>
        <w:kinsoku/>
        <w:wordWrap/>
        <w:overflowPunct/>
        <w:topLinePunct w:val="0"/>
        <w:autoSpaceDE/>
        <w:autoSpaceDN/>
        <w:bidi w:val="0"/>
        <w:adjustRightInd/>
        <w:snapToGrid/>
        <w:spacing w:line="560" w:lineRule="exact"/>
        <w:ind w:firstLine="640" w:firstLineChars="200"/>
        <w:jc w:val="left"/>
        <w:textAlignment w:val="auto"/>
        <w:outlineLvl w:val="9"/>
        <w:rPr>
          <w:rFonts w:hint="eastAsia" w:ascii="仿宋_GB2312" w:hAnsi="仿宋_GB2312" w:eastAsia="仿宋_GB2312" w:cs="仿宋_GB2312"/>
          <w:b w:val="0"/>
          <w:bCs w:val="0"/>
          <w:sz w:val="32"/>
          <w:szCs w:val="32"/>
        </w:rPr>
      </w:pPr>
      <w:r>
        <w:rPr>
          <w:rStyle w:val="6"/>
          <w:rFonts w:hint="eastAsia" w:ascii="仿宋_GB2312" w:hAnsi="仿宋_GB2312" w:eastAsia="仿宋_GB2312" w:cs="仿宋_GB2312"/>
          <w:b w:val="0"/>
          <w:bCs w:val="0"/>
          <w:i w:val="0"/>
          <w:iCs w:val="0"/>
          <w:caps w:val="0"/>
          <w:color w:val="333333"/>
          <w:spacing w:val="0"/>
          <w:kern w:val="0"/>
          <w:sz w:val="32"/>
          <w:szCs w:val="32"/>
          <w:shd w:val="clear" w:color="auto" w:fill="FFFFFF"/>
          <w:lang w:val="en-US" w:eastAsia="zh-CN" w:bidi="ar"/>
        </w:rPr>
        <w:t>（四）企业职工代表大会决议；</w:t>
      </w:r>
    </w:p>
    <w:p>
      <w:pPr>
        <w:keepNext w:val="0"/>
        <w:keepLines w:val="0"/>
        <w:pageBreakBefore w:val="0"/>
        <w:widowControl/>
        <w:suppressLineNumbers w:val="0"/>
        <w:kinsoku/>
        <w:wordWrap/>
        <w:overflowPunct/>
        <w:topLinePunct w:val="0"/>
        <w:autoSpaceDE/>
        <w:autoSpaceDN/>
        <w:bidi w:val="0"/>
        <w:adjustRightInd/>
        <w:snapToGrid/>
        <w:spacing w:line="560" w:lineRule="exact"/>
        <w:ind w:firstLine="640" w:firstLineChars="200"/>
        <w:jc w:val="left"/>
        <w:textAlignment w:val="auto"/>
        <w:outlineLvl w:val="9"/>
        <w:rPr>
          <w:rFonts w:hint="eastAsia" w:ascii="仿宋_GB2312" w:hAnsi="仿宋_GB2312" w:eastAsia="仿宋_GB2312" w:cs="仿宋_GB2312"/>
          <w:b w:val="0"/>
          <w:bCs w:val="0"/>
          <w:sz w:val="32"/>
          <w:szCs w:val="32"/>
        </w:rPr>
      </w:pPr>
      <w:r>
        <w:rPr>
          <w:rStyle w:val="6"/>
          <w:rFonts w:hint="eastAsia" w:ascii="仿宋_GB2312" w:hAnsi="仿宋_GB2312" w:eastAsia="仿宋_GB2312" w:cs="仿宋_GB2312"/>
          <w:b w:val="0"/>
          <w:bCs w:val="0"/>
          <w:i w:val="0"/>
          <w:iCs w:val="0"/>
          <w:caps w:val="0"/>
          <w:color w:val="333333"/>
          <w:spacing w:val="0"/>
          <w:kern w:val="0"/>
          <w:sz w:val="32"/>
          <w:szCs w:val="32"/>
          <w:shd w:val="clear" w:color="auto" w:fill="FFFFFF"/>
          <w:lang w:val="en-US" w:eastAsia="zh-CN" w:bidi="ar"/>
        </w:rPr>
        <w:t>（五）社会稳定风险评估报告、社会稳定风险评估初步评估意见及维稳预案；</w:t>
      </w:r>
    </w:p>
    <w:p>
      <w:pPr>
        <w:keepNext w:val="0"/>
        <w:keepLines w:val="0"/>
        <w:pageBreakBefore w:val="0"/>
        <w:widowControl/>
        <w:suppressLineNumbers w:val="0"/>
        <w:kinsoku/>
        <w:wordWrap/>
        <w:overflowPunct/>
        <w:topLinePunct w:val="0"/>
        <w:autoSpaceDE/>
        <w:autoSpaceDN/>
        <w:bidi w:val="0"/>
        <w:adjustRightInd/>
        <w:snapToGrid/>
        <w:spacing w:line="560" w:lineRule="exact"/>
        <w:ind w:firstLine="640" w:firstLineChars="200"/>
        <w:jc w:val="left"/>
        <w:textAlignment w:val="auto"/>
        <w:outlineLvl w:val="9"/>
        <w:rPr>
          <w:rFonts w:hint="eastAsia" w:ascii="仿宋_GB2312" w:hAnsi="仿宋_GB2312" w:eastAsia="仿宋_GB2312" w:cs="仿宋_GB2312"/>
          <w:b w:val="0"/>
          <w:bCs w:val="0"/>
          <w:sz w:val="32"/>
          <w:szCs w:val="32"/>
        </w:rPr>
      </w:pPr>
      <w:r>
        <w:rPr>
          <w:rStyle w:val="6"/>
          <w:rFonts w:hint="eastAsia" w:ascii="仿宋_GB2312" w:hAnsi="仿宋_GB2312" w:eastAsia="仿宋_GB2312" w:cs="仿宋_GB2312"/>
          <w:b w:val="0"/>
          <w:bCs w:val="0"/>
          <w:i w:val="0"/>
          <w:iCs w:val="0"/>
          <w:caps w:val="0"/>
          <w:color w:val="333333"/>
          <w:spacing w:val="0"/>
          <w:kern w:val="0"/>
          <w:sz w:val="32"/>
          <w:szCs w:val="32"/>
          <w:shd w:val="clear" w:color="auto" w:fill="FFFFFF"/>
          <w:lang w:val="en-US" w:eastAsia="zh-CN" w:bidi="ar"/>
        </w:rPr>
        <w:t>（六）其他须上报的材料。</w:t>
      </w:r>
    </w:p>
    <w:p>
      <w:pPr>
        <w:keepNext w:val="0"/>
        <w:keepLines w:val="0"/>
        <w:pageBreakBefore w:val="0"/>
        <w:widowControl/>
        <w:suppressLineNumbers w:val="0"/>
        <w:kinsoku/>
        <w:wordWrap/>
        <w:overflowPunct/>
        <w:topLinePunct w:val="0"/>
        <w:autoSpaceDE/>
        <w:autoSpaceDN/>
        <w:bidi w:val="0"/>
        <w:adjustRightInd/>
        <w:snapToGrid/>
        <w:spacing w:line="560" w:lineRule="exact"/>
        <w:ind w:firstLine="640" w:firstLineChars="200"/>
        <w:jc w:val="left"/>
        <w:textAlignment w:val="auto"/>
        <w:outlineLvl w:val="9"/>
        <w:rPr>
          <w:rStyle w:val="6"/>
          <w:rFonts w:hint="eastAsia" w:ascii="仿宋_GB2312" w:hAnsi="仿宋_GB2312" w:eastAsia="仿宋_GB2312" w:cs="仿宋_GB2312"/>
          <w:b w:val="0"/>
          <w:bCs w:val="0"/>
          <w:i w:val="0"/>
          <w:iCs w:val="0"/>
          <w:caps w:val="0"/>
          <w:color w:val="333333"/>
          <w:spacing w:val="0"/>
          <w:kern w:val="0"/>
          <w:sz w:val="32"/>
          <w:szCs w:val="32"/>
          <w:shd w:val="clear" w:color="auto" w:fill="FFFFFF"/>
          <w:lang w:val="en-US" w:eastAsia="zh-CN" w:bidi="ar"/>
        </w:rPr>
      </w:pPr>
    </w:p>
    <w:p>
      <w:pPr>
        <w:keepNext w:val="0"/>
        <w:keepLines w:val="0"/>
        <w:pageBreakBefore w:val="0"/>
        <w:widowControl/>
        <w:suppressLineNumbers w:val="0"/>
        <w:kinsoku/>
        <w:wordWrap/>
        <w:overflowPunct/>
        <w:topLinePunct w:val="0"/>
        <w:autoSpaceDE/>
        <w:autoSpaceDN/>
        <w:bidi w:val="0"/>
        <w:adjustRightInd/>
        <w:snapToGrid/>
        <w:spacing w:line="560" w:lineRule="exact"/>
        <w:jc w:val="center"/>
        <w:textAlignment w:val="auto"/>
        <w:outlineLvl w:val="9"/>
        <w:rPr>
          <w:rFonts w:hint="eastAsia" w:ascii="黑体" w:hAnsi="黑体" w:eastAsia="黑体" w:cs="黑体"/>
          <w:b w:val="0"/>
          <w:bCs w:val="0"/>
          <w:sz w:val="32"/>
          <w:szCs w:val="32"/>
        </w:rPr>
      </w:pPr>
      <w:r>
        <w:rPr>
          <w:rStyle w:val="6"/>
          <w:rFonts w:hint="eastAsia" w:ascii="黑体" w:hAnsi="黑体" w:eastAsia="黑体" w:cs="黑体"/>
          <w:b w:val="0"/>
          <w:bCs w:val="0"/>
          <w:i w:val="0"/>
          <w:iCs w:val="0"/>
          <w:caps w:val="0"/>
          <w:color w:val="333333"/>
          <w:spacing w:val="0"/>
          <w:kern w:val="0"/>
          <w:sz w:val="32"/>
          <w:szCs w:val="32"/>
          <w:shd w:val="clear" w:color="auto" w:fill="FFFFFF"/>
          <w:lang w:val="en-US" w:eastAsia="zh-CN" w:bidi="ar"/>
        </w:rPr>
        <w:t>第八章国有资产交易</w:t>
      </w:r>
    </w:p>
    <w:p>
      <w:pPr>
        <w:keepNext w:val="0"/>
        <w:keepLines w:val="0"/>
        <w:pageBreakBefore w:val="0"/>
        <w:widowControl/>
        <w:suppressLineNumbers w:val="0"/>
        <w:kinsoku/>
        <w:wordWrap/>
        <w:overflowPunct/>
        <w:topLinePunct w:val="0"/>
        <w:autoSpaceDE/>
        <w:autoSpaceDN/>
        <w:bidi w:val="0"/>
        <w:adjustRightInd/>
        <w:snapToGrid/>
        <w:spacing w:line="560" w:lineRule="exact"/>
        <w:ind w:firstLine="643" w:firstLineChars="200"/>
        <w:jc w:val="left"/>
        <w:textAlignment w:val="auto"/>
        <w:outlineLvl w:val="9"/>
        <w:rPr>
          <w:rStyle w:val="6"/>
          <w:rFonts w:hint="eastAsia" w:ascii="仿宋_GB2312" w:hAnsi="仿宋_GB2312" w:eastAsia="仿宋_GB2312" w:cs="仿宋_GB2312"/>
          <w:b w:val="0"/>
          <w:bCs w:val="0"/>
          <w:i w:val="0"/>
          <w:iCs w:val="0"/>
          <w:caps w:val="0"/>
          <w:color w:val="333333"/>
          <w:spacing w:val="0"/>
          <w:kern w:val="0"/>
          <w:sz w:val="32"/>
          <w:szCs w:val="32"/>
          <w:shd w:val="clear" w:color="auto" w:fill="FFFFFF"/>
          <w:lang w:val="en-US" w:eastAsia="zh-CN" w:bidi="ar"/>
        </w:rPr>
      </w:pPr>
      <w:r>
        <w:rPr>
          <w:rStyle w:val="6"/>
          <w:rFonts w:hint="eastAsia" w:ascii="仿宋_GB2312" w:hAnsi="仿宋_GB2312" w:eastAsia="仿宋_GB2312" w:cs="仿宋_GB2312"/>
          <w:bCs/>
          <w:i w:val="0"/>
          <w:iCs w:val="0"/>
          <w:caps w:val="0"/>
          <w:color w:val="333333"/>
          <w:spacing w:val="0"/>
          <w:kern w:val="0"/>
          <w:sz w:val="32"/>
          <w:szCs w:val="32"/>
          <w:shd w:val="clear" w:color="auto" w:fill="FFFFFF"/>
          <w:lang w:val="en-US" w:eastAsia="zh-CN" w:bidi="ar"/>
        </w:rPr>
        <w:t>第五十七条</w:t>
      </w:r>
      <w:r>
        <w:rPr>
          <w:rStyle w:val="6"/>
          <w:rFonts w:hint="eastAsia" w:ascii="仿宋_GB2312" w:hAnsi="仿宋_GB2312" w:eastAsia="仿宋_GB2312" w:cs="仿宋_GB2312"/>
          <w:b w:val="0"/>
          <w:bCs w:val="0"/>
          <w:i w:val="0"/>
          <w:iCs w:val="0"/>
          <w:caps w:val="0"/>
          <w:color w:val="333333"/>
          <w:spacing w:val="0"/>
          <w:kern w:val="0"/>
          <w:sz w:val="32"/>
          <w:szCs w:val="32"/>
          <w:shd w:val="clear" w:color="auto" w:fill="FFFFFF"/>
          <w:lang w:val="en-US" w:eastAsia="zh-CN" w:bidi="ar"/>
        </w:rPr>
        <w:t> 国有资产交易是指所出资企业及其所属企业国有产权转让、企业增资及资产转让、出租等行为。</w:t>
      </w:r>
    </w:p>
    <w:p>
      <w:pPr>
        <w:keepNext w:val="0"/>
        <w:keepLines w:val="0"/>
        <w:pageBreakBefore w:val="0"/>
        <w:widowControl/>
        <w:suppressLineNumbers w:val="0"/>
        <w:kinsoku/>
        <w:wordWrap/>
        <w:overflowPunct/>
        <w:topLinePunct w:val="0"/>
        <w:autoSpaceDE/>
        <w:autoSpaceDN/>
        <w:bidi w:val="0"/>
        <w:adjustRightInd/>
        <w:snapToGrid/>
        <w:spacing w:line="560" w:lineRule="exact"/>
        <w:ind w:firstLine="643" w:firstLineChars="200"/>
        <w:jc w:val="left"/>
        <w:textAlignment w:val="auto"/>
        <w:outlineLvl w:val="9"/>
        <w:rPr>
          <w:rFonts w:hint="eastAsia" w:ascii="仿宋_GB2312" w:hAnsi="仿宋_GB2312" w:eastAsia="仿宋_GB2312" w:cs="仿宋_GB2312"/>
          <w:b w:val="0"/>
          <w:bCs w:val="0"/>
          <w:sz w:val="32"/>
          <w:szCs w:val="32"/>
        </w:rPr>
      </w:pPr>
      <w:r>
        <w:rPr>
          <w:rStyle w:val="6"/>
          <w:rFonts w:hint="eastAsia" w:ascii="仿宋_GB2312" w:hAnsi="仿宋_GB2312" w:eastAsia="仿宋_GB2312" w:cs="仿宋_GB2312"/>
          <w:b/>
          <w:bCs/>
          <w:i w:val="0"/>
          <w:iCs w:val="0"/>
          <w:caps w:val="0"/>
          <w:color w:val="333333"/>
          <w:spacing w:val="0"/>
          <w:kern w:val="0"/>
          <w:sz w:val="32"/>
          <w:szCs w:val="32"/>
          <w:shd w:val="clear" w:color="auto" w:fill="FFFFFF"/>
          <w:lang w:val="en-US" w:eastAsia="zh-CN" w:bidi="ar"/>
        </w:rPr>
        <w:t>第五十八条 </w:t>
      </w:r>
      <w:r>
        <w:rPr>
          <w:rStyle w:val="6"/>
          <w:rFonts w:hint="eastAsia" w:ascii="仿宋_GB2312" w:hAnsi="仿宋_GB2312" w:eastAsia="仿宋_GB2312" w:cs="仿宋_GB2312"/>
          <w:b w:val="0"/>
          <w:bCs w:val="0"/>
          <w:i w:val="0"/>
          <w:iCs w:val="0"/>
          <w:caps w:val="0"/>
          <w:color w:val="333333"/>
          <w:spacing w:val="0"/>
          <w:kern w:val="0"/>
          <w:sz w:val="32"/>
          <w:szCs w:val="32"/>
          <w:shd w:val="clear" w:color="auto" w:fill="FFFFFF"/>
          <w:lang w:val="en-US" w:eastAsia="zh-CN" w:bidi="ar"/>
        </w:rPr>
        <w:t>所出资企业及其所属企业国有资产交易及处置行为严格按照《托里县县县属国有企业监督管理（暂行）规定》执行。</w:t>
      </w:r>
    </w:p>
    <w:p>
      <w:pPr>
        <w:keepNext w:val="0"/>
        <w:keepLines w:val="0"/>
        <w:pageBreakBefore w:val="0"/>
        <w:widowControl/>
        <w:suppressLineNumbers w:val="0"/>
        <w:kinsoku/>
        <w:wordWrap/>
        <w:overflowPunct/>
        <w:topLinePunct w:val="0"/>
        <w:autoSpaceDE/>
        <w:autoSpaceDN/>
        <w:bidi w:val="0"/>
        <w:adjustRightInd/>
        <w:snapToGrid/>
        <w:spacing w:line="560" w:lineRule="exact"/>
        <w:ind w:firstLine="640" w:firstLineChars="200"/>
        <w:jc w:val="center"/>
        <w:textAlignment w:val="auto"/>
        <w:outlineLvl w:val="9"/>
        <w:rPr>
          <w:rStyle w:val="6"/>
          <w:rFonts w:hint="eastAsia" w:ascii="黑体" w:hAnsi="黑体" w:eastAsia="黑体" w:cs="黑体"/>
          <w:b w:val="0"/>
          <w:bCs w:val="0"/>
          <w:i w:val="0"/>
          <w:iCs w:val="0"/>
          <w:caps w:val="0"/>
          <w:color w:val="333333"/>
          <w:spacing w:val="0"/>
          <w:kern w:val="0"/>
          <w:sz w:val="32"/>
          <w:szCs w:val="32"/>
          <w:shd w:val="clear" w:color="auto" w:fill="FFFFFF"/>
          <w:lang w:val="en-US" w:eastAsia="zh-CN" w:bidi="ar"/>
        </w:rPr>
      </w:pPr>
    </w:p>
    <w:p>
      <w:pPr>
        <w:keepNext w:val="0"/>
        <w:keepLines w:val="0"/>
        <w:pageBreakBefore w:val="0"/>
        <w:widowControl/>
        <w:suppressLineNumbers w:val="0"/>
        <w:kinsoku/>
        <w:wordWrap/>
        <w:overflowPunct/>
        <w:topLinePunct w:val="0"/>
        <w:autoSpaceDE/>
        <w:autoSpaceDN/>
        <w:bidi w:val="0"/>
        <w:adjustRightInd/>
        <w:snapToGrid/>
        <w:spacing w:line="560" w:lineRule="exact"/>
        <w:jc w:val="center"/>
        <w:textAlignment w:val="auto"/>
        <w:outlineLvl w:val="9"/>
        <w:rPr>
          <w:rFonts w:hint="eastAsia" w:ascii="黑体" w:hAnsi="黑体" w:eastAsia="黑体" w:cs="黑体"/>
          <w:b w:val="0"/>
          <w:bCs w:val="0"/>
          <w:sz w:val="32"/>
          <w:szCs w:val="32"/>
        </w:rPr>
      </w:pPr>
      <w:r>
        <w:rPr>
          <w:rStyle w:val="6"/>
          <w:rFonts w:hint="eastAsia" w:ascii="黑体" w:hAnsi="黑体" w:eastAsia="黑体" w:cs="黑体"/>
          <w:b w:val="0"/>
          <w:bCs w:val="0"/>
          <w:i w:val="0"/>
          <w:iCs w:val="0"/>
          <w:caps w:val="0"/>
          <w:color w:val="333333"/>
          <w:spacing w:val="0"/>
          <w:kern w:val="0"/>
          <w:sz w:val="32"/>
          <w:szCs w:val="32"/>
          <w:shd w:val="clear" w:color="auto" w:fill="FFFFFF"/>
          <w:lang w:val="en-US" w:eastAsia="zh-CN" w:bidi="ar"/>
        </w:rPr>
        <w:t>第九章  其他重大事项</w:t>
      </w:r>
    </w:p>
    <w:p>
      <w:pPr>
        <w:keepNext w:val="0"/>
        <w:keepLines w:val="0"/>
        <w:pageBreakBefore w:val="0"/>
        <w:widowControl/>
        <w:suppressLineNumbers w:val="0"/>
        <w:kinsoku/>
        <w:wordWrap/>
        <w:overflowPunct/>
        <w:topLinePunct w:val="0"/>
        <w:autoSpaceDE/>
        <w:autoSpaceDN/>
        <w:bidi w:val="0"/>
        <w:adjustRightInd/>
        <w:snapToGrid/>
        <w:spacing w:line="560" w:lineRule="exact"/>
        <w:ind w:firstLine="643" w:firstLineChars="200"/>
        <w:jc w:val="left"/>
        <w:textAlignment w:val="auto"/>
        <w:outlineLvl w:val="9"/>
        <w:rPr>
          <w:rFonts w:hint="eastAsia" w:ascii="仿宋_GB2312" w:hAnsi="仿宋_GB2312" w:eastAsia="仿宋_GB2312" w:cs="仿宋_GB2312"/>
          <w:b w:val="0"/>
          <w:bCs w:val="0"/>
          <w:sz w:val="32"/>
          <w:szCs w:val="32"/>
        </w:rPr>
      </w:pPr>
      <w:r>
        <w:rPr>
          <w:rStyle w:val="6"/>
          <w:rFonts w:hint="eastAsia" w:ascii="仿宋_GB2312" w:hAnsi="仿宋_GB2312" w:eastAsia="仿宋_GB2312" w:cs="仿宋_GB2312"/>
          <w:b/>
          <w:bCs/>
          <w:i w:val="0"/>
          <w:iCs w:val="0"/>
          <w:caps w:val="0"/>
          <w:color w:val="333333"/>
          <w:spacing w:val="0"/>
          <w:kern w:val="0"/>
          <w:sz w:val="32"/>
          <w:szCs w:val="32"/>
          <w:shd w:val="clear" w:color="auto" w:fill="FFFFFF"/>
          <w:lang w:val="en-US" w:eastAsia="zh-CN" w:bidi="ar"/>
        </w:rPr>
        <w:t>第五十九条</w:t>
      </w:r>
      <w:r>
        <w:rPr>
          <w:rStyle w:val="6"/>
          <w:rFonts w:hint="eastAsia" w:ascii="仿宋_GB2312" w:hAnsi="仿宋_GB2312" w:eastAsia="仿宋_GB2312" w:cs="仿宋_GB2312"/>
          <w:b w:val="0"/>
          <w:bCs w:val="0"/>
          <w:i w:val="0"/>
          <w:iCs w:val="0"/>
          <w:caps w:val="0"/>
          <w:color w:val="333333"/>
          <w:spacing w:val="0"/>
          <w:kern w:val="0"/>
          <w:sz w:val="32"/>
          <w:szCs w:val="32"/>
          <w:shd w:val="clear" w:color="auto" w:fill="FFFFFF"/>
          <w:lang w:val="en-US" w:eastAsia="zh-CN" w:bidi="ar"/>
        </w:rPr>
        <w:t> 所出资企业涉及以下重大事项，应当报国资中心核准:</w:t>
      </w:r>
    </w:p>
    <w:p>
      <w:pPr>
        <w:keepNext w:val="0"/>
        <w:keepLines w:val="0"/>
        <w:pageBreakBefore w:val="0"/>
        <w:widowControl/>
        <w:suppressLineNumbers w:val="0"/>
        <w:kinsoku/>
        <w:wordWrap/>
        <w:overflowPunct/>
        <w:topLinePunct w:val="0"/>
        <w:autoSpaceDE/>
        <w:autoSpaceDN/>
        <w:bidi w:val="0"/>
        <w:adjustRightInd/>
        <w:snapToGrid/>
        <w:spacing w:line="560" w:lineRule="exact"/>
        <w:ind w:firstLine="640" w:firstLineChars="200"/>
        <w:jc w:val="left"/>
        <w:textAlignment w:val="auto"/>
        <w:outlineLvl w:val="9"/>
        <w:rPr>
          <w:rFonts w:hint="eastAsia" w:ascii="仿宋_GB2312" w:hAnsi="仿宋_GB2312" w:eastAsia="仿宋_GB2312" w:cs="仿宋_GB2312"/>
          <w:b w:val="0"/>
          <w:bCs w:val="0"/>
          <w:sz w:val="32"/>
          <w:szCs w:val="32"/>
        </w:rPr>
      </w:pPr>
      <w:r>
        <w:rPr>
          <w:rStyle w:val="6"/>
          <w:rFonts w:hint="eastAsia" w:ascii="仿宋_GB2312" w:hAnsi="仿宋_GB2312" w:eastAsia="仿宋_GB2312" w:cs="仿宋_GB2312"/>
          <w:b w:val="0"/>
          <w:bCs w:val="0"/>
          <w:i w:val="0"/>
          <w:iCs w:val="0"/>
          <w:caps w:val="0"/>
          <w:color w:val="333333"/>
          <w:spacing w:val="0"/>
          <w:kern w:val="0"/>
          <w:sz w:val="32"/>
          <w:szCs w:val="32"/>
          <w:shd w:val="clear" w:color="auto" w:fill="FFFFFF"/>
          <w:lang w:val="en-US" w:eastAsia="zh-CN" w:bidi="ar"/>
        </w:rPr>
        <w:t>（一）企业的主营业务确定和变更(含与企业主营业务相关的各种资质的转移)、增加或减少注册资本和功能界定、分类及调整；</w:t>
      </w:r>
    </w:p>
    <w:p>
      <w:pPr>
        <w:keepNext w:val="0"/>
        <w:keepLines w:val="0"/>
        <w:pageBreakBefore w:val="0"/>
        <w:widowControl/>
        <w:suppressLineNumbers w:val="0"/>
        <w:kinsoku/>
        <w:wordWrap/>
        <w:overflowPunct/>
        <w:topLinePunct w:val="0"/>
        <w:autoSpaceDE/>
        <w:autoSpaceDN/>
        <w:bidi w:val="0"/>
        <w:adjustRightInd/>
        <w:snapToGrid/>
        <w:spacing w:line="560" w:lineRule="exact"/>
        <w:ind w:firstLine="640" w:firstLineChars="200"/>
        <w:jc w:val="left"/>
        <w:textAlignment w:val="auto"/>
        <w:outlineLvl w:val="9"/>
        <w:rPr>
          <w:rFonts w:hint="eastAsia" w:ascii="仿宋_GB2312" w:hAnsi="仿宋_GB2312" w:eastAsia="仿宋_GB2312" w:cs="仿宋_GB2312"/>
          <w:b w:val="0"/>
          <w:bCs w:val="0"/>
          <w:sz w:val="32"/>
          <w:szCs w:val="32"/>
        </w:rPr>
      </w:pPr>
      <w:r>
        <w:rPr>
          <w:rStyle w:val="6"/>
          <w:rFonts w:hint="eastAsia" w:ascii="仿宋_GB2312" w:hAnsi="仿宋_GB2312" w:eastAsia="仿宋_GB2312" w:cs="仿宋_GB2312"/>
          <w:b w:val="0"/>
          <w:bCs w:val="0"/>
          <w:i w:val="0"/>
          <w:iCs w:val="0"/>
          <w:caps w:val="0"/>
          <w:color w:val="333333"/>
          <w:spacing w:val="0"/>
          <w:kern w:val="0"/>
          <w:sz w:val="32"/>
          <w:szCs w:val="32"/>
          <w:shd w:val="clear" w:color="auto" w:fill="FFFFFF"/>
          <w:lang w:val="en-US" w:eastAsia="zh-CN" w:bidi="ar"/>
        </w:rPr>
        <w:t>（二）企业年度财务预算方案（含工资总额）、决算方案（含工资总额）、利润分配方案和弥补亏损方案。</w:t>
      </w:r>
    </w:p>
    <w:p>
      <w:pPr>
        <w:keepNext w:val="0"/>
        <w:keepLines w:val="0"/>
        <w:pageBreakBefore w:val="0"/>
        <w:widowControl/>
        <w:suppressLineNumbers w:val="0"/>
        <w:kinsoku/>
        <w:wordWrap/>
        <w:overflowPunct/>
        <w:topLinePunct w:val="0"/>
        <w:autoSpaceDE/>
        <w:autoSpaceDN/>
        <w:bidi w:val="0"/>
        <w:adjustRightInd/>
        <w:snapToGrid/>
        <w:spacing w:line="560" w:lineRule="exact"/>
        <w:ind w:firstLine="643" w:firstLineChars="200"/>
        <w:jc w:val="left"/>
        <w:textAlignment w:val="auto"/>
        <w:outlineLvl w:val="9"/>
        <w:rPr>
          <w:rFonts w:hint="eastAsia" w:ascii="仿宋_GB2312" w:hAnsi="仿宋_GB2312" w:eastAsia="仿宋_GB2312" w:cs="仿宋_GB2312"/>
          <w:b w:val="0"/>
          <w:bCs w:val="0"/>
          <w:sz w:val="32"/>
          <w:szCs w:val="32"/>
        </w:rPr>
      </w:pPr>
      <w:r>
        <w:rPr>
          <w:rStyle w:val="6"/>
          <w:rFonts w:hint="eastAsia" w:ascii="仿宋_GB2312" w:hAnsi="仿宋_GB2312" w:eastAsia="仿宋_GB2312" w:cs="仿宋_GB2312"/>
          <w:b/>
          <w:bCs/>
          <w:i w:val="0"/>
          <w:iCs w:val="0"/>
          <w:caps w:val="0"/>
          <w:color w:val="333333"/>
          <w:spacing w:val="0"/>
          <w:kern w:val="0"/>
          <w:sz w:val="32"/>
          <w:szCs w:val="32"/>
          <w:shd w:val="clear" w:color="auto" w:fill="FFFFFF"/>
          <w:lang w:val="en-US" w:eastAsia="zh-CN" w:bidi="ar"/>
        </w:rPr>
        <w:t>第六十条</w:t>
      </w:r>
      <w:r>
        <w:rPr>
          <w:rStyle w:val="6"/>
          <w:rFonts w:hint="eastAsia" w:ascii="仿宋_GB2312" w:hAnsi="仿宋_GB2312" w:eastAsia="仿宋_GB2312" w:cs="仿宋_GB2312"/>
          <w:b w:val="0"/>
          <w:bCs w:val="0"/>
          <w:i w:val="0"/>
          <w:iCs w:val="0"/>
          <w:caps w:val="0"/>
          <w:color w:val="333333"/>
          <w:spacing w:val="0"/>
          <w:kern w:val="0"/>
          <w:sz w:val="32"/>
          <w:szCs w:val="32"/>
          <w:shd w:val="clear" w:color="auto" w:fill="FFFFFF"/>
          <w:lang w:val="en-US" w:eastAsia="zh-CN" w:bidi="ar"/>
        </w:rPr>
        <w:t>所出资企业及其所属企业对外超过5万元人民币以下的捐赠，应当报国资中心备案；5万元人民币至50万元的捐赠，应当报国资中心审批；50万元及以上的捐赠，应当报国资中心审核后，报县人民政府批准后按程序实施。</w:t>
      </w:r>
    </w:p>
    <w:p>
      <w:pPr>
        <w:keepNext w:val="0"/>
        <w:keepLines w:val="0"/>
        <w:pageBreakBefore w:val="0"/>
        <w:widowControl/>
        <w:suppressLineNumbers w:val="0"/>
        <w:kinsoku/>
        <w:wordWrap/>
        <w:overflowPunct/>
        <w:topLinePunct w:val="0"/>
        <w:autoSpaceDE/>
        <w:autoSpaceDN/>
        <w:bidi w:val="0"/>
        <w:adjustRightInd/>
        <w:snapToGrid/>
        <w:spacing w:line="560" w:lineRule="exact"/>
        <w:ind w:firstLine="643" w:firstLineChars="200"/>
        <w:jc w:val="left"/>
        <w:textAlignment w:val="auto"/>
        <w:outlineLvl w:val="9"/>
        <w:rPr>
          <w:rFonts w:hint="eastAsia" w:ascii="仿宋_GB2312" w:hAnsi="仿宋_GB2312" w:eastAsia="仿宋_GB2312" w:cs="仿宋_GB2312"/>
          <w:b w:val="0"/>
          <w:bCs w:val="0"/>
          <w:sz w:val="32"/>
          <w:szCs w:val="32"/>
        </w:rPr>
      </w:pPr>
      <w:r>
        <w:rPr>
          <w:rStyle w:val="6"/>
          <w:rFonts w:hint="eastAsia" w:ascii="仿宋_GB2312" w:hAnsi="仿宋_GB2312" w:eastAsia="仿宋_GB2312" w:cs="仿宋_GB2312"/>
          <w:b/>
          <w:bCs/>
          <w:i w:val="0"/>
          <w:iCs w:val="0"/>
          <w:caps w:val="0"/>
          <w:color w:val="333333"/>
          <w:spacing w:val="0"/>
          <w:kern w:val="0"/>
          <w:sz w:val="32"/>
          <w:szCs w:val="32"/>
          <w:shd w:val="clear" w:color="auto" w:fill="FFFFFF"/>
          <w:lang w:val="en-US" w:eastAsia="zh-CN" w:bidi="ar"/>
        </w:rPr>
        <w:t>第六十一条 </w:t>
      </w:r>
      <w:r>
        <w:rPr>
          <w:rStyle w:val="6"/>
          <w:rFonts w:hint="eastAsia" w:ascii="仿宋_GB2312" w:hAnsi="仿宋_GB2312" w:eastAsia="仿宋_GB2312" w:cs="仿宋_GB2312"/>
          <w:b w:val="0"/>
          <w:bCs w:val="0"/>
          <w:i w:val="0"/>
          <w:iCs w:val="0"/>
          <w:caps w:val="0"/>
          <w:color w:val="333333"/>
          <w:spacing w:val="0"/>
          <w:kern w:val="0"/>
          <w:sz w:val="32"/>
          <w:szCs w:val="32"/>
          <w:shd w:val="clear" w:color="auto" w:fill="FFFFFF"/>
          <w:lang w:val="en-US" w:eastAsia="zh-CN" w:bidi="ar"/>
        </w:rPr>
        <w:t>所出资企业及其所属企业有关股权管理、产权登记、担保管理、境外投资（包括设立办事机构）、清产核资、资产评估、财务管理、资产统计、收入分配，资产损失和不良资产认定、核销与处置，国有资本经营预算方案，重大法律纠纷案件，较大以上安全生产事故、突发环保事件以及其他可能影响企业正常经营管理和稳定的重大事项，须上报国资中心或县人民政府的，按照有关规定执行。</w:t>
      </w:r>
      <w:r>
        <w:rPr>
          <w:rStyle w:val="6"/>
          <w:rFonts w:hint="eastAsia" w:ascii="仿宋_GB2312" w:hAnsi="仿宋_GB2312" w:eastAsia="仿宋_GB2312" w:cs="仿宋_GB2312"/>
          <w:b w:val="0"/>
          <w:bCs w:val="0"/>
          <w:i w:val="0"/>
          <w:iCs w:val="0"/>
          <w:caps w:val="0"/>
          <w:color w:val="333333"/>
          <w:spacing w:val="0"/>
          <w:kern w:val="0"/>
          <w:sz w:val="32"/>
          <w:szCs w:val="32"/>
          <w:shd w:val="clear" w:color="auto" w:fill="FFFFFF"/>
          <w:lang w:val="en-US" w:eastAsia="zh-CN" w:bidi="ar"/>
        </w:rPr>
        <w:br w:type="textWrapping"/>
      </w:r>
      <w:r>
        <w:rPr>
          <w:rStyle w:val="6"/>
          <w:rFonts w:hint="eastAsia" w:ascii="仿宋_GB2312" w:hAnsi="仿宋_GB2312" w:eastAsia="仿宋_GB2312" w:cs="仿宋_GB2312"/>
          <w:b w:val="0"/>
          <w:bCs w:val="0"/>
          <w:i w:val="0"/>
          <w:iCs w:val="0"/>
          <w:caps w:val="0"/>
          <w:color w:val="333333"/>
          <w:spacing w:val="0"/>
          <w:kern w:val="0"/>
          <w:sz w:val="32"/>
          <w:szCs w:val="32"/>
          <w:shd w:val="clear" w:color="auto" w:fill="FFFFFF"/>
          <w:lang w:val="en-US" w:eastAsia="zh-CN" w:bidi="ar"/>
        </w:rPr>
        <w:t xml:space="preserve">    </w:t>
      </w:r>
      <w:r>
        <w:rPr>
          <w:rStyle w:val="6"/>
          <w:rFonts w:hint="eastAsia" w:ascii="仿宋_GB2312" w:hAnsi="仿宋_GB2312" w:eastAsia="仿宋_GB2312" w:cs="仿宋_GB2312"/>
          <w:b/>
          <w:bCs/>
          <w:i w:val="0"/>
          <w:iCs w:val="0"/>
          <w:caps w:val="0"/>
          <w:color w:val="333333"/>
          <w:spacing w:val="0"/>
          <w:kern w:val="0"/>
          <w:sz w:val="32"/>
          <w:szCs w:val="32"/>
          <w:shd w:val="clear" w:color="auto" w:fill="FFFFFF"/>
          <w:lang w:val="en-US" w:eastAsia="zh-CN" w:bidi="ar"/>
        </w:rPr>
        <w:t>第六十二条 </w:t>
      </w:r>
      <w:r>
        <w:rPr>
          <w:rStyle w:val="6"/>
          <w:rFonts w:hint="eastAsia" w:ascii="仿宋_GB2312" w:hAnsi="仿宋_GB2312" w:eastAsia="仿宋_GB2312" w:cs="仿宋_GB2312"/>
          <w:b w:val="0"/>
          <w:bCs w:val="0"/>
          <w:i w:val="0"/>
          <w:iCs w:val="0"/>
          <w:caps w:val="0"/>
          <w:color w:val="333333"/>
          <w:spacing w:val="0"/>
          <w:kern w:val="0"/>
          <w:sz w:val="32"/>
          <w:szCs w:val="32"/>
          <w:shd w:val="clear" w:color="auto" w:fill="FFFFFF"/>
          <w:lang w:val="en-US" w:eastAsia="zh-CN" w:bidi="ar"/>
        </w:rPr>
        <w:t>所出资企业中的国有独资企业董事会应当在每年4月30日前将上一年度董事会工作报告报国资中心备案；国有控股、实际控制及参股企业应当根据《中华人民共和国公司法》等相关法律规定将董事会工作报告纳入股东会议案进行管理。</w:t>
      </w:r>
    </w:p>
    <w:p>
      <w:pPr>
        <w:keepNext w:val="0"/>
        <w:keepLines w:val="0"/>
        <w:pageBreakBefore w:val="0"/>
        <w:widowControl/>
        <w:suppressLineNumbers w:val="0"/>
        <w:kinsoku/>
        <w:wordWrap/>
        <w:overflowPunct/>
        <w:topLinePunct w:val="0"/>
        <w:autoSpaceDE/>
        <w:autoSpaceDN/>
        <w:bidi w:val="0"/>
        <w:adjustRightInd/>
        <w:snapToGrid/>
        <w:spacing w:line="560" w:lineRule="exact"/>
        <w:ind w:firstLine="643" w:firstLineChars="200"/>
        <w:jc w:val="left"/>
        <w:textAlignment w:val="auto"/>
        <w:outlineLvl w:val="9"/>
        <w:rPr>
          <w:rFonts w:hint="eastAsia" w:ascii="仿宋_GB2312" w:hAnsi="仿宋_GB2312" w:eastAsia="仿宋_GB2312" w:cs="仿宋_GB2312"/>
          <w:b w:val="0"/>
          <w:bCs w:val="0"/>
          <w:sz w:val="32"/>
          <w:szCs w:val="32"/>
        </w:rPr>
      </w:pPr>
      <w:r>
        <w:rPr>
          <w:rStyle w:val="6"/>
          <w:rFonts w:hint="eastAsia" w:ascii="仿宋_GB2312" w:hAnsi="仿宋_GB2312" w:eastAsia="仿宋_GB2312" w:cs="仿宋_GB2312"/>
          <w:b/>
          <w:bCs/>
          <w:i w:val="0"/>
          <w:iCs w:val="0"/>
          <w:caps w:val="0"/>
          <w:color w:val="333333"/>
          <w:spacing w:val="0"/>
          <w:kern w:val="0"/>
          <w:sz w:val="32"/>
          <w:szCs w:val="32"/>
          <w:shd w:val="clear" w:color="auto" w:fill="FFFFFF"/>
          <w:lang w:val="en-US" w:eastAsia="zh-CN" w:bidi="ar"/>
        </w:rPr>
        <w:t>第六十三条 </w:t>
      </w:r>
      <w:r>
        <w:rPr>
          <w:rStyle w:val="6"/>
          <w:rFonts w:hint="eastAsia" w:ascii="仿宋_GB2312" w:hAnsi="仿宋_GB2312" w:eastAsia="仿宋_GB2312" w:cs="仿宋_GB2312"/>
          <w:b w:val="0"/>
          <w:bCs w:val="0"/>
          <w:i w:val="0"/>
          <w:iCs w:val="0"/>
          <w:caps w:val="0"/>
          <w:color w:val="333333"/>
          <w:spacing w:val="0"/>
          <w:kern w:val="0"/>
          <w:sz w:val="32"/>
          <w:szCs w:val="32"/>
          <w:shd w:val="clear" w:color="auto" w:fill="FFFFFF"/>
          <w:lang w:val="en-US" w:eastAsia="zh-CN" w:bidi="ar"/>
        </w:rPr>
        <w:t>所出资企业及其所属企业在经营中发现重大国有资产损失风险的，应当按照有关规定及时向国资中心报告。</w:t>
      </w:r>
      <w:r>
        <w:rPr>
          <w:rStyle w:val="6"/>
          <w:rFonts w:hint="eastAsia" w:ascii="仿宋_GB2312" w:hAnsi="仿宋_GB2312" w:eastAsia="仿宋_GB2312" w:cs="仿宋_GB2312"/>
          <w:b w:val="0"/>
          <w:bCs w:val="0"/>
          <w:i w:val="0"/>
          <w:iCs w:val="0"/>
          <w:caps w:val="0"/>
          <w:color w:val="333333"/>
          <w:spacing w:val="0"/>
          <w:kern w:val="0"/>
          <w:sz w:val="32"/>
          <w:szCs w:val="32"/>
          <w:shd w:val="clear" w:color="auto" w:fill="FFFFFF"/>
          <w:lang w:val="en-US" w:eastAsia="zh-CN" w:bidi="ar"/>
        </w:rPr>
        <w:br w:type="textWrapping"/>
      </w:r>
      <w:r>
        <w:rPr>
          <w:rStyle w:val="6"/>
          <w:rFonts w:hint="eastAsia" w:ascii="仿宋_GB2312" w:hAnsi="仿宋_GB2312" w:eastAsia="仿宋_GB2312" w:cs="仿宋_GB2312"/>
          <w:b w:val="0"/>
          <w:bCs w:val="0"/>
          <w:i w:val="0"/>
          <w:iCs w:val="0"/>
          <w:caps w:val="0"/>
          <w:color w:val="333333"/>
          <w:spacing w:val="0"/>
          <w:kern w:val="0"/>
          <w:sz w:val="32"/>
          <w:szCs w:val="32"/>
          <w:shd w:val="clear" w:color="auto" w:fill="FFFFFF"/>
          <w:lang w:val="en-US" w:eastAsia="zh-CN" w:bidi="ar"/>
        </w:rPr>
        <w:t xml:space="preserve">    </w:t>
      </w:r>
      <w:r>
        <w:rPr>
          <w:rStyle w:val="6"/>
          <w:rFonts w:hint="eastAsia" w:ascii="仿宋_GB2312" w:hAnsi="仿宋_GB2312" w:eastAsia="仿宋_GB2312" w:cs="仿宋_GB2312"/>
          <w:b/>
          <w:bCs/>
          <w:i w:val="0"/>
          <w:iCs w:val="0"/>
          <w:caps w:val="0"/>
          <w:color w:val="333333"/>
          <w:spacing w:val="0"/>
          <w:kern w:val="0"/>
          <w:sz w:val="32"/>
          <w:szCs w:val="32"/>
          <w:shd w:val="clear" w:color="auto" w:fill="FFFFFF"/>
          <w:lang w:val="en-US" w:eastAsia="zh-CN" w:bidi="ar"/>
        </w:rPr>
        <w:t>第六十四条</w:t>
      </w:r>
      <w:r>
        <w:rPr>
          <w:rStyle w:val="6"/>
          <w:rFonts w:hint="eastAsia" w:ascii="仿宋_GB2312" w:hAnsi="仿宋_GB2312" w:eastAsia="仿宋_GB2312" w:cs="仿宋_GB2312"/>
          <w:b w:val="0"/>
          <w:bCs w:val="0"/>
          <w:i w:val="0"/>
          <w:iCs w:val="0"/>
          <w:caps w:val="0"/>
          <w:color w:val="333333"/>
          <w:spacing w:val="0"/>
          <w:kern w:val="0"/>
          <w:sz w:val="32"/>
          <w:szCs w:val="32"/>
          <w:shd w:val="clear" w:color="auto" w:fill="FFFFFF"/>
          <w:lang w:val="en-US" w:eastAsia="zh-CN" w:bidi="ar"/>
        </w:rPr>
        <w:t> 按照有关法律法规和企业章程规定须报告的其他事项，所出资企业应当及时向国资中心报告。</w:t>
      </w:r>
    </w:p>
    <w:p>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640" w:firstLineChars="200"/>
        <w:jc w:val="left"/>
        <w:textAlignment w:val="auto"/>
        <w:outlineLvl w:val="9"/>
        <w:rPr>
          <w:rFonts w:hint="eastAsia" w:ascii="仿宋_GB2312" w:hAnsi="仿宋_GB2312" w:eastAsia="仿宋_GB2312" w:cs="仿宋_GB2312"/>
          <w:b w:val="0"/>
          <w:bCs w:val="0"/>
          <w:i w:val="0"/>
          <w:iCs w:val="0"/>
          <w:caps w:val="0"/>
          <w:color w:val="333333"/>
          <w:spacing w:val="0"/>
          <w:sz w:val="32"/>
          <w:szCs w:val="32"/>
          <w:shd w:val="clear" w:color="auto" w:fill="FFFFFF"/>
        </w:rPr>
      </w:pPr>
      <w:r>
        <w:rPr>
          <w:rFonts w:hint="eastAsia" w:ascii="仿宋_GB2312" w:hAnsi="仿宋_GB2312" w:eastAsia="仿宋_GB2312" w:cs="仿宋_GB2312"/>
          <w:b w:val="0"/>
          <w:bCs w:val="0"/>
          <w:i w:val="0"/>
          <w:iCs w:val="0"/>
          <w:caps w:val="0"/>
          <w:color w:val="333333"/>
          <w:spacing w:val="0"/>
          <w:sz w:val="32"/>
          <w:szCs w:val="32"/>
          <w:shd w:val="clear" w:color="auto" w:fill="FFFFFF"/>
        </w:rPr>
        <w:t> </w:t>
      </w:r>
    </w:p>
    <w:p>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right="0"/>
        <w:jc w:val="center"/>
        <w:textAlignment w:val="auto"/>
        <w:outlineLvl w:val="9"/>
        <w:rPr>
          <w:rFonts w:hint="eastAsia" w:ascii="黑体" w:hAnsi="黑体" w:eastAsia="黑体" w:cs="黑体"/>
          <w:b w:val="0"/>
          <w:bCs w:val="0"/>
          <w:sz w:val="32"/>
          <w:szCs w:val="32"/>
        </w:rPr>
      </w:pPr>
      <w:r>
        <w:rPr>
          <w:rStyle w:val="6"/>
          <w:rFonts w:hint="eastAsia" w:ascii="黑体" w:hAnsi="黑体" w:eastAsia="黑体" w:cs="黑体"/>
          <w:b w:val="0"/>
          <w:bCs w:val="0"/>
          <w:i w:val="0"/>
          <w:iCs w:val="0"/>
          <w:caps w:val="0"/>
          <w:color w:val="333333"/>
          <w:spacing w:val="0"/>
          <w:kern w:val="0"/>
          <w:sz w:val="32"/>
          <w:szCs w:val="32"/>
          <w:shd w:val="clear" w:color="auto" w:fill="FFFFFF"/>
          <w:lang w:val="en-US" w:eastAsia="zh-CN" w:bidi="ar"/>
        </w:rPr>
        <w:t>第十章 重大事项决策、报告程序</w:t>
      </w:r>
    </w:p>
    <w:p>
      <w:pPr>
        <w:keepNext w:val="0"/>
        <w:keepLines w:val="0"/>
        <w:pageBreakBefore w:val="0"/>
        <w:widowControl/>
        <w:suppressLineNumbers w:val="0"/>
        <w:kinsoku/>
        <w:wordWrap/>
        <w:overflowPunct/>
        <w:topLinePunct w:val="0"/>
        <w:autoSpaceDE/>
        <w:autoSpaceDN/>
        <w:bidi w:val="0"/>
        <w:adjustRightInd/>
        <w:snapToGrid/>
        <w:spacing w:line="560" w:lineRule="exact"/>
        <w:ind w:firstLine="643" w:firstLineChars="200"/>
        <w:jc w:val="left"/>
        <w:textAlignment w:val="auto"/>
        <w:outlineLvl w:val="9"/>
        <w:rPr>
          <w:rFonts w:hint="eastAsia" w:ascii="仿宋_GB2312" w:hAnsi="仿宋_GB2312" w:eastAsia="仿宋_GB2312" w:cs="仿宋_GB2312"/>
          <w:b w:val="0"/>
          <w:bCs w:val="0"/>
          <w:sz w:val="32"/>
          <w:szCs w:val="32"/>
        </w:rPr>
      </w:pPr>
      <w:r>
        <w:rPr>
          <w:rStyle w:val="6"/>
          <w:rFonts w:hint="eastAsia" w:ascii="仿宋_GB2312" w:hAnsi="仿宋_GB2312" w:eastAsia="仿宋_GB2312" w:cs="仿宋_GB2312"/>
          <w:b/>
          <w:bCs/>
          <w:i w:val="0"/>
          <w:iCs w:val="0"/>
          <w:caps w:val="0"/>
          <w:color w:val="333333"/>
          <w:spacing w:val="0"/>
          <w:kern w:val="0"/>
          <w:sz w:val="32"/>
          <w:szCs w:val="32"/>
          <w:shd w:val="clear" w:color="auto" w:fill="FFFFFF"/>
          <w:lang w:val="en-US" w:eastAsia="zh-CN" w:bidi="ar"/>
        </w:rPr>
        <w:t>第六十五条 </w:t>
      </w:r>
      <w:r>
        <w:rPr>
          <w:rStyle w:val="6"/>
          <w:rFonts w:hint="eastAsia" w:ascii="仿宋_GB2312" w:hAnsi="仿宋_GB2312" w:eastAsia="仿宋_GB2312" w:cs="仿宋_GB2312"/>
          <w:b w:val="0"/>
          <w:bCs w:val="0"/>
          <w:i w:val="0"/>
          <w:iCs w:val="0"/>
          <w:caps w:val="0"/>
          <w:color w:val="333333"/>
          <w:spacing w:val="0"/>
          <w:kern w:val="0"/>
          <w:sz w:val="32"/>
          <w:szCs w:val="32"/>
          <w:shd w:val="clear" w:color="auto" w:fill="FFFFFF"/>
          <w:lang w:val="en-US" w:eastAsia="zh-CN" w:bidi="ar"/>
        </w:rPr>
        <w:t>所出资企业及其所属企业重大事项应按照法律法规、中共中央办公厅和国务院办公厅《关于进一步推进国有企业贯彻落实“三重一大”决策制度的意见》以及企业章程规定，由企业股东（大）会、董事会等机构进行决策，并承担相应责任。</w:t>
      </w:r>
    </w:p>
    <w:p>
      <w:pPr>
        <w:keepNext w:val="0"/>
        <w:keepLines w:val="0"/>
        <w:pageBreakBefore w:val="0"/>
        <w:widowControl/>
        <w:suppressLineNumbers w:val="0"/>
        <w:kinsoku/>
        <w:wordWrap/>
        <w:overflowPunct/>
        <w:topLinePunct w:val="0"/>
        <w:autoSpaceDE/>
        <w:autoSpaceDN/>
        <w:bidi w:val="0"/>
        <w:adjustRightInd/>
        <w:snapToGrid/>
        <w:spacing w:line="560" w:lineRule="exact"/>
        <w:ind w:firstLine="643" w:firstLineChars="200"/>
        <w:jc w:val="left"/>
        <w:textAlignment w:val="auto"/>
        <w:outlineLvl w:val="9"/>
        <w:rPr>
          <w:rFonts w:hint="eastAsia" w:ascii="仿宋_GB2312" w:hAnsi="仿宋_GB2312" w:eastAsia="仿宋_GB2312" w:cs="仿宋_GB2312"/>
          <w:b w:val="0"/>
          <w:bCs w:val="0"/>
          <w:sz w:val="32"/>
          <w:szCs w:val="32"/>
        </w:rPr>
      </w:pPr>
      <w:r>
        <w:rPr>
          <w:rStyle w:val="6"/>
          <w:rFonts w:hint="eastAsia" w:ascii="仿宋_GB2312" w:hAnsi="仿宋_GB2312" w:eastAsia="仿宋_GB2312" w:cs="仿宋_GB2312"/>
          <w:b/>
          <w:bCs/>
          <w:i w:val="0"/>
          <w:iCs w:val="0"/>
          <w:caps w:val="0"/>
          <w:color w:val="333333"/>
          <w:spacing w:val="0"/>
          <w:kern w:val="0"/>
          <w:sz w:val="32"/>
          <w:szCs w:val="32"/>
          <w:shd w:val="clear" w:color="auto" w:fill="FFFFFF"/>
          <w:lang w:val="en-US" w:eastAsia="zh-CN" w:bidi="ar"/>
        </w:rPr>
        <w:t>第六十六条</w:t>
      </w:r>
      <w:r>
        <w:rPr>
          <w:rStyle w:val="6"/>
          <w:rFonts w:hint="eastAsia" w:ascii="仿宋_GB2312" w:hAnsi="仿宋_GB2312" w:eastAsia="仿宋_GB2312" w:cs="仿宋_GB2312"/>
          <w:b w:val="0"/>
          <w:bCs w:val="0"/>
          <w:i w:val="0"/>
          <w:iCs w:val="0"/>
          <w:caps w:val="0"/>
          <w:color w:val="333333"/>
          <w:spacing w:val="0"/>
          <w:kern w:val="0"/>
          <w:sz w:val="32"/>
          <w:szCs w:val="32"/>
          <w:shd w:val="clear" w:color="auto" w:fill="FFFFFF"/>
          <w:lang w:val="en-US" w:eastAsia="zh-CN" w:bidi="ar"/>
        </w:rPr>
        <w:t> 所出资企业依照规定向国资中心报告重大事项，须经国资中心核准后方能实施的，国资中心收到企业报送重大事项的文件后，5个工作日以内给予是否立项或需提供补充材料的回复；国资中心自企业上报材料齐备之日起，15个工作日以内给予明确回复。需由县政府批准的事项，国资中心应当在上报材料齐备之日起7个工作日内出具审核意见，报县政府批准。</w:t>
      </w:r>
    </w:p>
    <w:p>
      <w:pPr>
        <w:keepNext w:val="0"/>
        <w:keepLines w:val="0"/>
        <w:pageBreakBefore w:val="0"/>
        <w:widowControl/>
        <w:suppressLineNumbers w:val="0"/>
        <w:kinsoku/>
        <w:wordWrap/>
        <w:overflowPunct/>
        <w:topLinePunct w:val="0"/>
        <w:autoSpaceDE/>
        <w:autoSpaceDN/>
        <w:bidi w:val="0"/>
        <w:adjustRightInd/>
        <w:snapToGrid/>
        <w:spacing w:line="560" w:lineRule="exact"/>
        <w:ind w:firstLine="640" w:firstLineChars="200"/>
        <w:jc w:val="left"/>
        <w:textAlignment w:val="auto"/>
        <w:outlineLvl w:val="9"/>
        <w:rPr>
          <w:rFonts w:hint="eastAsia" w:ascii="仿宋_GB2312" w:hAnsi="仿宋_GB2312" w:eastAsia="仿宋_GB2312" w:cs="仿宋_GB2312"/>
          <w:b w:val="0"/>
          <w:bCs w:val="0"/>
          <w:sz w:val="32"/>
          <w:szCs w:val="32"/>
        </w:rPr>
      </w:pPr>
      <w:r>
        <w:rPr>
          <w:rStyle w:val="6"/>
          <w:rFonts w:hint="eastAsia" w:ascii="仿宋_GB2312" w:hAnsi="仿宋_GB2312" w:eastAsia="仿宋_GB2312" w:cs="仿宋_GB2312"/>
          <w:b w:val="0"/>
          <w:bCs w:val="0"/>
          <w:i w:val="0"/>
          <w:iCs w:val="0"/>
          <w:caps w:val="0"/>
          <w:color w:val="333333"/>
          <w:spacing w:val="0"/>
          <w:kern w:val="0"/>
          <w:sz w:val="32"/>
          <w:szCs w:val="32"/>
          <w:shd w:val="clear" w:color="auto" w:fill="FFFFFF"/>
          <w:lang w:val="en-US" w:eastAsia="zh-CN" w:bidi="ar"/>
        </w:rPr>
        <w:t>国资中心根据需要委托咨询评估、进行专家论证和征求有关方面意见的时间不计在上述期限之内。</w:t>
      </w:r>
    </w:p>
    <w:p>
      <w:pPr>
        <w:keepNext w:val="0"/>
        <w:keepLines w:val="0"/>
        <w:pageBreakBefore w:val="0"/>
        <w:widowControl/>
        <w:suppressLineNumbers w:val="0"/>
        <w:kinsoku/>
        <w:wordWrap/>
        <w:overflowPunct/>
        <w:topLinePunct w:val="0"/>
        <w:autoSpaceDE/>
        <w:autoSpaceDN/>
        <w:bidi w:val="0"/>
        <w:adjustRightInd/>
        <w:snapToGrid/>
        <w:spacing w:line="560" w:lineRule="exact"/>
        <w:ind w:firstLine="640" w:firstLineChars="200"/>
        <w:jc w:val="left"/>
        <w:textAlignment w:val="auto"/>
        <w:outlineLvl w:val="9"/>
        <w:rPr>
          <w:rFonts w:hint="eastAsia" w:ascii="仿宋_GB2312" w:hAnsi="仿宋_GB2312" w:eastAsia="仿宋_GB2312" w:cs="仿宋_GB2312"/>
          <w:b w:val="0"/>
          <w:bCs w:val="0"/>
          <w:sz w:val="32"/>
          <w:szCs w:val="32"/>
        </w:rPr>
      </w:pPr>
      <w:r>
        <w:rPr>
          <w:rStyle w:val="6"/>
          <w:rFonts w:hint="eastAsia" w:ascii="仿宋_GB2312" w:hAnsi="仿宋_GB2312" w:eastAsia="仿宋_GB2312" w:cs="仿宋_GB2312"/>
          <w:b w:val="0"/>
          <w:bCs w:val="0"/>
          <w:i w:val="0"/>
          <w:iCs w:val="0"/>
          <w:caps w:val="0"/>
          <w:color w:val="333333"/>
          <w:spacing w:val="0"/>
          <w:kern w:val="0"/>
          <w:sz w:val="32"/>
          <w:szCs w:val="32"/>
          <w:shd w:val="clear" w:color="auto" w:fill="FFFFFF"/>
          <w:lang w:val="en-US" w:eastAsia="zh-CN" w:bidi="ar"/>
        </w:rPr>
        <w:t>对于时限要求比较严格的紧急事项，企业应当提前派专人到国资中心进行充分沟通。对需国资中心与相关部门协商，以及请示县政府批准的事项，承办时限据实延长并告知企业。</w:t>
      </w:r>
    </w:p>
    <w:p>
      <w:pPr>
        <w:keepNext w:val="0"/>
        <w:keepLines w:val="0"/>
        <w:pageBreakBefore w:val="0"/>
        <w:widowControl/>
        <w:suppressLineNumbers w:val="0"/>
        <w:kinsoku/>
        <w:wordWrap/>
        <w:overflowPunct/>
        <w:topLinePunct w:val="0"/>
        <w:autoSpaceDE/>
        <w:autoSpaceDN/>
        <w:bidi w:val="0"/>
        <w:adjustRightInd/>
        <w:snapToGrid/>
        <w:spacing w:line="560" w:lineRule="exact"/>
        <w:ind w:firstLine="643" w:firstLineChars="200"/>
        <w:jc w:val="left"/>
        <w:textAlignment w:val="auto"/>
        <w:outlineLvl w:val="9"/>
        <w:rPr>
          <w:rFonts w:hint="eastAsia" w:ascii="仿宋_GB2312" w:hAnsi="仿宋_GB2312" w:eastAsia="仿宋_GB2312" w:cs="仿宋_GB2312"/>
          <w:b w:val="0"/>
          <w:bCs w:val="0"/>
          <w:sz w:val="32"/>
          <w:szCs w:val="32"/>
        </w:rPr>
      </w:pPr>
      <w:r>
        <w:rPr>
          <w:rStyle w:val="6"/>
          <w:rFonts w:hint="eastAsia" w:ascii="仿宋_GB2312" w:hAnsi="仿宋_GB2312" w:eastAsia="仿宋_GB2312" w:cs="仿宋_GB2312"/>
          <w:b/>
          <w:bCs/>
          <w:i w:val="0"/>
          <w:iCs w:val="0"/>
          <w:caps w:val="0"/>
          <w:color w:val="333333"/>
          <w:spacing w:val="0"/>
          <w:kern w:val="0"/>
          <w:sz w:val="32"/>
          <w:szCs w:val="32"/>
          <w:shd w:val="clear" w:color="auto" w:fill="FFFFFF"/>
          <w:lang w:val="en-US" w:eastAsia="zh-CN" w:bidi="ar"/>
        </w:rPr>
        <w:t>第六十七条</w:t>
      </w:r>
      <w:r>
        <w:rPr>
          <w:rStyle w:val="6"/>
          <w:rFonts w:hint="eastAsia" w:ascii="仿宋_GB2312" w:hAnsi="仿宋_GB2312" w:eastAsia="仿宋_GB2312" w:cs="仿宋_GB2312"/>
          <w:b w:val="0"/>
          <w:bCs w:val="0"/>
          <w:i w:val="0"/>
          <w:iCs w:val="0"/>
          <w:caps w:val="0"/>
          <w:color w:val="333333"/>
          <w:spacing w:val="0"/>
          <w:kern w:val="0"/>
          <w:sz w:val="32"/>
          <w:szCs w:val="32"/>
          <w:shd w:val="clear" w:color="auto" w:fill="FFFFFF"/>
          <w:lang w:val="en-US" w:eastAsia="zh-CN" w:bidi="ar"/>
        </w:rPr>
        <w:t> 所出资企业的合并、分立、改制、解散、申请破产以及法律、行政法规规定应当报经县人民政府批准的重大事项，国资中心审核后，报请县人民政府批准。</w:t>
      </w:r>
    </w:p>
    <w:p>
      <w:pPr>
        <w:keepNext w:val="0"/>
        <w:keepLines w:val="0"/>
        <w:pageBreakBefore w:val="0"/>
        <w:widowControl/>
        <w:suppressLineNumbers w:val="0"/>
        <w:kinsoku/>
        <w:wordWrap/>
        <w:overflowPunct/>
        <w:topLinePunct w:val="0"/>
        <w:autoSpaceDE/>
        <w:autoSpaceDN/>
        <w:bidi w:val="0"/>
        <w:adjustRightInd/>
        <w:snapToGrid/>
        <w:spacing w:line="560" w:lineRule="exact"/>
        <w:ind w:firstLine="643" w:firstLineChars="200"/>
        <w:jc w:val="left"/>
        <w:textAlignment w:val="auto"/>
        <w:outlineLvl w:val="9"/>
        <w:rPr>
          <w:rFonts w:hint="eastAsia" w:ascii="仿宋_GB2312" w:hAnsi="仿宋_GB2312" w:eastAsia="仿宋_GB2312" w:cs="仿宋_GB2312"/>
          <w:b w:val="0"/>
          <w:bCs w:val="0"/>
          <w:sz w:val="32"/>
          <w:szCs w:val="32"/>
        </w:rPr>
      </w:pPr>
      <w:r>
        <w:rPr>
          <w:rStyle w:val="6"/>
          <w:rFonts w:hint="eastAsia" w:ascii="仿宋_GB2312" w:hAnsi="仿宋_GB2312" w:eastAsia="仿宋_GB2312" w:cs="仿宋_GB2312"/>
          <w:b/>
          <w:bCs/>
          <w:i w:val="0"/>
          <w:iCs w:val="0"/>
          <w:caps w:val="0"/>
          <w:color w:val="333333"/>
          <w:spacing w:val="0"/>
          <w:kern w:val="0"/>
          <w:sz w:val="32"/>
          <w:szCs w:val="32"/>
          <w:shd w:val="clear" w:color="auto" w:fill="FFFFFF"/>
          <w:lang w:val="en-US" w:eastAsia="zh-CN" w:bidi="ar"/>
        </w:rPr>
        <w:t>第六十八条</w:t>
      </w:r>
      <w:r>
        <w:rPr>
          <w:rStyle w:val="6"/>
          <w:rFonts w:hint="eastAsia" w:ascii="仿宋_GB2312" w:hAnsi="仿宋_GB2312" w:eastAsia="仿宋_GB2312" w:cs="仿宋_GB2312"/>
          <w:b w:val="0"/>
          <w:bCs w:val="0"/>
          <w:i w:val="0"/>
          <w:iCs w:val="0"/>
          <w:caps w:val="0"/>
          <w:color w:val="333333"/>
          <w:spacing w:val="0"/>
          <w:kern w:val="0"/>
          <w:sz w:val="32"/>
          <w:szCs w:val="32"/>
          <w:shd w:val="clear" w:color="auto" w:fill="FFFFFF"/>
          <w:lang w:val="en-US" w:eastAsia="zh-CN" w:bidi="ar"/>
        </w:rPr>
        <w:t> 对所出资企业呈报的重大事项，国资中心可根据工作需要，委托有关专家、顾问进行咨询、论证。</w:t>
      </w:r>
    </w:p>
    <w:p>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640" w:firstLineChars="200"/>
        <w:jc w:val="left"/>
        <w:textAlignment w:val="auto"/>
        <w:outlineLvl w:val="9"/>
        <w:rPr>
          <w:rFonts w:hint="eastAsia" w:ascii="黑体" w:hAnsi="黑体" w:eastAsia="黑体" w:cs="黑体"/>
          <w:b w:val="0"/>
          <w:bCs w:val="0"/>
          <w:i w:val="0"/>
          <w:iCs w:val="0"/>
          <w:caps w:val="0"/>
          <w:color w:val="333333"/>
          <w:spacing w:val="0"/>
          <w:sz w:val="32"/>
          <w:szCs w:val="32"/>
          <w:shd w:val="clear" w:color="auto" w:fill="FFFFFF"/>
        </w:rPr>
      </w:pPr>
      <w:r>
        <w:rPr>
          <w:rFonts w:hint="eastAsia" w:ascii="仿宋_GB2312" w:hAnsi="仿宋_GB2312" w:eastAsia="仿宋_GB2312" w:cs="仿宋_GB2312"/>
          <w:b w:val="0"/>
          <w:bCs w:val="0"/>
          <w:i w:val="0"/>
          <w:iCs w:val="0"/>
          <w:caps w:val="0"/>
          <w:color w:val="333333"/>
          <w:spacing w:val="0"/>
          <w:sz w:val="32"/>
          <w:szCs w:val="32"/>
          <w:shd w:val="clear" w:color="auto" w:fill="FFFFFF"/>
        </w:rPr>
        <w:t> </w:t>
      </w:r>
    </w:p>
    <w:p>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right="0"/>
        <w:jc w:val="center"/>
        <w:textAlignment w:val="auto"/>
        <w:outlineLvl w:val="9"/>
        <w:rPr>
          <w:rFonts w:hint="eastAsia" w:ascii="黑体" w:hAnsi="黑体" w:eastAsia="黑体" w:cs="黑体"/>
          <w:b w:val="0"/>
          <w:bCs w:val="0"/>
          <w:sz w:val="32"/>
          <w:szCs w:val="32"/>
        </w:rPr>
      </w:pPr>
      <w:r>
        <w:rPr>
          <w:rStyle w:val="6"/>
          <w:rFonts w:hint="eastAsia" w:ascii="黑体" w:hAnsi="黑体" w:eastAsia="黑体" w:cs="黑体"/>
          <w:b w:val="0"/>
          <w:bCs w:val="0"/>
          <w:i w:val="0"/>
          <w:iCs w:val="0"/>
          <w:caps w:val="0"/>
          <w:color w:val="333333"/>
          <w:spacing w:val="0"/>
          <w:kern w:val="0"/>
          <w:sz w:val="32"/>
          <w:szCs w:val="32"/>
          <w:shd w:val="clear" w:color="auto" w:fill="FFFFFF"/>
          <w:lang w:val="en-US" w:eastAsia="zh-CN" w:bidi="ar"/>
        </w:rPr>
        <w:t>第十一章  附则</w:t>
      </w:r>
    </w:p>
    <w:p>
      <w:pPr>
        <w:keepNext w:val="0"/>
        <w:keepLines w:val="0"/>
        <w:pageBreakBefore w:val="0"/>
        <w:widowControl/>
        <w:suppressLineNumbers w:val="0"/>
        <w:kinsoku/>
        <w:wordWrap/>
        <w:overflowPunct/>
        <w:topLinePunct w:val="0"/>
        <w:autoSpaceDE/>
        <w:autoSpaceDN/>
        <w:bidi w:val="0"/>
        <w:adjustRightInd/>
        <w:snapToGrid/>
        <w:spacing w:line="560" w:lineRule="exact"/>
        <w:ind w:firstLine="643" w:firstLineChars="200"/>
        <w:jc w:val="left"/>
        <w:textAlignment w:val="auto"/>
        <w:outlineLvl w:val="9"/>
        <w:rPr>
          <w:rFonts w:hint="eastAsia" w:ascii="仿宋_GB2312" w:hAnsi="仿宋_GB2312" w:eastAsia="仿宋_GB2312" w:cs="仿宋_GB2312"/>
          <w:b w:val="0"/>
          <w:bCs w:val="0"/>
          <w:sz w:val="32"/>
          <w:szCs w:val="32"/>
        </w:rPr>
      </w:pPr>
      <w:r>
        <w:rPr>
          <w:rStyle w:val="6"/>
          <w:rFonts w:hint="eastAsia" w:ascii="仿宋_GB2312" w:hAnsi="仿宋_GB2312" w:eastAsia="仿宋_GB2312" w:cs="仿宋_GB2312"/>
          <w:b/>
          <w:bCs/>
          <w:i w:val="0"/>
          <w:iCs w:val="0"/>
          <w:caps w:val="0"/>
          <w:color w:val="333333"/>
          <w:spacing w:val="0"/>
          <w:kern w:val="0"/>
          <w:sz w:val="32"/>
          <w:szCs w:val="32"/>
          <w:shd w:val="clear" w:color="auto" w:fill="FFFFFF"/>
          <w:lang w:val="en-US" w:eastAsia="zh-CN" w:bidi="ar"/>
        </w:rPr>
        <w:t>第六十九条</w:t>
      </w:r>
      <w:r>
        <w:rPr>
          <w:rStyle w:val="6"/>
          <w:rFonts w:hint="eastAsia" w:ascii="仿宋_GB2312" w:hAnsi="仿宋_GB2312" w:eastAsia="仿宋_GB2312" w:cs="仿宋_GB2312"/>
          <w:b w:val="0"/>
          <w:bCs w:val="0"/>
          <w:i w:val="0"/>
          <w:iCs w:val="0"/>
          <w:caps w:val="0"/>
          <w:color w:val="333333"/>
          <w:spacing w:val="0"/>
          <w:kern w:val="0"/>
          <w:sz w:val="32"/>
          <w:szCs w:val="32"/>
          <w:shd w:val="clear" w:color="auto" w:fill="FFFFFF"/>
          <w:lang w:val="en-US" w:eastAsia="zh-CN" w:bidi="ar"/>
        </w:rPr>
        <w:t> 法律法规以及国资监管制度未明确规定由国资中心负责审批（决定）、核准、备案的事项，由所出资企业严格履行内部决策程序，依法依规自主决策。</w:t>
      </w:r>
    </w:p>
    <w:p>
      <w:pPr>
        <w:keepNext w:val="0"/>
        <w:keepLines w:val="0"/>
        <w:pageBreakBefore w:val="0"/>
        <w:widowControl/>
        <w:suppressLineNumbers w:val="0"/>
        <w:kinsoku/>
        <w:wordWrap/>
        <w:overflowPunct/>
        <w:topLinePunct w:val="0"/>
        <w:autoSpaceDE/>
        <w:autoSpaceDN/>
        <w:bidi w:val="0"/>
        <w:adjustRightInd/>
        <w:snapToGrid/>
        <w:spacing w:line="560" w:lineRule="exact"/>
        <w:ind w:firstLine="643" w:firstLineChars="200"/>
        <w:jc w:val="left"/>
        <w:textAlignment w:val="auto"/>
        <w:outlineLvl w:val="9"/>
        <w:rPr>
          <w:rFonts w:hint="eastAsia" w:ascii="仿宋_GB2312" w:hAnsi="仿宋_GB2312" w:eastAsia="仿宋_GB2312" w:cs="仿宋_GB2312"/>
          <w:b w:val="0"/>
          <w:bCs w:val="0"/>
          <w:sz w:val="32"/>
          <w:szCs w:val="32"/>
        </w:rPr>
      </w:pPr>
      <w:r>
        <w:rPr>
          <w:rStyle w:val="6"/>
          <w:rFonts w:hint="eastAsia" w:ascii="仿宋_GB2312" w:hAnsi="仿宋_GB2312" w:eastAsia="仿宋_GB2312" w:cs="仿宋_GB2312"/>
          <w:b/>
          <w:bCs/>
          <w:i w:val="0"/>
          <w:iCs w:val="0"/>
          <w:caps w:val="0"/>
          <w:color w:val="333333"/>
          <w:spacing w:val="0"/>
          <w:kern w:val="0"/>
          <w:sz w:val="32"/>
          <w:szCs w:val="32"/>
          <w:shd w:val="clear" w:color="auto" w:fill="FFFFFF"/>
          <w:lang w:val="en-US" w:eastAsia="zh-CN" w:bidi="ar"/>
        </w:rPr>
        <w:t>第七十条</w:t>
      </w:r>
      <w:r>
        <w:rPr>
          <w:rStyle w:val="6"/>
          <w:rFonts w:hint="eastAsia" w:ascii="仿宋_GB2312" w:hAnsi="仿宋_GB2312" w:eastAsia="仿宋_GB2312" w:cs="仿宋_GB2312"/>
          <w:b w:val="0"/>
          <w:bCs w:val="0"/>
          <w:i w:val="0"/>
          <w:iCs w:val="0"/>
          <w:caps w:val="0"/>
          <w:color w:val="333333"/>
          <w:spacing w:val="0"/>
          <w:kern w:val="0"/>
          <w:sz w:val="32"/>
          <w:szCs w:val="32"/>
          <w:shd w:val="clear" w:color="auto" w:fill="FFFFFF"/>
          <w:lang w:val="en-US" w:eastAsia="zh-CN" w:bidi="ar"/>
        </w:rPr>
        <w:t> 所出资企业应当根据本规定及其他有关规定，结合企业实际，制定（完善）企业内部有关重大事项管理制度。</w:t>
      </w:r>
    </w:p>
    <w:p>
      <w:pPr>
        <w:keepNext w:val="0"/>
        <w:keepLines w:val="0"/>
        <w:pageBreakBefore w:val="0"/>
        <w:widowControl/>
        <w:suppressLineNumbers w:val="0"/>
        <w:kinsoku/>
        <w:wordWrap/>
        <w:overflowPunct/>
        <w:topLinePunct w:val="0"/>
        <w:autoSpaceDE/>
        <w:autoSpaceDN/>
        <w:bidi w:val="0"/>
        <w:adjustRightInd/>
        <w:snapToGrid/>
        <w:spacing w:line="560" w:lineRule="exact"/>
        <w:ind w:firstLine="643" w:firstLineChars="200"/>
        <w:jc w:val="left"/>
        <w:textAlignment w:val="auto"/>
        <w:outlineLvl w:val="9"/>
        <w:rPr>
          <w:rFonts w:hint="eastAsia" w:ascii="仿宋_GB2312" w:hAnsi="仿宋_GB2312" w:eastAsia="仿宋_GB2312" w:cs="仿宋_GB2312"/>
          <w:b w:val="0"/>
          <w:bCs w:val="0"/>
          <w:sz w:val="32"/>
          <w:szCs w:val="32"/>
        </w:rPr>
      </w:pPr>
      <w:r>
        <w:rPr>
          <w:rStyle w:val="6"/>
          <w:rFonts w:hint="eastAsia" w:ascii="仿宋_GB2312" w:hAnsi="仿宋_GB2312" w:eastAsia="仿宋_GB2312" w:cs="仿宋_GB2312"/>
          <w:b/>
          <w:bCs/>
          <w:i w:val="0"/>
          <w:iCs w:val="0"/>
          <w:caps w:val="0"/>
          <w:color w:val="333333"/>
          <w:spacing w:val="0"/>
          <w:kern w:val="0"/>
          <w:sz w:val="32"/>
          <w:szCs w:val="32"/>
          <w:shd w:val="clear" w:color="auto" w:fill="FFFFFF"/>
          <w:lang w:val="en-US" w:eastAsia="zh-CN" w:bidi="ar"/>
        </w:rPr>
        <w:t>第七十一条</w:t>
      </w:r>
      <w:r>
        <w:rPr>
          <w:rStyle w:val="6"/>
          <w:rFonts w:hint="eastAsia" w:ascii="仿宋_GB2312" w:hAnsi="仿宋_GB2312" w:eastAsia="仿宋_GB2312" w:cs="仿宋_GB2312"/>
          <w:b w:val="0"/>
          <w:bCs w:val="0"/>
          <w:i w:val="0"/>
          <w:iCs w:val="0"/>
          <w:caps w:val="0"/>
          <w:color w:val="333333"/>
          <w:spacing w:val="0"/>
          <w:kern w:val="0"/>
          <w:sz w:val="32"/>
          <w:szCs w:val="32"/>
          <w:shd w:val="clear" w:color="auto" w:fill="FFFFFF"/>
          <w:lang w:val="en-US" w:eastAsia="zh-CN" w:bidi="ar"/>
        </w:rPr>
        <w:t> 国资中心将不定期对所出资企业执行本规定的情况进行检查，检查结果作为考核评价、奖惩和任用所出资企业负责人、派出董事的重要依据。企业监事会应当加强对企业执行情况的监督。</w:t>
      </w:r>
    </w:p>
    <w:p>
      <w:pPr>
        <w:keepNext w:val="0"/>
        <w:keepLines w:val="0"/>
        <w:pageBreakBefore w:val="0"/>
        <w:widowControl/>
        <w:suppressLineNumbers w:val="0"/>
        <w:kinsoku/>
        <w:wordWrap/>
        <w:overflowPunct/>
        <w:topLinePunct w:val="0"/>
        <w:autoSpaceDE/>
        <w:autoSpaceDN/>
        <w:bidi w:val="0"/>
        <w:adjustRightInd/>
        <w:snapToGrid/>
        <w:spacing w:line="560" w:lineRule="exact"/>
        <w:ind w:firstLine="640" w:firstLineChars="200"/>
        <w:jc w:val="left"/>
        <w:textAlignment w:val="auto"/>
        <w:outlineLvl w:val="9"/>
        <w:rPr>
          <w:rFonts w:hint="eastAsia" w:ascii="仿宋_GB2312" w:hAnsi="仿宋_GB2312" w:eastAsia="仿宋_GB2312" w:cs="仿宋_GB2312"/>
          <w:b w:val="0"/>
          <w:bCs w:val="0"/>
          <w:sz w:val="32"/>
          <w:szCs w:val="32"/>
        </w:rPr>
      </w:pPr>
      <w:r>
        <w:rPr>
          <w:rStyle w:val="6"/>
          <w:rFonts w:hint="eastAsia" w:ascii="仿宋_GB2312" w:hAnsi="仿宋_GB2312" w:eastAsia="仿宋_GB2312" w:cs="仿宋_GB2312"/>
          <w:b w:val="0"/>
          <w:bCs w:val="0"/>
          <w:i w:val="0"/>
          <w:iCs w:val="0"/>
          <w:caps w:val="0"/>
          <w:color w:val="333333"/>
          <w:spacing w:val="0"/>
          <w:kern w:val="0"/>
          <w:sz w:val="32"/>
          <w:szCs w:val="32"/>
          <w:shd w:val="clear" w:color="auto" w:fill="FFFFFF"/>
          <w:lang w:val="en-US" w:eastAsia="zh-CN" w:bidi="ar"/>
        </w:rPr>
        <w:t>所出资企业报告重大事项，应当作到及时、真实、准确、完整，不得瞒报、谎报、迟报、漏报、错报，不得有误导性陈述或重大遗漏。</w:t>
      </w:r>
    </w:p>
    <w:p>
      <w:pPr>
        <w:keepNext w:val="0"/>
        <w:keepLines w:val="0"/>
        <w:pageBreakBefore w:val="0"/>
        <w:widowControl/>
        <w:suppressLineNumbers w:val="0"/>
        <w:kinsoku/>
        <w:wordWrap/>
        <w:overflowPunct/>
        <w:topLinePunct w:val="0"/>
        <w:autoSpaceDE/>
        <w:autoSpaceDN/>
        <w:bidi w:val="0"/>
        <w:adjustRightInd/>
        <w:snapToGrid/>
        <w:spacing w:line="560" w:lineRule="exact"/>
        <w:ind w:firstLine="640" w:firstLineChars="200"/>
        <w:jc w:val="left"/>
        <w:textAlignment w:val="auto"/>
        <w:outlineLvl w:val="9"/>
        <w:rPr>
          <w:rFonts w:hint="eastAsia" w:ascii="仿宋_GB2312" w:hAnsi="仿宋_GB2312" w:eastAsia="仿宋_GB2312" w:cs="仿宋_GB2312"/>
          <w:b w:val="0"/>
          <w:bCs w:val="0"/>
          <w:sz w:val="32"/>
          <w:szCs w:val="32"/>
        </w:rPr>
      </w:pPr>
      <w:r>
        <w:rPr>
          <w:rStyle w:val="6"/>
          <w:rFonts w:hint="eastAsia" w:ascii="仿宋_GB2312" w:hAnsi="仿宋_GB2312" w:eastAsia="仿宋_GB2312" w:cs="仿宋_GB2312"/>
          <w:b w:val="0"/>
          <w:bCs w:val="0"/>
          <w:i w:val="0"/>
          <w:iCs w:val="0"/>
          <w:caps w:val="0"/>
          <w:color w:val="333333"/>
          <w:spacing w:val="0"/>
          <w:kern w:val="0"/>
          <w:sz w:val="32"/>
          <w:szCs w:val="32"/>
          <w:shd w:val="clear" w:color="auto" w:fill="FFFFFF"/>
          <w:lang w:val="en-US" w:eastAsia="zh-CN" w:bidi="ar"/>
        </w:rPr>
        <w:t>所出资企业瞒报、谎报、迟报、漏报、错报重大事项的，应当视情节和后果严肃追究责任，对企业予以通报批评或约谈负责人，对责任人按照干部管理权限予以组织处理或纪律处分，涉嫌犯罪的，由司法机关依法处理。</w:t>
      </w:r>
    </w:p>
    <w:p>
      <w:pPr>
        <w:keepNext w:val="0"/>
        <w:keepLines w:val="0"/>
        <w:pageBreakBefore w:val="0"/>
        <w:widowControl/>
        <w:suppressLineNumbers w:val="0"/>
        <w:kinsoku/>
        <w:wordWrap/>
        <w:overflowPunct/>
        <w:topLinePunct w:val="0"/>
        <w:autoSpaceDE/>
        <w:autoSpaceDN/>
        <w:bidi w:val="0"/>
        <w:adjustRightInd/>
        <w:snapToGrid/>
        <w:spacing w:line="560" w:lineRule="exact"/>
        <w:ind w:firstLine="640" w:firstLineChars="200"/>
        <w:jc w:val="left"/>
        <w:textAlignment w:val="auto"/>
        <w:outlineLvl w:val="9"/>
        <w:rPr>
          <w:rFonts w:hint="eastAsia" w:ascii="仿宋_GB2312" w:hAnsi="仿宋_GB2312" w:eastAsia="仿宋_GB2312" w:cs="仿宋_GB2312"/>
          <w:b w:val="0"/>
          <w:bCs w:val="0"/>
          <w:sz w:val="32"/>
          <w:szCs w:val="32"/>
        </w:rPr>
      </w:pPr>
      <w:r>
        <w:rPr>
          <w:rStyle w:val="6"/>
          <w:rFonts w:hint="eastAsia" w:ascii="仿宋_GB2312" w:hAnsi="仿宋_GB2312" w:eastAsia="仿宋_GB2312" w:cs="仿宋_GB2312"/>
          <w:b w:val="0"/>
          <w:bCs w:val="0"/>
          <w:i w:val="0"/>
          <w:iCs w:val="0"/>
          <w:caps w:val="0"/>
          <w:color w:val="333333"/>
          <w:spacing w:val="0"/>
          <w:kern w:val="0"/>
          <w:sz w:val="32"/>
          <w:szCs w:val="32"/>
          <w:shd w:val="clear" w:color="auto" w:fill="FFFFFF"/>
          <w:lang w:val="en-US" w:eastAsia="zh-CN" w:bidi="ar"/>
        </w:rPr>
        <w:t>对执行本规定不到位的企业，国资中心将予以通报批评，并按照有关规定严肃追究企业相关人员责任；对于违规经营投资造成损失或严重不良后果的，按照有关规定，严肃追究企业相关人员责任。</w:t>
      </w:r>
    </w:p>
    <w:p>
      <w:pPr>
        <w:keepNext w:val="0"/>
        <w:keepLines w:val="0"/>
        <w:pageBreakBefore w:val="0"/>
        <w:widowControl/>
        <w:suppressLineNumbers w:val="0"/>
        <w:kinsoku/>
        <w:wordWrap/>
        <w:overflowPunct/>
        <w:topLinePunct w:val="0"/>
        <w:autoSpaceDE/>
        <w:autoSpaceDN/>
        <w:bidi w:val="0"/>
        <w:adjustRightInd/>
        <w:snapToGrid/>
        <w:spacing w:line="560" w:lineRule="exact"/>
        <w:ind w:firstLine="643" w:firstLineChars="200"/>
        <w:jc w:val="left"/>
        <w:textAlignment w:val="auto"/>
        <w:outlineLvl w:val="9"/>
        <w:rPr>
          <w:rFonts w:hint="eastAsia" w:ascii="仿宋_GB2312" w:hAnsi="仿宋_GB2312" w:eastAsia="仿宋_GB2312" w:cs="仿宋_GB2312"/>
          <w:b w:val="0"/>
          <w:bCs w:val="0"/>
          <w:sz w:val="32"/>
          <w:szCs w:val="32"/>
        </w:rPr>
      </w:pPr>
      <w:r>
        <w:rPr>
          <w:rStyle w:val="6"/>
          <w:rFonts w:hint="eastAsia" w:ascii="仿宋_GB2312" w:hAnsi="仿宋_GB2312" w:eastAsia="仿宋_GB2312" w:cs="仿宋_GB2312"/>
          <w:b/>
          <w:bCs/>
          <w:i w:val="0"/>
          <w:iCs w:val="0"/>
          <w:caps w:val="0"/>
          <w:color w:val="333333"/>
          <w:spacing w:val="0"/>
          <w:kern w:val="0"/>
          <w:sz w:val="32"/>
          <w:szCs w:val="32"/>
          <w:shd w:val="clear" w:color="auto" w:fill="FFFFFF"/>
          <w:lang w:val="en-US" w:eastAsia="zh-CN" w:bidi="ar"/>
        </w:rPr>
        <w:t>第七十二条</w:t>
      </w:r>
      <w:r>
        <w:rPr>
          <w:rStyle w:val="6"/>
          <w:rFonts w:hint="eastAsia" w:ascii="仿宋_GB2312" w:hAnsi="仿宋_GB2312" w:eastAsia="仿宋_GB2312" w:cs="仿宋_GB2312"/>
          <w:b w:val="0"/>
          <w:bCs w:val="0"/>
          <w:i w:val="0"/>
          <w:iCs w:val="0"/>
          <w:caps w:val="0"/>
          <w:color w:val="333333"/>
          <w:spacing w:val="0"/>
          <w:kern w:val="0"/>
          <w:sz w:val="32"/>
          <w:szCs w:val="32"/>
          <w:shd w:val="clear" w:color="auto" w:fill="FFFFFF"/>
          <w:lang w:val="en-US" w:eastAsia="zh-CN" w:bidi="ar"/>
        </w:rPr>
        <w:t> 国资中心工作人员应当按照本规定依法行权履职，对企业上报事项及时办理，不履行或不正确履行职责的，将按照有关规定对责任人给予组织处理、纪律处分或移送司法机关处理。</w:t>
      </w:r>
    </w:p>
    <w:p>
      <w:pPr>
        <w:keepNext w:val="0"/>
        <w:keepLines w:val="0"/>
        <w:pageBreakBefore w:val="0"/>
        <w:widowControl/>
        <w:suppressLineNumbers w:val="0"/>
        <w:kinsoku/>
        <w:wordWrap/>
        <w:overflowPunct/>
        <w:topLinePunct w:val="0"/>
        <w:autoSpaceDE/>
        <w:autoSpaceDN/>
        <w:bidi w:val="0"/>
        <w:adjustRightInd/>
        <w:snapToGrid/>
        <w:spacing w:line="560" w:lineRule="exact"/>
        <w:ind w:firstLine="643" w:firstLineChars="200"/>
        <w:jc w:val="left"/>
        <w:textAlignment w:val="auto"/>
        <w:outlineLvl w:val="9"/>
        <w:rPr>
          <w:rFonts w:hint="eastAsia" w:ascii="仿宋_GB2312" w:hAnsi="仿宋_GB2312" w:eastAsia="仿宋_GB2312" w:cs="仿宋_GB2312"/>
          <w:b w:val="0"/>
          <w:bCs w:val="0"/>
          <w:sz w:val="32"/>
          <w:szCs w:val="32"/>
        </w:rPr>
      </w:pPr>
      <w:r>
        <w:rPr>
          <w:rStyle w:val="6"/>
          <w:rFonts w:hint="eastAsia" w:ascii="仿宋_GB2312" w:hAnsi="仿宋_GB2312" w:eastAsia="仿宋_GB2312" w:cs="仿宋_GB2312"/>
          <w:b/>
          <w:bCs/>
          <w:i w:val="0"/>
          <w:iCs w:val="0"/>
          <w:caps w:val="0"/>
          <w:color w:val="333333"/>
          <w:spacing w:val="0"/>
          <w:kern w:val="0"/>
          <w:sz w:val="32"/>
          <w:szCs w:val="32"/>
          <w:shd w:val="clear" w:color="auto" w:fill="FFFFFF"/>
          <w:lang w:val="en-US" w:eastAsia="zh-CN" w:bidi="ar"/>
        </w:rPr>
        <w:t>第七十四条</w:t>
      </w:r>
      <w:r>
        <w:rPr>
          <w:rStyle w:val="6"/>
          <w:rFonts w:hint="eastAsia" w:ascii="仿宋_GB2312" w:hAnsi="仿宋_GB2312" w:eastAsia="仿宋_GB2312" w:cs="仿宋_GB2312"/>
          <w:b w:val="0"/>
          <w:bCs w:val="0"/>
          <w:i w:val="0"/>
          <w:iCs w:val="0"/>
          <w:caps w:val="0"/>
          <w:color w:val="333333"/>
          <w:spacing w:val="0"/>
          <w:kern w:val="0"/>
          <w:sz w:val="32"/>
          <w:szCs w:val="32"/>
          <w:shd w:val="clear" w:color="auto" w:fill="FFFFFF"/>
          <w:lang w:val="en-US" w:eastAsia="zh-CN" w:bidi="ar"/>
        </w:rPr>
        <w:t> 本规定由国资中心负责解释，自2024年5月1日起试行，试行期限1年。如国家、自治区、地区相关政策法规有修订，与本规定产生不一致，以最新政策法规规定为准。 </w:t>
      </w:r>
    </w:p>
    <w:p>
      <w:pPr>
        <w:keepNext w:val="0"/>
        <w:keepLines w:val="0"/>
        <w:pageBreakBefore w:val="0"/>
        <w:kinsoku/>
        <w:wordWrap/>
        <w:overflowPunct/>
        <w:topLinePunct w:val="0"/>
        <w:autoSpaceDE/>
        <w:autoSpaceDN/>
        <w:bidi w:val="0"/>
        <w:adjustRightInd/>
        <w:snapToGrid/>
        <w:spacing w:line="560" w:lineRule="exact"/>
        <w:ind w:firstLine="640" w:firstLineChars="200"/>
        <w:textAlignment w:val="auto"/>
        <w:outlineLvl w:val="9"/>
        <w:rPr>
          <w:rFonts w:hint="eastAsia" w:ascii="仿宋_GB2312" w:hAnsi="仿宋_GB2312" w:eastAsia="仿宋_GB2312" w:cs="仿宋_GB2312"/>
          <w:b w:val="0"/>
          <w:bCs w:val="0"/>
          <w:sz w:val="32"/>
          <w:szCs w:val="32"/>
        </w:rPr>
      </w:pPr>
    </w:p>
    <w:p>
      <w:pPr>
        <w:keepNext w:val="0"/>
        <w:keepLines w:val="0"/>
        <w:pageBreakBefore w:val="0"/>
        <w:widowControl w:val="0"/>
        <w:kinsoku/>
        <w:wordWrap/>
        <w:overflowPunct/>
        <w:topLinePunct w:val="0"/>
        <w:autoSpaceDE/>
        <w:autoSpaceDN/>
        <w:bidi w:val="0"/>
        <w:adjustRightInd/>
        <w:snapToGrid/>
        <w:spacing w:line="560" w:lineRule="exact"/>
        <w:jc w:val="left"/>
        <w:textAlignment w:val="auto"/>
        <w:rPr>
          <w:rFonts w:hint="eastAsia" w:ascii="仿宋_GB2312" w:hAnsi="仿宋_GB2312" w:eastAsia="仿宋_GB2312" w:cs="仿宋_GB2312"/>
          <w:i w:val="0"/>
          <w:iCs w:val="0"/>
          <w:caps w:val="0"/>
          <w:spacing w:val="7"/>
          <w:sz w:val="32"/>
          <w:szCs w:val="32"/>
          <w:shd w:val="clear" w:fill="FFFFFF"/>
          <w:lang w:val="en-US" w:eastAsia="zh-CN"/>
        </w:rPr>
      </w:pP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方正小标宋_GBK">
    <w:panose1 w:val="02000000000000000000"/>
    <w:charset w:val="86"/>
    <w:family w:val="auto"/>
    <w:pitch w:val="default"/>
    <w:sig w:usb0="A00002BF" w:usb1="38CF7CFA" w:usb2="00082016" w:usb3="00000000" w:csb0="00040001" w:csb1="00000000"/>
  </w:font>
  <w:font w:name="仿宋_GB2312">
    <w:panose1 w:val="02010609030101010101"/>
    <w:charset w:val="86"/>
    <w:family w:val="auto"/>
    <w:pitch w:val="default"/>
    <w:sig w:usb0="00000001" w:usb1="080E0000" w:usb2="00000000" w:usb3="00000000" w:csb0="00040000"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09B462A8"/>
    <w:rsid w:val="257D459F"/>
    <w:rsid w:val="258B7E6A"/>
    <w:rsid w:val="279157B2"/>
    <w:rsid w:val="2B48209A"/>
    <w:rsid w:val="39DB50D3"/>
    <w:rsid w:val="3A8D27F6"/>
    <w:rsid w:val="40676612"/>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qFormat/>
    <w:uiPriority w:val="0"/>
    <w:pPr>
      <w:spacing w:before="0" w:beforeAutospacing="1" w:after="0" w:afterAutospacing="1"/>
      <w:jc w:val="left"/>
    </w:pPr>
    <w:rPr>
      <w:rFonts w:hint="eastAsia" w:ascii="宋体" w:hAnsi="宋体" w:eastAsia="宋体" w:cs="宋体"/>
      <w:b/>
      <w:bCs/>
      <w:kern w:val="44"/>
      <w:sz w:val="48"/>
      <w:szCs w:val="48"/>
      <w:lang w:val="en-US" w:eastAsia="zh-CN" w:bidi="ar"/>
    </w:rPr>
  </w:style>
  <w:style w:type="character" w:default="1" w:styleId="5">
    <w:name w:val="Default Paragraph Font"/>
    <w:semiHidden/>
    <w:qFormat/>
    <w:uiPriority w:val="0"/>
  </w:style>
  <w:style w:type="table" w:default="1" w:styleId="4">
    <w:name w:val="Normal Table"/>
    <w:semiHidden/>
    <w:qFormat/>
    <w:uiPriority w:val="0"/>
    <w:tblPr>
      <w:tblCellMar>
        <w:top w:w="0" w:type="dxa"/>
        <w:left w:w="108" w:type="dxa"/>
        <w:bottom w:w="0" w:type="dxa"/>
        <w:right w:w="108" w:type="dxa"/>
      </w:tblCellMar>
    </w:tblPr>
  </w:style>
  <w:style w:type="paragraph" w:styleId="3">
    <w:name w:val="Normal (Web)"/>
    <w:basedOn w:val="1"/>
    <w:qFormat/>
    <w:uiPriority w:val="0"/>
    <w:pPr>
      <w:spacing w:before="0" w:beforeAutospacing="1" w:after="0" w:afterAutospacing="1"/>
      <w:ind w:left="0" w:right="0"/>
      <w:jc w:val="left"/>
    </w:pPr>
    <w:rPr>
      <w:kern w:val="0"/>
      <w:sz w:val="24"/>
      <w:lang w:val="en-US" w:eastAsia="zh-CN" w:bidi="ar"/>
    </w:rPr>
  </w:style>
  <w:style w:type="character" w:styleId="6">
    <w:name w:val="Strong"/>
    <w:basedOn w:val="5"/>
    <w:qFormat/>
    <w:uiPriority w:val="0"/>
    <w:rPr>
      <w:b/>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4</TotalTime>
  <ScaleCrop>false</ScaleCrop>
  <LinksUpToDate>false</LinksUpToDate>
  <CharactersWithSpaces>0</CharactersWithSpaces>
  <Application>WPS Office_11.8.2.11019_F1E327BC-269C-435d-A152-05C5408002CA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2025-09-18T10:39:00Z</dcterms:created>
  <dc:creator>Administrator</dc:creator>
  <cp:lastModifiedBy>Administrator</cp:lastModifiedBy>
  <dcterms:modified xsi:type="dcterms:W3CDTF">2026-08-10T08:44:35Z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2052-11.8.2.11019</vt:lpwstr>
  </property>
  <property fmtid="{D5CDD505-2E9C-101B-9397-08002B2CF9AE}" pid="3" name="ICV">
    <vt:lpwstr>C0DF07F081E846EEA005AFA6FE250131</vt:lpwstr>
  </property>
</Properties>
</file>