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1367BE"/>
    <w:p w14:paraId="3BD5587A">
      <w:pPr>
        <w:spacing w:line="540" w:lineRule="exact"/>
        <w:jc w:val="center"/>
        <w:rPr>
          <w:rFonts w:hint="default" w:ascii="Times New Roman" w:hAnsi="Times New Roman" w:eastAsia="华文中宋" w:cs="Times New Roman"/>
          <w:b/>
          <w:kern w:val="0"/>
          <w:sz w:val="52"/>
          <w:szCs w:val="52"/>
        </w:rPr>
      </w:pPr>
    </w:p>
    <w:p w14:paraId="0B0E9DE4">
      <w:pPr>
        <w:spacing w:line="540" w:lineRule="exact"/>
        <w:rPr>
          <w:rFonts w:hint="default" w:ascii="Times New Roman" w:hAnsi="Times New Roman" w:eastAsia="华文中宋" w:cs="Times New Roman"/>
          <w:b/>
          <w:kern w:val="0"/>
          <w:sz w:val="52"/>
          <w:szCs w:val="52"/>
        </w:rPr>
      </w:pPr>
    </w:p>
    <w:p w14:paraId="3C254039">
      <w:pPr>
        <w:spacing w:line="540" w:lineRule="exact"/>
        <w:jc w:val="center"/>
        <w:rPr>
          <w:rFonts w:hint="default" w:ascii="Times New Roman" w:hAnsi="Times New Roman" w:eastAsia="华文中宋" w:cs="Times New Roman"/>
          <w:b/>
          <w:kern w:val="0"/>
          <w:sz w:val="52"/>
          <w:szCs w:val="52"/>
        </w:rPr>
      </w:pPr>
    </w:p>
    <w:p w14:paraId="60599BA8">
      <w:pPr>
        <w:spacing w:line="540" w:lineRule="exact"/>
        <w:jc w:val="center"/>
        <w:rPr>
          <w:rFonts w:hint="default" w:ascii="Times New Roman" w:hAnsi="Times New Roman" w:eastAsia="华文中宋" w:cs="Times New Roman"/>
          <w:b/>
          <w:kern w:val="0"/>
          <w:sz w:val="52"/>
          <w:szCs w:val="52"/>
        </w:rPr>
      </w:pPr>
    </w:p>
    <w:p w14:paraId="271CC3AB">
      <w:pPr>
        <w:spacing w:line="540" w:lineRule="exact"/>
        <w:jc w:val="center"/>
        <w:rPr>
          <w:rFonts w:hint="default" w:ascii="Times New Roman" w:hAnsi="Times New Roman" w:eastAsia="方正小标宋_GBK" w:cs="Times New Roman"/>
          <w:kern w:val="0"/>
          <w:sz w:val="48"/>
          <w:szCs w:val="48"/>
        </w:rPr>
      </w:pPr>
      <w:r>
        <w:rPr>
          <w:rFonts w:hint="eastAsia" w:eastAsia="方正小标宋_GBK" w:cs="Times New Roman"/>
          <w:kern w:val="0"/>
          <w:sz w:val="48"/>
          <w:szCs w:val="48"/>
          <w:lang w:val="en-US" w:eastAsia="zh-CN"/>
        </w:rPr>
        <w:t>托里县草原监理站</w:t>
      </w:r>
      <w:r>
        <w:rPr>
          <w:rFonts w:hint="default" w:ascii="Times New Roman" w:hAnsi="Times New Roman" w:eastAsia="方正小标宋_GBK" w:cs="Times New Roman"/>
          <w:kern w:val="0"/>
          <w:sz w:val="48"/>
          <w:szCs w:val="48"/>
        </w:rPr>
        <w:t>项目支出绩效评价</w:t>
      </w:r>
    </w:p>
    <w:p w14:paraId="79FC807C">
      <w:pPr>
        <w:spacing w:line="540" w:lineRule="exact"/>
        <w:jc w:val="center"/>
        <w:rPr>
          <w:rFonts w:hint="default" w:ascii="Times New Roman" w:hAnsi="Times New Roman" w:eastAsia="方正小标宋_GBK" w:cs="Times New Roman"/>
          <w:kern w:val="0"/>
          <w:sz w:val="48"/>
          <w:szCs w:val="48"/>
        </w:rPr>
      </w:pPr>
      <w:r>
        <w:rPr>
          <w:rFonts w:hint="default" w:ascii="Times New Roman" w:hAnsi="Times New Roman" w:eastAsia="方正小标宋_GBK" w:cs="Times New Roman"/>
          <w:kern w:val="0"/>
          <w:sz w:val="48"/>
          <w:szCs w:val="48"/>
        </w:rPr>
        <w:t>报告</w:t>
      </w:r>
    </w:p>
    <w:p w14:paraId="79C60BBA">
      <w:pPr>
        <w:spacing w:line="540" w:lineRule="exact"/>
        <w:jc w:val="center"/>
        <w:rPr>
          <w:rFonts w:hint="default" w:ascii="Times New Roman" w:hAnsi="Times New Roman" w:eastAsia="华文中宋" w:cs="Times New Roman"/>
          <w:b/>
          <w:kern w:val="0"/>
          <w:sz w:val="52"/>
          <w:szCs w:val="52"/>
        </w:rPr>
      </w:pPr>
    </w:p>
    <w:p w14:paraId="12FC0F41">
      <w:pPr>
        <w:spacing w:line="540" w:lineRule="exact"/>
        <w:jc w:val="center"/>
        <w:rPr>
          <w:rFonts w:hint="default" w:ascii="Times New Roman" w:hAnsi="Times New Roman" w:eastAsia="仿宋_GB2312" w:cs="Times New Roman"/>
          <w:kern w:val="0"/>
          <w:sz w:val="36"/>
          <w:szCs w:val="36"/>
        </w:rPr>
      </w:pP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（202</w:t>
      </w:r>
      <w:r>
        <w:rPr>
          <w:rFonts w:hint="default" w:ascii="Times New Roman" w:hAnsi="Times New Roman" w:eastAsia="仿宋_GB2312" w:cs="Times New Roman"/>
          <w:kern w:val="0"/>
          <w:sz w:val="36"/>
          <w:szCs w:val="36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年度）</w:t>
      </w:r>
    </w:p>
    <w:p w14:paraId="0C4F5B19">
      <w:pPr>
        <w:spacing w:line="540" w:lineRule="exact"/>
        <w:jc w:val="center"/>
        <w:rPr>
          <w:rFonts w:hint="default" w:ascii="Times New Roman" w:hAnsi="Times New Roman" w:eastAsia="仿宋_GB2312" w:cs="Times New Roman"/>
          <w:kern w:val="0"/>
          <w:sz w:val="30"/>
          <w:szCs w:val="30"/>
        </w:rPr>
      </w:pPr>
    </w:p>
    <w:p w14:paraId="3C8BDB87">
      <w:pPr>
        <w:spacing w:line="540" w:lineRule="exact"/>
        <w:jc w:val="center"/>
        <w:rPr>
          <w:rFonts w:hint="default" w:ascii="Times New Roman" w:hAnsi="Times New Roman" w:eastAsia="仿宋_GB2312" w:cs="Times New Roman"/>
          <w:kern w:val="0"/>
          <w:sz w:val="30"/>
          <w:szCs w:val="30"/>
        </w:rPr>
      </w:pPr>
    </w:p>
    <w:p w14:paraId="7545336B">
      <w:pPr>
        <w:spacing w:line="540" w:lineRule="exact"/>
        <w:jc w:val="center"/>
        <w:rPr>
          <w:rFonts w:hint="default" w:ascii="Times New Roman" w:hAnsi="Times New Roman" w:eastAsia="仿宋_GB2312" w:cs="Times New Roman"/>
          <w:kern w:val="0"/>
          <w:sz w:val="30"/>
          <w:szCs w:val="30"/>
        </w:rPr>
      </w:pPr>
    </w:p>
    <w:p w14:paraId="38CDB9C3">
      <w:pPr>
        <w:pStyle w:val="9"/>
        <w:rPr>
          <w:rFonts w:hint="default" w:ascii="Times New Roman" w:hAnsi="Times New Roman" w:cs="Times New Roman"/>
        </w:rPr>
      </w:pPr>
    </w:p>
    <w:p w14:paraId="3507D350">
      <w:pPr>
        <w:spacing w:line="540" w:lineRule="exact"/>
        <w:jc w:val="center"/>
        <w:rPr>
          <w:rFonts w:hint="default" w:ascii="Times New Roman" w:hAnsi="Times New Roman" w:eastAsia="仿宋_GB2312" w:cs="Times New Roman"/>
          <w:kern w:val="0"/>
          <w:sz w:val="30"/>
          <w:szCs w:val="30"/>
        </w:rPr>
      </w:pPr>
    </w:p>
    <w:p w14:paraId="4971351E">
      <w:pPr>
        <w:spacing w:line="540" w:lineRule="exact"/>
        <w:rPr>
          <w:rFonts w:hint="default" w:ascii="Times New Roman" w:hAnsi="Times New Roman" w:eastAsia="仿宋_GB2312" w:cs="Times New Roman"/>
          <w:kern w:val="0"/>
          <w:sz w:val="30"/>
          <w:szCs w:val="30"/>
        </w:rPr>
      </w:pPr>
    </w:p>
    <w:p w14:paraId="6436FF32">
      <w:pPr>
        <w:spacing w:line="700" w:lineRule="exact"/>
        <w:ind w:firstLine="1440" w:firstLineChars="400"/>
        <w:jc w:val="lef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14"/>
          <w:szCs w:val="14"/>
          <w:shd w:val="clear" w:color="auto" w:fill="FFFFFF"/>
        </w:rPr>
      </w:pP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项目名称：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36"/>
          <w:szCs w:val="36"/>
          <w:shd w:val="clear" w:color="auto" w:fill="FFFFFF"/>
        </w:rPr>
        <w:t>2024年自治区林草专项资金</w:t>
      </w:r>
    </w:p>
    <w:p w14:paraId="3D1AD327">
      <w:pPr>
        <w:spacing w:line="700" w:lineRule="exact"/>
        <w:ind w:firstLine="1440" w:firstLineChars="400"/>
        <w:jc w:val="left"/>
        <w:rPr>
          <w:rFonts w:hint="default" w:ascii="Times New Roman" w:hAnsi="Times New Roman" w:eastAsia="仿宋_GB2312" w:cs="Times New Roman"/>
          <w:kern w:val="0"/>
          <w:sz w:val="36"/>
          <w:szCs w:val="36"/>
          <w:lang w:val="en-US" w:eastAsia="zh-CN"/>
        </w:rPr>
      </w:pP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实施单位（公章）：</w:t>
      </w:r>
      <w:r>
        <w:rPr>
          <w:rFonts w:hint="eastAsia" w:eastAsia="仿宋_GB2312" w:cs="Times New Roman"/>
          <w:kern w:val="0"/>
          <w:sz w:val="36"/>
          <w:szCs w:val="36"/>
          <w:lang w:val="en-US" w:eastAsia="zh-CN"/>
        </w:rPr>
        <w:t>托里县草原监理站</w:t>
      </w:r>
    </w:p>
    <w:p w14:paraId="6A7C42A1">
      <w:pPr>
        <w:spacing w:line="700" w:lineRule="exact"/>
        <w:ind w:firstLine="1440" w:firstLineChars="400"/>
        <w:jc w:val="left"/>
        <w:rPr>
          <w:rFonts w:hint="default" w:eastAsia="仿宋_GB2312" w:cs="Times New Roman"/>
          <w:kern w:val="0"/>
          <w:sz w:val="36"/>
          <w:szCs w:val="36"/>
          <w:lang w:val="en-US" w:eastAsia="zh-CN"/>
        </w:rPr>
      </w:pP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主管部门（公章）：</w:t>
      </w:r>
      <w:r>
        <w:rPr>
          <w:rFonts w:hint="eastAsia" w:eastAsia="仿宋_GB2312" w:cs="Times New Roman"/>
          <w:kern w:val="0"/>
          <w:sz w:val="36"/>
          <w:szCs w:val="36"/>
          <w:lang w:val="en-US" w:eastAsia="zh-CN"/>
        </w:rPr>
        <w:t>托里县草原监理站</w:t>
      </w:r>
    </w:p>
    <w:p w14:paraId="4023F1BD">
      <w:pPr>
        <w:spacing w:line="700" w:lineRule="exact"/>
        <w:ind w:firstLine="1440" w:firstLineChars="400"/>
        <w:jc w:val="left"/>
        <w:rPr>
          <w:rFonts w:hint="default" w:ascii="Times New Roman" w:hAnsi="Times New Roman" w:eastAsia="仿宋_GB2312" w:cs="Times New Roman"/>
          <w:kern w:val="0"/>
          <w:sz w:val="36"/>
          <w:szCs w:val="36"/>
          <w:lang w:val="en-US" w:eastAsia="zh-CN"/>
        </w:rPr>
      </w:pP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项目负责人（签章）：</w:t>
      </w:r>
      <w:r>
        <w:rPr>
          <w:rFonts w:hint="eastAsia" w:eastAsia="仿宋_GB2312" w:cs="Times New Roman"/>
          <w:kern w:val="0"/>
          <w:sz w:val="36"/>
          <w:szCs w:val="36"/>
          <w:lang w:val="en-US" w:eastAsia="zh-CN"/>
        </w:rPr>
        <w:t>叶尔</w:t>
      </w:r>
      <w:bookmarkStart w:id="1" w:name="_GoBack"/>
      <w:bookmarkEnd w:id="1"/>
      <w:r>
        <w:rPr>
          <w:rFonts w:hint="eastAsia" w:eastAsia="仿宋_GB2312" w:cs="Times New Roman"/>
          <w:kern w:val="0"/>
          <w:sz w:val="36"/>
          <w:szCs w:val="36"/>
          <w:lang w:val="en-US" w:eastAsia="zh-CN"/>
        </w:rPr>
        <w:t>波拉提·阿尔米亚</w:t>
      </w:r>
    </w:p>
    <w:p w14:paraId="6A64F565">
      <w:pPr>
        <w:spacing w:line="700" w:lineRule="exact"/>
        <w:ind w:firstLine="1440" w:firstLineChars="400"/>
        <w:jc w:val="left"/>
        <w:rPr>
          <w:rFonts w:hint="default" w:ascii="Times New Roman" w:hAnsi="Times New Roman" w:eastAsia="仿宋_GB2312" w:cs="Times New Roman"/>
          <w:kern w:val="0"/>
          <w:sz w:val="36"/>
          <w:szCs w:val="36"/>
        </w:rPr>
      </w:pP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填报时间：</w:t>
      </w:r>
      <w:r>
        <w:rPr>
          <w:rFonts w:hint="eastAsia" w:eastAsia="仿宋_GB2312" w:cs="Times New Roman"/>
          <w:kern w:val="0"/>
          <w:sz w:val="36"/>
          <w:szCs w:val="36"/>
          <w:lang w:val="en-US" w:eastAsia="zh-CN"/>
        </w:rPr>
        <w:t>2025</w:t>
      </w: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年</w:t>
      </w:r>
      <w:r>
        <w:rPr>
          <w:rFonts w:hint="eastAsia" w:eastAsia="仿宋_GB2312" w:cs="Times New Roman"/>
          <w:kern w:val="0"/>
          <w:sz w:val="36"/>
          <w:szCs w:val="36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月</w:t>
      </w:r>
      <w:r>
        <w:rPr>
          <w:rFonts w:hint="eastAsia" w:eastAsia="仿宋_GB2312" w:cs="Times New Roman"/>
          <w:kern w:val="0"/>
          <w:sz w:val="36"/>
          <w:szCs w:val="36"/>
          <w:lang w:val="en-US" w:eastAsia="zh-CN"/>
        </w:rPr>
        <w:t>23</w:t>
      </w: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日</w:t>
      </w:r>
    </w:p>
    <w:p w14:paraId="60F6C985">
      <w:pPr>
        <w:spacing w:line="540" w:lineRule="exact"/>
        <w:jc w:val="center"/>
        <w:rPr>
          <w:rFonts w:hint="default" w:ascii="Times New Roman" w:hAnsi="Times New Roman" w:eastAsia="仿宋_GB2312" w:cs="Times New Roman"/>
          <w:kern w:val="0"/>
          <w:sz w:val="30"/>
          <w:szCs w:val="30"/>
        </w:rPr>
      </w:pPr>
    </w:p>
    <w:p w14:paraId="4421703E">
      <w:pPr>
        <w:spacing w:line="540" w:lineRule="exact"/>
        <w:rPr>
          <w:rStyle w:val="15"/>
          <w:rFonts w:hint="default" w:ascii="Times New Roman" w:hAnsi="Times New Roman" w:eastAsia="黑体" w:cs="Times New Roman"/>
          <w:b w:val="0"/>
          <w:spacing w:val="-4"/>
          <w:sz w:val="32"/>
          <w:szCs w:val="32"/>
        </w:rPr>
      </w:pPr>
    </w:p>
    <w:p w14:paraId="58D3C848">
      <w:pPr>
        <w:spacing w:line="540" w:lineRule="exact"/>
        <w:ind w:firstLine="640"/>
        <w:rPr>
          <w:rStyle w:val="15"/>
          <w:rFonts w:hint="default" w:ascii="Times New Roman" w:hAnsi="Times New Roman" w:eastAsia="黑体" w:cs="Times New Roman"/>
          <w:b w:val="0"/>
          <w:spacing w:val="-4"/>
          <w:sz w:val="32"/>
          <w:szCs w:val="32"/>
        </w:rPr>
      </w:pPr>
    </w:p>
    <w:p w14:paraId="23EC124B">
      <w:pPr>
        <w:spacing w:line="540" w:lineRule="exact"/>
        <w:rPr>
          <w:rStyle w:val="15"/>
          <w:rFonts w:hint="default" w:ascii="Times New Roman" w:hAnsi="Times New Roman" w:eastAsia="黑体" w:cs="Times New Roman"/>
          <w:b w:val="0"/>
          <w:spacing w:val="-4"/>
          <w:sz w:val="32"/>
          <w:szCs w:val="32"/>
        </w:rPr>
      </w:pPr>
    </w:p>
    <w:p w14:paraId="3CD2B28F">
      <w:pPr>
        <w:spacing w:line="560" w:lineRule="exact"/>
        <w:ind w:firstLine="640" w:firstLineChars="200"/>
        <w:rPr>
          <w:rFonts w:hint="default" w:ascii="Times New Roman" w:hAnsi="Times New Roman" w:eastAsia="黑体" w:cs="Times New Roman"/>
          <w:bCs/>
          <w:sz w:val="32"/>
          <w:szCs w:val="32"/>
        </w:rPr>
        <w:sectPr>
          <w:pgSz w:w="11906" w:h="16838"/>
          <w:pgMar w:top="1440" w:right="1558" w:bottom="1440" w:left="1800" w:header="851" w:footer="992" w:gutter="0"/>
          <w:cols w:space="425" w:num="1"/>
          <w:docGrid w:type="lines" w:linePitch="312" w:charSpace="0"/>
        </w:sectPr>
      </w:pPr>
    </w:p>
    <w:p w14:paraId="491F5F74">
      <w:pPr>
        <w:spacing w:line="560" w:lineRule="exact"/>
        <w:ind w:firstLine="640" w:firstLineChars="200"/>
        <w:rPr>
          <w:rFonts w:hint="default" w:ascii="Times New Roman" w:hAnsi="Times New Roman" w:eastAsia="黑体" w:cs="Times New Roman"/>
          <w:bCs/>
          <w:sz w:val="32"/>
          <w:szCs w:val="32"/>
        </w:rPr>
      </w:pPr>
      <w:r>
        <w:rPr>
          <w:rFonts w:hint="default" w:ascii="Times New Roman" w:hAnsi="Times New Roman" w:eastAsia="黑体" w:cs="Times New Roman"/>
          <w:bCs/>
          <w:sz w:val="32"/>
          <w:szCs w:val="32"/>
        </w:rPr>
        <w:t>一、基本情况</w:t>
      </w:r>
    </w:p>
    <w:p w14:paraId="68DFBEC9">
      <w:pPr>
        <w:spacing w:line="560" w:lineRule="exact"/>
        <w:ind w:firstLine="643" w:firstLineChars="200"/>
        <w:rPr>
          <w:rFonts w:hint="default" w:ascii="Times New Roman" w:hAnsi="Times New Roman" w:eastAsia="楷体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（一）项目概况</w:t>
      </w:r>
    </w:p>
    <w:p w14:paraId="4EEC7C0A">
      <w:pPr>
        <w:spacing w:line="560" w:lineRule="exact"/>
        <w:ind w:firstLine="643" w:firstLineChars="200"/>
        <w:rPr>
          <w:rFonts w:hint="default" w:ascii="Times New Roman" w:hAnsi="Times New Roman" w:eastAsia="仿宋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1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项目背景</w:t>
      </w:r>
    </w:p>
    <w:p w14:paraId="552B732F">
      <w:pPr>
        <w:pStyle w:val="9"/>
        <w:numPr>
          <w:ilvl w:val="0"/>
          <w:numId w:val="0"/>
        </w:numPr>
        <w:spacing w:before="0" w:after="0" w:line="560" w:lineRule="exact"/>
        <w:ind w:firstLine="640" w:firstLineChars="200"/>
        <w:jc w:val="both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</w:pP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2024年度地区财政草原植被恢复项目资金5万元，用于禁牧和草畜平衡管理，执法监管1次，征占用草现场查验1次，开展草原野外监测、草原保护执法以及禁牧和草畜平衡管理并做好宣传、管护站维修，国家级草原固定监测点维修等工作。</w:t>
      </w:r>
    </w:p>
    <w:p w14:paraId="4AD1278C">
      <w:pPr>
        <w:pStyle w:val="9"/>
        <w:numPr>
          <w:ilvl w:val="0"/>
          <w:numId w:val="0"/>
        </w:numPr>
        <w:spacing w:before="0" w:after="0" w:line="560" w:lineRule="exact"/>
        <w:ind w:firstLine="643" w:firstLineChars="200"/>
        <w:jc w:val="both"/>
        <w:rPr>
          <w:rFonts w:hint="default" w:ascii="Times New Roman" w:hAnsi="Times New Roman" w:eastAsia="仿宋_GB2312" w:cs="Times New Roman"/>
          <w:kern w:val="2"/>
        </w:rPr>
      </w:pPr>
      <w:r>
        <w:rPr>
          <w:rFonts w:hint="default" w:ascii="Times New Roman" w:hAnsi="Times New Roman" w:eastAsia="仿宋_GB2312" w:cs="Times New Roman"/>
          <w:kern w:val="2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kern w:val="2"/>
        </w:rPr>
        <w:t>项目主要内容：</w:t>
      </w:r>
    </w:p>
    <w:p w14:paraId="2B027AC1">
      <w:pPr>
        <w:spacing w:line="560" w:lineRule="exact"/>
        <w:ind w:firstLine="600" w:firstLineChars="20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项目主要内容：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用于禁牧和草畜平衡管理，执法监管1次，征占用草现场查验1次，开展草原野外监测、草原保护执法以及禁牧和草畜平衡管理并做好宣传、管护站维修，国家级草原固定监测点维修等工作。草原执法监督服告，发挥成效显著，草原生态环境持续好转明显，群众满意度达到95%。</w:t>
      </w:r>
    </w:p>
    <w:p w14:paraId="7489328B">
      <w:pPr>
        <w:spacing w:line="560" w:lineRule="exact"/>
        <w:ind w:firstLine="640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项目实施情况：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202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年度地区财政草原植被恢复项目资金5万元，用于禁牧和草畜平衡管理，执法监管1次，征占用草现场查验1次，开展草原野外监测、草原保护执法以及禁牧和草畜平衡管理并做好宣传、管护站维修，国家级草原固定监测点维修等工作。草原执法监督服告，发挥成效显著，草原生态环境持续好转明显，群众满意度达到95%。</w:t>
      </w:r>
    </w:p>
    <w:p w14:paraId="4412CC25">
      <w:pPr>
        <w:spacing w:line="560" w:lineRule="exact"/>
        <w:ind w:firstLine="643" w:firstLineChars="200"/>
        <w:rPr>
          <w:rFonts w:hint="default" w:ascii="Times New Roman" w:hAnsi="Times New Roman" w:eastAsia="仿宋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3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资金投入和使用情况</w:t>
      </w:r>
    </w:p>
    <w:p w14:paraId="393ADBC5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（1）资金投入情况</w:t>
      </w:r>
    </w:p>
    <w:p w14:paraId="48BB419F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该项目年初预算数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万元，全年预算数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万元，该项目资金已全部落实到位，资金来源为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财政拨款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。</w:t>
      </w:r>
    </w:p>
    <w:p w14:paraId="0DF2A821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（2）资金使用情况</w:t>
      </w:r>
    </w:p>
    <w:p w14:paraId="55998A3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该项目年初预算数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万元，全年预算数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万元，全年执行数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万元，预算执行率为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%，主要用于：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购买无人机、印刷费、车辆燃料费、办公费等；</w:t>
      </w:r>
    </w:p>
    <w:p w14:paraId="76D998F6">
      <w:pPr>
        <w:spacing w:line="560" w:lineRule="exact"/>
        <w:ind w:firstLine="643" w:firstLineChars="200"/>
        <w:rPr>
          <w:rFonts w:hint="default" w:ascii="Times New Roman" w:hAnsi="Times New Roman" w:eastAsia="楷体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（二）项目绩效目标</w:t>
      </w:r>
    </w:p>
    <w:p w14:paraId="54376DCE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总体目标</w:t>
      </w:r>
    </w:p>
    <w:p w14:paraId="201BE86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202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年度地区财政草原植被恢复项目资金5万元，用于禁牧和草畜平衡管理，执法监管1次，征占用草现场查验1次，开展草原野外监测、草原保护执法以及禁牧和草畜平衡管理并做好宣传、管护站维修，国家级草原固定监测点维修等工作。草原执法监督服告，发挥成效显著，草原生态环境持续好转明显，群众满意度达到95%。</w:t>
      </w:r>
    </w:p>
    <w:p w14:paraId="1B3B0CAE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FF0000"/>
          <w:sz w:val="30"/>
          <w:szCs w:val="30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阶段性目标</w:t>
      </w:r>
    </w:p>
    <w:p w14:paraId="24DFB65A">
      <w:pPr>
        <w:spacing w:line="560" w:lineRule="exact"/>
        <w:ind w:firstLine="624" w:firstLineChars="200"/>
        <w:rPr>
          <w:rFonts w:hint="eastAsia" w:ascii="仿宋_GB2312" w:hAnsi="楷体" w:eastAsia="仿宋_GB2312"/>
          <w:b w:val="0"/>
          <w:bCs/>
          <w:color w:val="auto"/>
          <w:spacing w:val="-4"/>
          <w:sz w:val="32"/>
          <w:szCs w:val="32"/>
          <w:lang w:val="en-US" w:eastAsia="zh-CN"/>
        </w:rPr>
      </w:pPr>
      <w:r>
        <w:rPr>
          <w:rFonts w:hint="eastAsia" w:ascii="仿宋_GB2312" w:hAnsi="楷体" w:eastAsia="仿宋_GB2312"/>
          <w:b w:val="0"/>
          <w:bCs/>
          <w:color w:val="auto"/>
          <w:spacing w:val="-4"/>
          <w:sz w:val="32"/>
          <w:szCs w:val="32"/>
          <w:lang w:val="en-US" w:eastAsia="zh-CN"/>
        </w:rPr>
        <w:t>从2024年1月1日至2024年12月31日的全部资金投入与支出，涉及资金总额为5万元。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用于禁牧和草畜平衡管理，执法监管1次，征占用草现场查验1次，开展草原野外监测、草原保护执法以及禁牧和草畜平衡管理并做好宣传、管护站维修，国家级草原固定监测点维修等工作。</w:t>
      </w:r>
      <w:r>
        <w:rPr>
          <w:rFonts w:hint="eastAsia" w:ascii="仿宋_GB2312" w:hAnsi="楷体" w:eastAsia="仿宋_GB2312"/>
          <w:b w:val="0"/>
          <w:bCs/>
          <w:color w:val="auto"/>
          <w:spacing w:val="-4"/>
          <w:sz w:val="32"/>
          <w:szCs w:val="32"/>
          <w:lang w:val="en-US" w:eastAsia="zh-CN"/>
        </w:rPr>
        <w:t>采取有力措施提升对草原生态巡查和保护力度，进一步加大对草原法律法规宣传工作力度，大力宣传保护草原生态环境，提高草原的利用率。</w:t>
      </w:r>
    </w:p>
    <w:p w14:paraId="0F0545D3">
      <w:pPr>
        <w:spacing w:line="560" w:lineRule="exact"/>
        <w:ind w:firstLine="640" w:firstLineChars="20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二、绩效评价工作开展情况</w:t>
      </w:r>
    </w:p>
    <w:p w14:paraId="5469711E">
      <w:pPr>
        <w:spacing w:line="560" w:lineRule="exact"/>
        <w:ind w:firstLine="643" w:firstLineChars="200"/>
        <w:rPr>
          <w:rFonts w:hint="default" w:ascii="Times New Roman" w:hAnsi="Times New Roman" w:eastAsia="楷体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（一）绩效评价目的、对象和范围</w:t>
      </w:r>
    </w:p>
    <w:p w14:paraId="35FF3E1E">
      <w:pPr>
        <w:pStyle w:val="9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1.绩效评价完整性</w:t>
      </w:r>
    </w:p>
    <w:p w14:paraId="0E23257F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本项目预算绩效评价报告在编制过程中，严格遵循相关法规与标准，确保评价内容的全面性与准确性。报告涵盖了项目从预算编制、执行到完成的全过程，对项目的各项绩效指标进行了细致的梳理与评估。</w:t>
      </w:r>
    </w:p>
    <w:p w14:paraId="48CE1167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在评价指标体系的构建上，充分考虑了项目的性质、目标以及预期成果，选取了具有代表性和可衡量性的关键指标，涵盖了经济效益、社会效益、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生态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效益等多个维度，力求全方位反映项目的绩效状况。同时，对于每个指标的评价标准和数据来源均进行了明确说明，确保评价结果的客观性和可追溯性。</w:t>
      </w:r>
    </w:p>
    <w:p w14:paraId="4183007B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在数据收集与分析环节，采用了多种科学合理的方法，如实地调研、问卷调查、数据分析等，广泛收集了与项目相关的各类数据，并运用专业的统计分析工具对数据进行深入挖掘，以确保评价结论的科学性和可靠性。此外，还对数据的质量和完整性进行了严格把控，对于缺失或异常的数据进行了合理的处理和说明，保证了评价数据的真实性和有效性。</w:t>
      </w:r>
    </w:p>
    <w:p w14:paraId="22AC34DB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在报告的撰写结构上，按照统一的格式和规范进行编排，内容层次分明、条理清晰。首先对项目的背景、目标和预算安排进行了简要介绍，为后续的绩效评价提供了必要的背景信息；接着详细阐述了绩效评价的指标体系、评价方法和数据来源，为评价过程的透明性和可复现性奠定了基础；然后对各项绩效指标的完成情况进行了逐一分析和评价，指出了项目在实施过程中存在的问题和不足，并提出了相应的改进建议；最后对整个项目的绩效状况进行了综合总结，给出了明确的评价结论和后续工作的建议，为项目的持续改进和决策提供了有力支持。</w:t>
      </w:r>
    </w:p>
    <w:p w14:paraId="306D4D8D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本项目预算绩效评价报告在内容、方法和数据等方面均具备较高的完整性，能够真实、客观地反映项目的绩效情况，为项目管理决策提供了有价值的参考依据。在未来的工作中，我们将继续完善绩效评价体系，不断提升评价工作的质量和水平，以更好地服务于项目的管理和优化。</w:t>
      </w:r>
    </w:p>
    <w:p w14:paraId="49CF1FAC">
      <w:pPr>
        <w:numPr>
          <w:ilvl w:val="0"/>
          <w:numId w:val="1"/>
        </w:num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绩效评价的目的</w:t>
      </w:r>
    </w:p>
    <w:p w14:paraId="6467B43A">
      <w:pPr>
        <w:numPr>
          <w:ilvl w:val="0"/>
          <w:numId w:val="0"/>
        </w:numPr>
        <w:spacing w:line="560" w:lineRule="exact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（1）评估项目实施效果</w:t>
      </w:r>
    </w:p>
    <w:p w14:paraId="659ADC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通过对项目预算执行情况及各项绩效目标达成程度的系统性分析，全面、客观地评估项目在预定周期内的实施效果，包括经济效益、社会效益、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生态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效益以及可持续性等多维度指标，为项目后续的改进与优化提供科学依据。</w:t>
      </w:r>
    </w:p>
    <w:p w14:paraId="506A17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（2）提升资源利用效率</w:t>
      </w:r>
    </w:p>
    <w:p w14:paraId="1DF615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深入剖析项目预算资金的投入与产出关系，识别资金使用过程中的冗余环节与低效领域，挖掘潜在的资源优化配置空间，推动项目在有限的预算资源下实现更高的绩效产出，提升整体资源利用效率，确保财政资金的合理、高效运用。</w:t>
      </w:r>
    </w:p>
    <w:p w14:paraId="696F36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（3）强化项目管理责任</w:t>
      </w:r>
    </w:p>
    <w:p w14:paraId="2CE09E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明确项目各参与主体在预算绩效管理中的职责与任务，借助绩效评价结果对项目管理过程进行监督与问责，促使项目管理者增强责任意识，主动优化管理流程，完善内部控制机制，提高项目管理水平与执行力，保障项目按计划、高质量推进。</w:t>
      </w:r>
    </w:p>
    <w:p w14:paraId="10EC6F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（4）为决策提供支持</w:t>
      </w:r>
    </w:p>
    <w:p w14:paraId="7190B2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为项目主管部门、财政部门及相关决策层提供详实、准确的绩效评价信息，辅助其在项目审批、预算安排、政策调整等关键决策环节做出更加科学、合理的判断，促进项目资源的合理分配与有效整合，推动项目管理体系的不断完善与升级，提升公共资源配置的精准度与有效性。</w:t>
      </w:r>
    </w:p>
    <w:p w14:paraId="784321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（5）促进项目持续改进</w:t>
      </w:r>
    </w:p>
    <w:p w14:paraId="3AC713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基于绩效评价发现的问题与不足，提出针对性的改进建议与措施，引导项目团队聚焦关键环节，持续优化项目实施方案，加强过程监控与质量把控，形成项目绩效持续改进的良性循环，不断提升项目整体绩效水平，实现项目长期稳定发展的目标。</w:t>
      </w:r>
    </w:p>
    <w:p w14:paraId="4B602D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本项目预算绩效评价报告的编制以提升项目绩效为核心，旨在通过科学、严谨的评价工作，为项目管理与决策提供全方位、深层次的支持，推动项目在预算约束下实现高质量、可持续发展，充分发挥财政资金的经济效益与社会效益。</w:t>
      </w:r>
    </w:p>
    <w:p w14:paraId="12251838">
      <w:pPr>
        <w:pStyle w:val="9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 w:val="0"/>
          <w:bCs w:val="0"/>
        </w:rPr>
        <w:t>绩效评价的对象</w:t>
      </w:r>
    </w:p>
    <w:p w14:paraId="280A4BA5">
      <w:pPr>
        <w:pStyle w:val="9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本项目预算绩效评价报告的评价对象是</w:t>
      </w:r>
      <w:r>
        <w:rPr>
          <w:rFonts w:hint="eastAsia" w:ascii="Times New Roman" w:hAnsi="Times New Roman" w:eastAsia="仿宋_GB2312" w:cs="Times New Roman"/>
          <w:b w:val="0"/>
          <w:bCs w:val="0"/>
          <w:highlight w:val="none"/>
        </w:rPr>
        <w:t>2024年自治区林草专项资金</w:t>
      </w:r>
      <w:r>
        <w:rPr>
          <w:rFonts w:hint="eastAsia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项目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及其预算执行情况。该项目由</w:t>
      </w:r>
      <w:r>
        <w:rPr>
          <w:rFonts w:hint="eastAsia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托里县草原监理站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负责实施，旨在</w:t>
      </w:r>
      <w:r>
        <w:rPr>
          <w:rFonts w:hint="eastAsia" w:ascii="Times New Roman" w:hAnsi="Times New Roman" w:eastAsia="仿宋_GB2312" w:cs="Times New Roman"/>
          <w:b w:val="0"/>
          <w:bCs w:val="0"/>
          <w:highlight w:val="none"/>
        </w:rPr>
        <w:t>用于禁牧和草畜平衡管理，执法监管1次，征占用草现场查验1次，开展草原野外监测、草原保护执法以及禁牧和草畜平衡管理并做好宣传、管护站维修，国家级草原固定监测点维修等工作。草原执法监督服告，发挥成效显著，草原生态环境持续好转明显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。项目预算涵盖从</w:t>
      </w:r>
      <w:r>
        <w:rPr>
          <w:rFonts w:hint="eastAsia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2024年1月1日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至</w:t>
      </w:r>
      <w:r>
        <w:rPr>
          <w:rFonts w:hint="eastAsia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2024年12月31日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的全部资金投入与支出，涉及资金总额为</w:t>
      </w:r>
      <w:r>
        <w:rPr>
          <w:rFonts w:hint="eastAsia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万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元。</w:t>
      </w:r>
    </w:p>
    <w:p w14:paraId="30EA045A">
      <w:pPr>
        <w:pStyle w:val="9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  <w:lang w:val="en-US" w:eastAsia="zh-CN"/>
        </w:rPr>
        <w:t>4.</w:t>
      </w:r>
      <w:r>
        <w:rPr>
          <w:rFonts w:hint="default" w:ascii="Times New Roman" w:hAnsi="Times New Roman" w:eastAsia="仿宋_GB2312" w:cs="Times New Roman"/>
          <w:b w:val="0"/>
          <w:bCs w:val="0"/>
        </w:rPr>
        <w:t>绩效评价的范围</w:t>
      </w:r>
    </w:p>
    <w:p w14:paraId="733BFD99">
      <w:pPr>
        <w:pStyle w:val="9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highlight w:val="none"/>
        </w:rPr>
      </w:pP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本项目预算绩效评价报告的评价范围广泛而全面，涵盖了从项目立项至评价时点期间的所有关键预算活动和财务流程。具体而言，评价范围包括但不限于以下几个方面：</w:t>
      </w:r>
    </w:p>
    <w:p w14:paraId="0E15F00F">
      <w:pPr>
        <w:pStyle w:val="9"/>
        <w:widowControl w:val="0"/>
        <w:numPr>
          <w:ilvl w:val="0"/>
          <w:numId w:val="2"/>
        </w:numPr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highlight w:val="none"/>
        </w:rPr>
      </w:pP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项目预算编制与执行：全面审视项目预算的编制依据、合理性、科学性以及实际执行情况，包括预算调整的原因和效果。</w:t>
      </w:r>
    </w:p>
    <w:p w14:paraId="78B17961">
      <w:pPr>
        <w:pStyle w:val="9"/>
        <w:widowControl w:val="0"/>
        <w:numPr>
          <w:ilvl w:val="0"/>
          <w:numId w:val="2"/>
        </w:numPr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资金管理：深入分析项目资金的分配、使用和监管情况，确保资金使用的合规性、高效性和透明度。</w:t>
      </w:r>
    </w:p>
    <w:p w14:paraId="68BF5400">
      <w:pPr>
        <w:pStyle w:val="9"/>
        <w:widowControl w:val="0"/>
        <w:numPr>
          <w:ilvl w:val="0"/>
          <w:numId w:val="2"/>
        </w:numPr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项目实施进度与产出：评估项目是否按照既定计划顺利推进，各项任务是否按时完成，以及项目产出的数量、质量和时效性是否符合预期。</w:t>
      </w:r>
    </w:p>
    <w:p w14:paraId="4BEF7239">
      <w:pPr>
        <w:pStyle w:val="9"/>
        <w:widowControl w:val="0"/>
        <w:numPr>
          <w:ilvl w:val="0"/>
          <w:numId w:val="0"/>
        </w:numPr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highlight w:val="green"/>
          <w:lang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highlight w:val="none"/>
          <w:lang w:eastAsia="zh-CN"/>
        </w:rPr>
        <w:t>（</w:t>
      </w:r>
      <w:r>
        <w:rPr>
          <w:rFonts w:hint="eastAsia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4</w:t>
      </w:r>
      <w:r>
        <w:rPr>
          <w:rFonts w:hint="eastAsia" w:ascii="Times New Roman" w:hAnsi="Times New Roman" w:eastAsia="仿宋_GB2312" w:cs="Times New Roman"/>
          <w:b w:val="0"/>
          <w:bCs w:val="0"/>
          <w:highlight w:val="none"/>
          <w:lang w:eastAsia="zh-CN"/>
        </w:rPr>
        <w:t>）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社会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  <w:lang w:eastAsia="zh-CN"/>
        </w:rPr>
        <w:t>、</w:t>
      </w:r>
      <w:r>
        <w:rPr>
          <w:rFonts w:hint="eastAsia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生态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等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影响：考察项目对社会、</w:t>
      </w:r>
      <w:r>
        <w:rPr>
          <w:rFonts w:hint="eastAsia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生态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、经济等方面的综合影响。</w:t>
      </w:r>
    </w:p>
    <w:p w14:paraId="4400F51A">
      <w:pPr>
        <w:spacing w:line="560" w:lineRule="exact"/>
        <w:ind w:firstLine="643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（二）绩效评价原则、评价指标体系（详情见表1）、评价方法、评价标准。</w:t>
      </w:r>
    </w:p>
    <w:p w14:paraId="74C3BA84">
      <w:pPr>
        <w:pStyle w:val="9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</w:rPr>
        <w:t>1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 w:val="0"/>
          <w:bCs w:val="0"/>
        </w:rPr>
        <w:t>绩效评价原则</w:t>
      </w:r>
    </w:p>
    <w:p w14:paraId="2FBB5992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本次项目绩效评价遵循以下基本原则：</w:t>
      </w:r>
    </w:p>
    <w:p w14:paraId="448085CC">
      <w:pPr>
        <w:pStyle w:val="9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</w:rPr>
        <w:t>（1）科学公正。绩效评价应当运用科学合理的方法，按照规范的程序，对项目绩效进行客观、公正的反映。</w:t>
      </w:r>
    </w:p>
    <w:p w14:paraId="23C5C26E">
      <w:pPr>
        <w:pStyle w:val="9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</w:rPr>
        <w:t>（2）统筹兼顾。单位自评、部门评价和财政评价应职责明确，各有侧重，相互衔接。单位自评应由项目单位自主实施，即“谁支出、谁自评”。部门评价和财政评价应在单位自评的基础上开展。</w:t>
      </w:r>
    </w:p>
    <w:p w14:paraId="2EA6EED2">
      <w:pPr>
        <w:pStyle w:val="9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</w:rPr>
        <w:t>（3）激励约束。绩效评价结果应与预算安排、政策调整、改进管理实质性挂钩，体现奖优罚劣和激励相容导向，有效要安排、低效要压减、无效要问责。</w:t>
      </w:r>
    </w:p>
    <w:p w14:paraId="6FF66C7B">
      <w:pPr>
        <w:pStyle w:val="9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</w:rPr>
        <w:t>（4）公开透明。绩效评价结果应依法依规公开，并自觉接受社会监督。</w:t>
      </w:r>
    </w:p>
    <w:p w14:paraId="1F100E83">
      <w:pPr>
        <w:pStyle w:val="9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</w:rPr>
        <w:t>2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 w:val="0"/>
          <w:bCs w:val="0"/>
        </w:rPr>
        <w:t>评价指标体系</w:t>
      </w:r>
    </w:p>
    <w:p w14:paraId="6E5C2B68">
      <w:pPr>
        <w:spacing w:line="560" w:lineRule="exact"/>
        <w:ind w:firstLine="708" w:firstLineChars="200"/>
        <w:rPr>
          <w:rFonts w:hint="default" w:ascii="Times New Roman" w:hAnsi="Times New Roman" w:cs="Times New Roman"/>
          <w:color w:val="000000"/>
          <w:spacing w:val="17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  <w:t>绩效评价框架是开展绩效评价的核心。绩效评价框架包括评价准则、关键评价问题、评价指标、数据来源、数据收集方法等。指标体系建立过程如下：</w:t>
      </w:r>
    </w:p>
    <w:p w14:paraId="7312E4FF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  <w:t>（1）确定评价指标</w:t>
      </w:r>
    </w:p>
    <w:p w14:paraId="3192D5BE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  <w:t>采用层次分析法，建立评价指标体系。绩效评价将指标分为项目决策指标、项目过程指标、项目产出指标、项目效益指标四个维度，最终形成一个由多个相互联系的指标组成的多层次指标体系。</w:t>
      </w:r>
    </w:p>
    <w:p w14:paraId="0309082A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  <w:t>（2）确定权重</w:t>
      </w:r>
    </w:p>
    <w:p w14:paraId="67BE405D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FF0000"/>
          <w:spacing w:val="17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  <w:t>确定各个指标相对于项目总体绩效的权重分值。在绩效评价指标体系中，项目决策权重为</w:t>
      </w:r>
      <w:r>
        <w:rPr>
          <w:rFonts w:hint="eastAsia" w:eastAsia="仿宋_GB2312" w:cs="Times New Roman"/>
          <w:color w:val="000000"/>
          <w:spacing w:val="17"/>
          <w:sz w:val="32"/>
          <w:szCs w:val="32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  <w:t>分，项目过程权重为</w:t>
      </w:r>
      <w:r>
        <w:rPr>
          <w:rFonts w:hint="eastAsia" w:eastAsia="仿宋_GB2312" w:cs="Times New Roman"/>
          <w:color w:val="000000"/>
          <w:spacing w:val="17"/>
          <w:sz w:val="32"/>
          <w:szCs w:val="32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  <w:t>分，项目产出权重为</w:t>
      </w:r>
      <w:r>
        <w:rPr>
          <w:rFonts w:hint="eastAsia" w:eastAsia="仿宋_GB2312" w:cs="Times New Roman"/>
          <w:color w:val="000000"/>
          <w:spacing w:val="17"/>
          <w:sz w:val="32"/>
          <w:szCs w:val="32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  <w:t>分，项目效益权重为</w:t>
      </w:r>
      <w:r>
        <w:rPr>
          <w:rFonts w:hint="eastAsia" w:eastAsia="仿宋_GB2312" w:cs="Times New Roman"/>
          <w:color w:val="000000"/>
          <w:spacing w:val="17"/>
          <w:sz w:val="32"/>
          <w:szCs w:val="32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  <w:t>分。</w:t>
      </w:r>
    </w:p>
    <w:p w14:paraId="211DE911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  <w:t>（3）确定指标标准值</w:t>
      </w:r>
    </w:p>
    <w:p w14:paraId="524288E3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  <w:t>指标标准值是绩效评价指标的尺度，既要反映同类项目的先进水平，又要符合项目的实际绩效水平。具体采用计划标准等确定此次绩效评价指标标准值。</w:t>
      </w:r>
    </w:p>
    <w:p w14:paraId="3AFA83CA">
      <w:pPr>
        <w:pStyle w:val="9"/>
        <w:spacing w:before="0" w:after="0" w:line="560" w:lineRule="exact"/>
        <w:ind w:firstLine="708" w:firstLineChars="200"/>
        <w:jc w:val="both"/>
        <w:rPr>
          <w:rFonts w:hint="default" w:ascii="Times New Roman" w:hAnsi="Times New Roman" w:eastAsia="仿宋_GB2312" w:cs="Times New Roman"/>
          <w:b w:val="0"/>
          <w:bCs w:val="0"/>
          <w:color w:val="000000"/>
          <w:spacing w:val="17"/>
          <w:kern w:val="2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17"/>
          <w:kern w:val="2"/>
        </w:rPr>
        <w:t>绩效评价总分值100分，根据综合评分结果，90（含）-100分为优、80（含）-90分为良、60（含）-80分为中、60分以下为差。</w:t>
      </w:r>
    </w:p>
    <w:p w14:paraId="2FCD77E4">
      <w:pPr>
        <w:pStyle w:val="9"/>
        <w:widowControl w:val="0"/>
        <w:spacing w:before="0" w:after="0" w:line="560" w:lineRule="exact"/>
        <w:ind w:firstLine="708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color w:val="000000"/>
          <w:spacing w:val="17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17"/>
        </w:rPr>
        <w:t>具体评价指标体系详情见附件1</w:t>
      </w:r>
    </w:p>
    <w:p w14:paraId="59C79AC0">
      <w:pPr>
        <w:pStyle w:val="9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</w:rPr>
        <w:t>3</w:t>
      </w:r>
      <w:r>
        <w:rPr>
          <w:rFonts w:hint="default" w:ascii="Times New Roman" w:hAnsi="Times New Roman" w:eastAsia="仿宋_GB2312" w:cs="Times New Roman"/>
          <w:b w:val="0"/>
          <w:bCs w:val="0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 w:val="0"/>
          <w:bCs w:val="0"/>
        </w:rPr>
        <w:t>绩效评价方法</w:t>
      </w:r>
    </w:p>
    <w:p w14:paraId="26A4E319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  <w:t>绩效评价从项目决策、项目过程、项目产出、项目效益四个维度进行评价。评价对象为项目目标实施情况，  评价核心为资金的支出完成情况和项目的产出效益。</w:t>
      </w:r>
    </w:p>
    <w:p w14:paraId="3FD216CC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  <w:t>本次评价指标中，既有定性指标又有定量指标，各类指标因考核内容不同和客观标准不同存在较大差异，因此核定具体指标时采用了不同方法，具体评价方法如下：</w:t>
      </w:r>
    </w:p>
    <w:p w14:paraId="0CDBDF3A">
      <w:pPr>
        <w:numPr>
          <w:ilvl w:val="0"/>
          <w:numId w:val="3"/>
        </w:numPr>
        <w:spacing w:line="560" w:lineRule="exact"/>
        <w:ind w:firstLine="708" w:firstLineChars="200"/>
        <w:rPr>
          <w:rFonts w:hint="eastAsia" w:eastAsia="仿宋_GB2312" w:cs="Times New Roman"/>
          <w:color w:val="000000"/>
          <w:spacing w:val="17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  <w:highlight w:val="none"/>
        </w:rPr>
        <w:t>成本效益分析法。</w:t>
      </w:r>
      <w:r>
        <w:rPr>
          <w:rFonts w:hint="eastAsia" w:eastAsia="仿宋_GB2312" w:cs="Times New Roman"/>
          <w:color w:val="000000"/>
          <w:spacing w:val="17"/>
          <w:sz w:val="32"/>
          <w:szCs w:val="32"/>
          <w:highlight w:val="none"/>
          <w:lang w:val="en-US" w:eastAsia="zh-CN"/>
        </w:rPr>
        <w:t>通过将项目的成本（包括项目完成率、成本、时间成本等）与所取得的效益（</w:t>
      </w: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  <w:highlight w:val="none"/>
        </w:rPr>
        <w:t>禁牧和草畜平衡任务合格率</w:t>
      </w:r>
      <w:r>
        <w:rPr>
          <w:rFonts w:hint="eastAsia" w:ascii="Times New Roman" w:hAnsi="Times New Roman" w:eastAsia="仿宋_GB2312" w:cs="Times New Roman"/>
          <w:color w:val="000000"/>
          <w:spacing w:val="17"/>
          <w:sz w:val="32"/>
          <w:szCs w:val="32"/>
          <w:highlight w:val="none"/>
          <w:lang w:eastAsia="zh-CN"/>
        </w:rPr>
        <w:t>、</w:t>
      </w: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  <w:highlight w:val="none"/>
        </w:rPr>
        <w:t>征占用草现场查验成本</w:t>
      </w:r>
      <w:r>
        <w:rPr>
          <w:rFonts w:hint="eastAsia" w:eastAsia="仿宋_GB2312" w:cs="Times New Roman"/>
          <w:color w:val="000000"/>
          <w:spacing w:val="17"/>
          <w:sz w:val="32"/>
          <w:szCs w:val="32"/>
          <w:highlight w:val="none"/>
          <w:lang w:eastAsia="zh-CN"/>
        </w:rPr>
        <w:t>的</w:t>
      </w:r>
      <w:r>
        <w:rPr>
          <w:rFonts w:hint="eastAsia" w:eastAsia="仿宋_GB2312" w:cs="Times New Roman"/>
          <w:color w:val="000000"/>
          <w:spacing w:val="17"/>
          <w:sz w:val="32"/>
          <w:szCs w:val="32"/>
          <w:highlight w:val="none"/>
          <w:lang w:val="en-US" w:eastAsia="zh-CN"/>
        </w:rPr>
        <w:t>经济效益、</w:t>
      </w: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  <w:highlight w:val="none"/>
        </w:rPr>
        <w:t>草原生态环境持续好转</w:t>
      </w:r>
      <w:r>
        <w:rPr>
          <w:rFonts w:hint="eastAsia" w:eastAsia="仿宋_GB2312" w:cs="Times New Roman"/>
          <w:color w:val="000000"/>
          <w:spacing w:val="17"/>
          <w:sz w:val="32"/>
          <w:szCs w:val="32"/>
          <w:highlight w:val="none"/>
          <w:lang w:val="en-US" w:eastAsia="zh-CN"/>
        </w:rPr>
        <w:t>的帮助</w:t>
      </w:r>
      <w:r>
        <w:rPr>
          <w:rFonts w:hint="eastAsia" w:ascii="Times New Roman" w:hAnsi="Times New Roman" w:eastAsia="仿宋_GB2312" w:cs="Times New Roman"/>
          <w:color w:val="000000"/>
          <w:spacing w:val="17"/>
          <w:sz w:val="32"/>
          <w:szCs w:val="32"/>
          <w:highlight w:val="none"/>
          <w:lang w:val="en-US" w:eastAsia="zh-CN"/>
        </w:rPr>
        <w:t>）</w:t>
      </w:r>
      <w:r>
        <w:rPr>
          <w:rFonts w:hint="eastAsia" w:eastAsia="仿宋_GB2312" w:cs="Times New Roman"/>
          <w:color w:val="000000"/>
          <w:spacing w:val="17"/>
          <w:sz w:val="32"/>
          <w:szCs w:val="32"/>
          <w:highlight w:val="none"/>
          <w:lang w:val="en-US" w:eastAsia="zh-CN"/>
        </w:rPr>
        <w:t>。</w:t>
      </w:r>
    </w:p>
    <w:p w14:paraId="38ABBF8A">
      <w:pPr>
        <w:numPr>
          <w:ilvl w:val="0"/>
          <w:numId w:val="0"/>
        </w:num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  <w:highlight w:val="none"/>
        </w:rPr>
        <w:t>（二）比较法。</w:t>
      </w:r>
      <w:r>
        <w:rPr>
          <w:rFonts w:hint="eastAsia" w:eastAsia="仿宋_GB2312" w:cs="Times New Roman"/>
          <w:color w:val="000000"/>
          <w:spacing w:val="17"/>
          <w:sz w:val="32"/>
          <w:szCs w:val="32"/>
          <w:highlight w:val="none"/>
          <w:lang w:val="en-US" w:eastAsia="zh-CN"/>
        </w:rPr>
        <w:t>通过将项目实施前后的相关指标进行对比、完成率100%。比往年有所提高。</w:t>
      </w:r>
    </w:p>
    <w:p w14:paraId="30EA4815">
      <w:pPr>
        <w:pStyle w:val="9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</w:rPr>
        <w:t>4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 w:val="0"/>
          <w:bCs w:val="0"/>
        </w:rPr>
        <w:t>评价标准</w:t>
      </w:r>
    </w:p>
    <w:p w14:paraId="672FB8F3">
      <w:pPr>
        <w:pStyle w:val="9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</w:rPr>
        <w:t>绩效评价标准通常包括计划标准、行业标准、历史标准等，用于对绩效指标完成情况进行比较、分析、评价。本次评价主要采用了</w:t>
      </w:r>
      <w:r>
        <w:rPr>
          <w:rFonts w:hint="eastAsia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计划</w:t>
      </w:r>
      <w:r>
        <w:rPr>
          <w:rFonts w:hint="default" w:ascii="Times New Roman" w:hAnsi="Times New Roman" w:eastAsia="仿宋_GB2312" w:cs="Times New Roman"/>
          <w:b w:val="0"/>
          <w:bCs w:val="0"/>
        </w:rPr>
        <w:t>标准。</w:t>
      </w:r>
    </w:p>
    <w:p w14:paraId="4E351475">
      <w:pPr>
        <w:numPr>
          <w:ilvl w:val="0"/>
          <w:numId w:val="0"/>
        </w:num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eastAsia="仿宋_GB2312" w:cs="Times New Roman"/>
          <w:color w:val="000000"/>
          <w:spacing w:val="17"/>
          <w:sz w:val="32"/>
          <w:szCs w:val="32"/>
          <w:highlight w:val="none"/>
          <w:lang w:val="en-US" w:eastAsia="zh-CN"/>
        </w:rPr>
        <w:t>计划标准。</w:t>
      </w:r>
      <w:r>
        <w:rPr>
          <w:rFonts w:hint="eastAsia" w:eastAsia="仿宋_GB2312" w:cs="Times New Roman"/>
          <w:color w:val="000000"/>
          <w:spacing w:val="17"/>
          <w:sz w:val="32"/>
          <w:szCs w:val="32"/>
          <w:highlight w:val="none"/>
          <w:lang w:val="en-US" w:eastAsia="zh-CN"/>
        </w:rPr>
        <w:t>通过将项目的成本（包括项目完成率、成本、时间成本等）与所取得的效益（</w:t>
      </w: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  <w:highlight w:val="none"/>
        </w:rPr>
        <w:t>禁牧和草畜平衡任务合格率</w:t>
      </w:r>
      <w:r>
        <w:rPr>
          <w:rFonts w:hint="eastAsia" w:ascii="Times New Roman" w:hAnsi="Times New Roman" w:eastAsia="仿宋_GB2312" w:cs="Times New Roman"/>
          <w:color w:val="000000"/>
          <w:spacing w:val="17"/>
          <w:sz w:val="32"/>
          <w:szCs w:val="32"/>
          <w:highlight w:val="none"/>
          <w:lang w:eastAsia="zh-CN"/>
        </w:rPr>
        <w:t>、</w:t>
      </w: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  <w:highlight w:val="none"/>
        </w:rPr>
        <w:t>征占用草现场查验成本</w:t>
      </w:r>
      <w:r>
        <w:rPr>
          <w:rFonts w:hint="eastAsia" w:eastAsia="仿宋_GB2312" w:cs="Times New Roman"/>
          <w:color w:val="000000"/>
          <w:spacing w:val="17"/>
          <w:sz w:val="32"/>
          <w:szCs w:val="32"/>
          <w:highlight w:val="none"/>
          <w:lang w:eastAsia="zh-CN"/>
        </w:rPr>
        <w:t>的</w:t>
      </w:r>
      <w:r>
        <w:rPr>
          <w:rFonts w:hint="eastAsia" w:eastAsia="仿宋_GB2312" w:cs="Times New Roman"/>
          <w:color w:val="000000"/>
          <w:spacing w:val="17"/>
          <w:sz w:val="32"/>
          <w:szCs w:val="32"/>
          <w:highlight w:val="none"/>
          <w:lang w:val="en-US" w:eastAsia="zh-CN"/>
        </w:rPr>
        <w:t>经济效益、</w:t>
      </w: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  <w:highlight w:val="none"/>
        </w:rPr>
        <w:t>草原生态环境持续好转</w:t>
      </w:r>
      <w:r>
        <w:rPr>
          <w:rFonts w:hint="eastAsia" w:eastAsia="仿宋_GB2312" w:cs="Times New Roman"/>
          <w:color w:val="000000"/>
          <w:spacing w:val="17"/>
          <w:sz w:val="32"/>
          <w:szCs w:val="32"/>
          <w:highlight w:val="none"/>
          <w:lang w:val="en-US" w:eastAsia="zh-CN"/>
        </w:rPr>
        <w:t>的帮助</w:t>
      </w:r>
      <w:r>
        <w:rPr>
          <w:rFonts w:hint="eastAsia" w:ascii="Times New Roman" w:hAnsi="Times New Roman" w:eastAsia="仿宋_GB2312" w:cs="Times New Roman"/>
          <w:color w:val="000000"/>
          <w:spacing w:val="17"/>
          <w:sz w:val="32"/>
          <w:szCs w:val="32"/>
          <w:highlight w:val="none"/>
          <w:lang w:val="en-US" w:eastAsia="zh-CN"/>
        </w:rPr>
        <w:t>）</w:t>
      </w:r>
      <w:r>
        <w:rPr>
          <w:rFonts w:hint="eastAsia" w:eastAsia="仿宋_GB2312" w:cs="Times New Roman"/>
          <w:color w:val="000000"/>
          <w:spacing w:val="17"/>
          <w:sz w:val="32"/>
          <w:szCs w:val="32"/>
          <w:highlight w:val="none"/>
          <w:lang w:val="en-US" w:eastAsia="zh-CN"/>
        </w:rPr>
        <w:t>。</w:t>
      </w:r>
    </w:p>
    <w:p w14:paraId="3D00C2CF">
      <w:pPr>
        <w:pStyle w:val="9"/>
        <w:numPr>
          <w:ilvl w:val="0"/>
          <w:numId w:val="4"/>
        </w:numPr>
        <w:spacing w:before="0" w:after="0" w:line="560" w:lineRule="exact"/>
        <w:ind w:firstLine="711" w:firstLineChars="200"/>
        <w:jc w:val="both"/>
        <w:rPr>
          <w:rFonts w:hint="default" w:ascii="Times New Roman" w:hAnsi="Times New Roman" w:eastAsia="楷体" w:cs="Times New Roman"/>
          <w:color w:val="000000"/>
          <w:spacing w:val="17"/>
        </w:rPr>
      </w:pPr>
      <w:r>
        <w:rPr>
          <w:rFonts w:hint="default" w:ascii="Times New Roman" w:hAnsi="Times New Roman" w:eastAsia="楷体" w:cs="Times New Roman"/>
          <w:color w:val="000000"/>
          <w:spacing w:val="17"/>
        </w:rPr>
        <w:t>绩效评价工作过程</w:t>
      </w:r>
    </w:p>
    <w:p w14:paraId="21C149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前期准备与规划</w:t>
      </w:r>
    </w:p>
    <w:p w14:paraId="55C675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在项目绩效评价工作启动之初，成立了专门的评价工作小组，小组成员由财务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人员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、项目管理人员及相关领域技术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人员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组成，确保从多角度、全方位对项目绩效进行评价。同时，明确了评价工作的目标、范围、重点及时间安排，制定了详细的工作计划，为评价工作的顺利开展奠定了坚实基础。</w:t>
      </w:r>
    </w:p>
    <w:p w14:paraId="2471C5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）指标体系构建</w:t>
      </w:r>
    </w:p>
    <w:p w14:paraId="6608E4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依据项目的性质、目标以及预期成果，构建了科学合理的绩效评价指标体系。该指标体系涵盖了</w:t>
      </w: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  <w:highlight w:val="none"/>
        </w:rPr>
        <w:t>项目决策、项目过程、项目产出、项目效益四个维度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，选取了具有代表性和可衡量性的关键指标，并为每个指标设定了明确的评价标准与权重，确保评价结果能够全面、准确地反映项目的绩效状况。</w:t>
      </w:r>
    </w:p>
    <w:p w14:paraId="448DDD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）数据收集与整理</w:t>
      </w:r>
    </w:p>
    <w:p w14:paraId="4D937A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广泛收集与项目相关的各类数据，包括财务报表、项目文档、业务数据、用户反馈等。在数据收集过程中，注重数据的质量与完整性，对缺失或异常的数据进行了合理的处理和补充。随后，对收集到的数据进行了系统的整理与分类，为后续的数据分析提供了有力支持。</w:t>
      </w:r>
    </w:p>
    <w:p w14:paraId="1E2E9A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）数据分析与评估</w:t>
      </w:r>
    </w:p>
    <w:p w14:paraId="0657DB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对收集到的数据进行了深入挖掘与分析。通过对各项绩效指标的实际完成情况与预期目标进行对比，计算出指标的达成率，并结合指标权重进行综合评分，从而得出项目的整体绩效评价结果。在分析过程中，注重数据之间的关联性与逻辑性，深入剖析项目绩效背后的原因，识别出项目实施过程中的优势与不足，为提出有针对性的改进建议提供了依据。</w:t>
      </w:r>
    </w:p>
    <w:p w14:paraId="7C11A8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）报告撰写与反馈</w:t>
      </w:r>
    </w:p>
    <w:p w14:paraId="61E480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根据数据分析与评估的结果，按照统一的格式和规范撰写项目预算绩效评价报告。报告内容包括项目背景、评价目的、评价指标体系、数据收集与分析方法、绩效评价结果、存在问题与改进建议等多个部分，力求条理清晰、重点突出、语言简洁明了。在报告撰写完成后，及时向项目实施主体及相关利益相关者进行反馈，充分听取各方意见与建议，对报告内容进行进一步的完善与优化，确保评价报告的质量与实用性。</w:t>
      </w:r>
    </w:p>
    <w:p w14:paraId="1CC8C3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）后续跟踪与改进</w:t>
      </w:r>
    </w:p>
    <w:p w14:paraId="44F520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在评价报告提交后，我们将持续跟踪项目的改进措施落实情况，定期对项目绩效进行复查与评估，确保项目能够根据评价结果及时调整与优化，实现绩效的持续提升。同时，根据项目实施过程中出现的新情况、新问题，适时调整绩效评价指标体系与方法，保持评价工作的适应性与前瞻性，为项目的长期稳定发展提供有力保障。</w:t>
      </w:r>
    </w:p>
    <w:p w14:paraId="2CE4B3A1">
      <w:pPr>
        <w:numPr>
          <w:ilvl w:val="0"/>
          <w:numId w:val="5"/>
        </w:numPr>
        <w:spacing w:line="560" w:lineRule="exact"/>
        <w:ind w:firstLine="640" w:firstLineChars="20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综合评价情况及评价结论（附相关评分表）</w:t>
      </w:r>
    </w:p>
    <w:p w14:paraId="4AE486B6"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jc w:val="both"/>
        <w:textAlignment w:val="auto"/>
        <w:rPr>
          <w:rFonts w:hint="default" w:ascii="Times New Roman" w:hAnsi="Times New Roman" w:eastAsia="楷体_GB2312" w:cs="Times New Roman"/>
          <w:lang w:val="en-US" w:eastAsia="zh-CN"/>
        </w:rPr>
      </w:pPr>
      <w:r>
        <w:rPr>
          <w:rFonts w:hint="default" w:ascii="Times New Roman" w:hAnsi="Times New Roman" w:eastAsia="楷体_GB2312" w:cs="Times New Roman"/>
          <w:lang w:eastAsia="zh-CN"/>
        </w:rPr>
        <w:t>（</w:t>
      </w:r>
      <w:r>
        <w:rPr>
          <w:rFonts w:hint="default" w:ascii="Times New Roman" w:hAnsi="Times New Roman" w:eastAsia="楷体_GB2312" w:cs="Times New Roman"/>
          <w:lang w:val="en-US" w:eastAsia="zh-CN"/>
        </w:rPr>
        <w:t>一</w:t>
      </w:r>
      <w:r>
        <w:rPr>
          <w:rFonts w:hint="default" w:ascii="Times New Roman" w:hAnsi="Times New Roman" w:eastAsia="楷体_GB2312" w:cs="Times New Roman"/>
          <w:lang w:eastAsia="zh-CN"/>
        </w:rPr>
        <w:t>）</w:t>
      </w:r>
      <w:r>
        <w:rPr>
          <w:rFonts w:hint="default" w:ascii="Times New Roman" w:hAnsi="Times New Roman" w:eastAsia="楷体_GB2312" w:cs="Times New Roman"/>
          <w:lang w:val="en-US" w:eastAsia="zh-CN"/>
        </w:rPr>
        <w:t>评价情况</w:t>
      </w:r>
    </w:p>
    <w:p w14:paraId="183C274F">
      <w:pPr>
        <w:pStyle w:val="8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本项目的综合评价基于对项目各方面绩效的深入分析与评估。从项目目标的达成情况来看，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2024年自治区林草专项资金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在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执法监管，征占用草现场查验，开展草原野外监测、草原保护执法以及禁牧和草畜平衡管理并做宣传、管护站维修，国家级草原固定监测点维修等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方面表现出色，达到了预期的标准与要求。同时，项目也在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草原野外监测、草原保护执法以及禁牧和草畜平衡管理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实施中取得了显著的成效，如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草原生态环境持续好转明显，群众满意度达到95%。</w:t>
      </w:r>
    </w:p>
    <w:p w14:paraId="275E18E3">
      <w:pPr>
        <w:pStyle w:val="8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在项目管理方面，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托里县草原监理站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通过有效的规划、组织与协调，项目得以顺利实施，并在预算与时间上保持了良好的控制。</w:t>
      </w:r>
    </w:p>
    <w:p w14:paraId="35F58394">
      <w:pPr>
        <w:pStyle w:val="8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highlight w:val="red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从项目效益的角度来看，本项目不仅实现了预期的社会效益、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生态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效益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、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经济效益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等方面产生了积极的影响。具体而言，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提高了公众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对草原生态保护的认识关注度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草原生态环境持续好转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等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。</w:t>
      </w:r>
    </w:p>
    <w:p w14:paraId="27371CF4">
      <w:pPr>
        <w:pStyle w:val="8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default" w:ascii="Times New Roman" w:hAnsi="Times New Roman" w:cs="Times New Roman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综上所述，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2024年自治区林草专项资金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在绩效评价中表现出色，达到了项目的预期目标，并在多个方面取得了显著的成效。</w:t>
      </w:r>
    </w:p>
    <w:p w14:paraId="53AB8732"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jc w:val="both"/>
        <w:textAlignment w:val="auto"/>
        <w:rPr>
          <w:rFonts w:hint="default" w:ascii="Times New Roman" w:hAnsi="Times New Roman" w:eastAsia="楷体_GB2312" w:cs="Times New Roman"/>
          <w:lang w:val="en-US" w:eastAsia="zh-CN"/>
        </w:rPr>
      </w:pPr>
      <w:r>
        <w:rPr>
          <w:rFonts w:hint="default" w:ascii="Times New Roman" w:hAnsi="Times New Roman" w:eastAsia="楷体_GB2312" w:cs="Times New Roman"/>
          <w:lang w:eastAsia="zh-CN"/>
        </w:rPr>
        <w:t>（</w:t>
      </w:r>
      <w:r>
        <w:rPr>
          <w:rFonts w:hint="default" w:ascii="Times New Roman" w:hAnsi="Times New Roman" w:eastAsia="楷体_GB2312" w:cs="Times New Roman"/>
          <w:lang w:val="en-US" w:eastAsia="zh-CN"/>
        </w:rPr>
        <w:t>二</w:t>
      </w:r>
      <w:r>
        <w:rPr>
          <w:rFonts w:hint="default" w:ascii="Times New Roman" w:hAnsi="Times New Roman" w:eastAsia="楷体_GB2312" w:cs="Times New Roman"/>
          <w:lang w:eastAsia="zh-CN"/>
        </w:rPr>
        <w:t>）</w:t>
      </w:r>
      <w:r>
        <w:rPr>
          <w:rFonts w:hint="default" w:ascii="Times New Roman" w:hAnsi="Times New Roman" w:eastAsia="楷体_GB2312" w:cs="Times New Roman"/>
          <w:lang w:val="en-US" w:eastAsia="zh-CN"/>
        </w:rPr>
        <w:t>评价结论</w:t>
      </w:r>
    </w:p>
    <w:p w14:paraId="1BB19CE0">
      <w:pPr>
        <w:pStyle w:val="9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</w:rPr>
        <w:t>运用绩效评价组制定的评价指标体系以及财政部《项目支出绩效评价管理办法》（财预〔2020〕10号）文件的评分标准，通过数据采集、问卷调查及访谈等方式，对本项目进行客观评价，最终评分结果：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 xml:space="preserve">总得分为 </w:t>
      </w:r>
      <w:r>
        <w:rPr>
          <w:rFonts w:hint="eastAsia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分，属于“优”。其中，项目决策类指标权重为20分，得分为</w:t>
      </w:r>
      <w:r>
        <w:rPr>
          <w:rFonts w:hint="eastAsia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分，得分率为</w:t>
      </w:r>
      <w:r>
        <w:rPr>
          <w:rFonts w:hint="eastAsia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%。项目过程类指标权重为20分，得分为</w:t>
      </w:r>
      <w:r>
        <w:rPr>
          <w:rFonts w:hint="eastAsia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分，得分率为</w:t>
      </w:r>
      <w:r>
        <w:rPr>
          <w:rFonts w:hint="eastAsia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%。项目产出类指标权重为40分，得分为</w:t>
      </w:r>
      <w:r>
        <w:rPr>
          <w:rFonts w:hint="eastAsia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40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分，得分率为</w:t>
      </w:r>
      <w:r>
        <w:rPr>
          <w:rFonts w:hint="eastAsia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%。项目效益类指标权重为20分，得分为</w:t>
      </w:r>
      <w:r>
        <w:rPr>
          <w:rFonts w:hint="eastAsia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分，得分率为</w:t>
      </w:r>
      <w:r>
        <w:rPr>
          <w:rFonts w:hint="eastAsia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%。具体打分情况详见：附件1综合评分表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  <w:lang w:eastAsia="zh-CN"/>
        </w:rPr>
        <w:t>。</w:t>
      </w:r>
    </w:p>
    <w:p w14:paraId="5FA66536"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/>
        <w:textAlignment w:val="auto"/>
        <w:rPr>
          <w:rFonts w:hint="default" w:ascii="Times New Roman" w:hAnsi="Times New Roman" w:eastAsia="仿宋_GB2312" w:cs="Times New Roman"/>
          <w:sz w:val="21"/>
          <w:szCs w:val="21"/>
        </w:rPr>
      </w:pPr>
      <w:r>
        <w:rPr>
          <w:rFonts w:hint="default" w:ascii="Times New Roman" w:hAnsi="Times New Roman" w:eastAsia="仿宋_GB2312" w:cs="Times New Roman"/>
          <w:sz w:val="21"/>
          <w:szCs w:val="21"/>
        </w:rPr>
        <w:t>表1综合评分表</w:t>
      </w:r>
    </w:p>
    <w:tbl>
      <w:tblPr>
        <w:tblStyle w:val="12"/>
        <w:tblW w:w="876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87"/>
        <w:gridCol w:w="1927"/>
        <w:gridCol w:w="2023"/>
        <w:gridCol w:w="2023"/>
      </w:tblGrid>
      <w:tr w14:paraId="249F8F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tblHeader/>
          <w:jc w:val="center"/>
        </w:trPr>
        <w:tc>
          <w:tcPr>
            <w:tcW w:w="27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BEBEBE"/>
            <w:vAlign w:val="center"/>
          </w:tcPr>
          <w:p w14:paraId="74EB8EEC"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</w:rPr>
              <w:t>一级指标</w:t>
            </w:r>
          </w:p>
        </w:tc>
        <w:tc>
          <w:tcPr>
            <w:tcW w:w="1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EBEBE"/>
            <w:vAlign w:val="center"/>
          </w:tcPr>
          <w:p w14:paraId="43EC9D1B"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</w:rPr>
              <w:t>权重分</w:t>
            </w:r>
          </w:p>
        </w:tc>
        <w:tc>
          <w:tcPr>
            <w:tcW w:w="20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EBEBE"/>
            <w:vAlign w:val="center"/>
          </w:tcPr>
          <w:p w14:paraId="1FB6AD98"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</w:rPr>
              <w:t>得分</w:t>
            </w:r>
          </w:p>
        </w:tc>
        <w:tc>
          <w:tcPr>
            <w:tcW w:w="20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EBEBE"/>
            <w:vAlign w:val="center"/>
          </w:tcPr>
          <w:p w14:paraId="45630274">
            <w:pPr>
              <w:jc w:val="center"/>
              <w:rPr>
                <w:rFonts w:hint="eastAsia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得分率</w:t>
            </w:r>
          </w:p>
        </w:tc>
      </w:tr>
      <w:tr w14:paraId="33E44E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6B1F6D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项目决策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79F92A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01FC91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28B917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100%</w:t>
            </w:r>
          </w:p>
        </w:tc>
      </w:tr>
      <w:tr w14:paraId="306BA5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0A7FE2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项目过程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722DA7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F4A702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FDA3ED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100%</w:t>
            </w:r>
          </w:p>
        </w:tc>
      </w:tr>
      <w:tr w14:paraId="63AD0C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19043A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项目产出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266614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290EB0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68DE45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100%</w:t>
            </w:r>
          </w:p>
        </w:tc>
      </w:tr>
      <w:tr w14:paraId="7786A7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A1A3BB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项目效益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5736BF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208634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F82987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100%</w:t>
            </w:r>
          </w:p>
        </w:tc>
      </w:tr>
      <w:tr w14:paraId="375C1C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DDCA18"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</w:rPr>
              <w:t>合计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F34516"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07578F"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CDC5DE"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100%</w:t>
            </w:r>
          </w:p>
        </w:tc>
      </w:tr>
    </w:tbl>
    <w:p w14:paraId="58B38318">
      <w:pPr>
        <w:spacing w:line="560" w:lineRule="exact"/>
        <w:ind w:firstLine="640" w:firstLineChars="20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四、绩效评价指标分析</w:t>
      </w:r>
    </w:p>
    <w:p w14:paraId="7E6FC491">
      <w:pPr>
        <w:pStyle w:val="9"/>
        <w:spacing w:before="0" w:after="0" w:line="560" w:lineRule="exact"/>
        <w:ind w:firstLine="643" w:firstLineChars="200"/>
        <w:jc w:val="both"/>
        <w:rPr>
          <w:rFonts w:hint="default" w:ascii="Times New Roman" w:hAnsi="Times New Roman" w:eastAsia="楷体_GB2312" w:cs="Times New Roman"/>
        </w:rPr>
      </w:pPr>
      <w:r>
        <w:rPr>
          <w:rFonts w:hint="default" w:ascii="Times New Roman" w:hAnsi="Times New Roman" w:eastAsia="楷体_GB2312" w:cs="Times New Roman"/>
        </w:rPr>
        <w:t>（一）项目决策情况</w:t>
      </w:r>
    </w:p>
    <w:p w14:paraId="02D4CC61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项目决策类指标包括项目立项、绩效目标和资金投入三方面的内容，由6个三级指标构成，权重分值为20分，实际得分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分，得分率为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%。</w:t>
      </w:r>
    </w:p>
    <w:p w14:paraId="49F423B4">
      <w:pPr>
        <w:pStyle w:val="2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highlight w:val="none"/>
          <w:lang w:val="en-US" w:eastAsia="zh-CN"/>
        </w:rPr>
        <w:t>1.项目立项</w:t>
      </w:r>
    </w:p>
    <w:p w14:paraId="51015545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（1）立项依据充分性</w:t>
      </w:r>
    </w:p>
    <w:p w14:paraId="648B18E0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该项目立项符合国家相关法律法规及发展政策，符合行业规划要求，围绕本年度工作重点和工作计划制定经费预算，属于公共财政支持范围。本项目与部门内部其他相关项目不重复。部门发展规划及职能文件等归档完整。</w:t>
      </w:r>
    </w:p>
    <w:p w14:paraId="6219B8B9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（2）立项程序规范性</w:t>
      </w:r>
    </w:p>
    <w:p w14:paraId="5AF88C14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项目申请、设立过程符合相关要求，严格按照审批流程准备符合要求的文件、材料；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根据决算依据编制工作计划和经费预算，经过与部门项目分管领导沟通、筛选确定经费预算计划，确定最终预算方案。项目的审批文件、材料符合相关要求，项目事前经过必要的可行性研究、专家论证、风险评估、绩效评估、集体决策，保障了程序的规范性。</w:t>
      </w:r>
    </w:p>
    <w:p w14:paraId="2FAE8A8F">
      <w:pPr>
        <w:pStyle w:val="2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2.绩效目标</w:t>
      </w:r>
    </w:p>
    <w:p w14:paraId="322166F4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（1）绩效目标合理性</w:t>
      </w:r>
    </w:p>
    <w:p w14:paraId="56127CF3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/>
        </w:rPr>
        <w:t>年初结合实际工作内容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设定绩效目标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/>
        </w:rPr>
        <w:t>，绩效目标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依据充分，符合客观实际，能反映和考核项目绩效目标与项目实施的相符情况，依据绩效目标设定的绩效指标清晰、细化、可衡量，能反映和考核项目绩效目标的明细化情况。绩效目标表经过审核，绩效目标与实际工作内容具有相关性，预算与确定的项目投资额相匹配，对项目任务进行了详细分解。项目预期产出效益及效果符合正常的业绩水平。</w:t>
      </w:r>
    </w:p>
    <w:p w14:paraId="5D3339F2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（2）绩效指标明确性</w:t>
      </w:r>
    </w:p>
    <w:p w14:paraId="34EE16D9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项目设置了明确的预期产出效益和效果，将绩效目标细化分解为具体的绩效指标，绩效目标与项目目标任务数相对应，绩效目标设定的绩效指标清晰、细化、可衡量。</w:t>
      </w:r>
    </w:p>
    <w:p w14:paraId="613C24B9">
      <w:pPr>
        <w:pStyle w:val="2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3.资金投入</w:t>
      </w:r>
    </w:p>
    <w:p w14:paraId="43CA78D2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（1）预算编制科学性</w:t>
      </w:r>
    </w:p>
    <w:p w14:paraId="12C093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本项目的预算编制过程严谨、科学，充分体现了精细化管理的要求。预算编制之初，进行了全面的成本估算，确保项目所需的各项资源得到合理的预估与分配。同时，预算编制还紧密结合了项目的特点与实际情况，对不同阶段、不同任务的资金需求进行了详细的分析与计算。</w:t>
      </w:r>
    </w:p>
    <w:p w14:paraId="27C55CBF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green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在预算编制过程中，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还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注重了成本控制与效益最大化的原则。通过优化资源配置、提高资金使用效率等措施，确保项目在有限的预算内取得最大的经济效益与社会效益。此外，预算编制还充分考虑了风险因素，对可能出现的超支情况进行了预留与规划，以应对项目实施过程中的不确定性。</w:t>
      </w:r>
    </w:p>
    <w:p w14:paraId="44FF7360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（2）资金分配合理性</w:t>
      </w:r>
    </w:p>
    <w:p w14:paraId="585657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本项目的资金分配遵循了公平、公正、透明的原则，确保了项目资源的合理配置与高效利用。在资金分配过程中，我们充分考虑了项目的实际需求与目标，对不同阶段、不同任务的资金进行了科学的规划与安排。</w:t>
      </w:r>
    </w:p>
    <w:p w14:paraId="7E1D90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具体而言，资金分配紧密结合了项目的特点与实际情况，对关键领域与重要环节给予了重点支持。同时，我们也注重了资金的均衡分配，避免了资源浪费与资金闲置。此外，资金分配还充分考虑了风险因素，对可能出现的超支情况进行了预留与调整。</w:t>
      </w:r>
    </w:p>
    <w:p w14:paraId="3C21F0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综上所述，本项目的资金分配是合理的、科学的，既符合项目的实际情况，又满足了资金使用的效益最大化要求。资金分配的合理性为项目的成功实施提供了有力的保障，也为项目的绩效评价奠定了坚实的基础。</w:t>
      </w:r>
    </w:p>
    <w:p w14:paraId="2FC6A36E">
      <w:pPr>
        <w:pStyle w:val="9"/>
        <w:numPr>
          <w:ilvl w:val="0"/>
          <w:numId w:val="6"/>
        </w:numPr>
        <w:spacing w:before="0" w:after="0" w:line="560" w:lineRule="exact"/>
        <w:ind w:firstLine="643" w:firstLineChars="200"/>
        <w:jc w:val="both"/>
        <w:rPr>
          <w:rFonts w:hint="default" w:ascii="Times New Roman" w:hAnsi="Times New Roman" w:eastAsia="楷体" w:cs="Times New Roman"/>
        </w:rPr>
      </w:pPr>
      <w:r>
        <w:rPr>
          <w:rFonts w:hint="default" w:ascii="Times New Roman" w:hAnsi="Times New Roman" w:eastAsia="楷体" w:cs="Times New Roman"/>
        </w:rPr>
        <w:t>项目过程情况</w:t>
      </w:r>
    </w:p>
    <w:p w14:paraId="261128F3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项目过程类指标包括资金管理和组织实施两方面的内容，由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5个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三级指标构成，权重分值为20分，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实际得分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分，得分率为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%。</w:t>
      </w:r>
    </w:p>
    <w:p w14:paraId="67969461">
      <w:pPr>
        <w:pStyle w:val="2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1.资金管理</w:t>
      </w:r>
    </w:p>
    <w:p w14:paraId="1F872B89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（1）资金到位率</w:t>
      </w:r>
    </w:p>
    <w:p w14:paraId="51F20B23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本项目总投资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万元，财政资金及时足额到位，到位率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%，预算资金按计划进度执行。</w:t>
      </w:r>
    </w:p>
    <w:p w14:paraId="48E8BEE0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（2）预算执行率</w:t>
      </w:r>
    </w:p>
    <w:p w14:paraId="47BEF1F1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预算编制较为详细，项目资金支出总体能够按照预算执行，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预算资金支出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万元，预算执行率为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%。</w:t>
      </w:r>
    </w:p>
    <w:p w14:paraId="4437A30D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（3）资金使用合规性</w:t>
      </w:r>
    </w:p>
    <w:p w14:paraId="402528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本项目的资金使用严格遵循了国家相关法律法规与财务制度，确保了资金的合规性与安全性。在资金使用过程中，我们建立了完善的财务管理体系，对资金的流动进行了全程监控与记录。</w:t>
      </w:r>
    </w:p>
    <w:p w14:paraId="1EBD2B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具体而言，资金使用坚持了专款专用的原则，确保了项目资金不被挪用或截留。同时，我们还加强了对资金使用的审计与监督，定期对财务收支进行自查与自纠，及时发现并纠正可能存在的问题。此外，资金使用还充分考虑了成本效益原则，通过优化资源配置、提高资金使用效率等措施，确保了项目资金的最大化利用。</w:t>
      </w:r>
    </w:p>
    <w:p w14:paraId="743C85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综上所述，本项目的资金使用是合规的、安全的，既符合国家相关法律法规与财务制度的要求，又满足了项目实施的实际需要。资金使用的合规性为项目的成功实施提供了有力的保障，也为项目的绩效评价奠定了坚实的基础。</w:t>
      </w:r>
    </w:p>
    <w:p w14:paraId="6446FDF1">
      <w:pPr>
        <w:pStyle w:val="2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2.组织实施</w:t>
      </w:r>
    </w:p>
    <w:p w14:paraId="7D057214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（1）管理制度健全性</w:t>
      </w:r>
    </w:p>
    <w:p w14:paraId="01DEE7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本项目拥有一套完善、健全的管理制度体系，为项目的成功实施提供了坚实的制度保障。项目管理制度的制定紧密结合了项目的特点与实际情况，涵盖了项目的策划、组织、实施、监控与收尾等各个环节。</w:t>
      </w:r>
    </w:p>
    <w:p w14:paraId="6EADAC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在制度设计上，我们注重了制度的科学性与可操作性，确保制度能够切实指导项目的执行与管理。</w:t>
      </w:r>
    </w:p>
    <w:p w14:paraId="072F88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此外，项目管理制度还充分考虑了风险因素，制定了相应的风险应对措施与预案，以应对项目实施过程中可能出现的各种风险与挑战。管理制度的健全性不仅体现在制度的完善上，还体现在制度的执行与监督上。我们建立了有效的监督机制与反馈机制，对项目的实施情况进行定期检查与评估，及时发现并纠正可能存在的问题。</w:t>
      </w:r>
    </w:p>
    <w:p w14:paraId="50932664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综上所述，本项目的管理制度是健全的、有效的，既符合项目的实际情况，又满足了项目管理的需要。管理制度的健全性为项目的成功实施提供了有力的保障，也为项目的绩效评价奠定了坚实的基础。</w:t>
      </w:r>
    </w:p>
    <w:p w14:paraId="24A8C45D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（2）制度执行有效性</w:t>
      </w:r>
    </w:p>
    <w:p w14:paraId="39732A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本项目在执行过程中，管理制度得到了全面、有效的落实，为确保项目的顺利实施与目标实现提供了坚实的保障。项目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单位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重视制度执行的重要性，通过明确责任分工、制定详细执行计划、加强监督考核等措施，确保了各项管理制度能够得到有效执行。</w:t>
      </w:r>
    </w:p>
    <w:p w14:paraId="4459B6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在具体执行过程中，项目团队成员严格按照制度要求进行操作。同时，我们还建立了有效的沟通机制与反馈机制，确保项目信息的及时传递与问题的及时解决，进一步提高了制度执行的效率与效果。</w:t>
      </w:r>
    </w:p>
    <w:p w14:paraId="4BC261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综上所述，本项目的管理制度在执行过程中表现出了高度的有效性，既确保了项目的顺利进行，又实现了项目目标的有效达成。</w:t>
      </w:r>
    </w:p>
    <w:p w14:paraId="6A469DA7">
      <w:pPr>
        <w:pStyle w:val="10"/>
        <w:numPr>
          <w:ilvl w:val="0"/>
          <w:numId w:val="6"/>
        </w:numPr>
        <w:spacing w:line="560" w:lineRule="exact"/>
        <w:ind w:firstLine="643"/>
        <w:rPr>
          <w:rFonts w:hint="default" w:ascii="Times New Roman" w:hAnsi="Times New Roman" w:eastAsia="楷体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项目产出</w:t>
      </w: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情况</w:t>
      </w:r>
    </w:p>
    <w:p w14:paraId="21830244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项目产出类指标包括产出数量、产出质量、产出时效、产出成本四方面的内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容，由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7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个三级指标构成，权重分为40分，实际得分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40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分，得分率为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%。具体产出指标完成情况如下：</w:t>
      </w:r>
    </w:p>
    <w:p w14:paraId="2EEDBE91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begin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instrText xml:space="preserve"> = 1 \* GB3 </w:instrTex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separate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①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end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数量指标：</w:t>
      </w:r>
    </w:p>
    <w:p w14:paraId="7A07321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Style w:val="15"/>
          <w:rFonts w:hint="eastAsia" w:ascii="仿宋_GB2312" w:hAnsi="仿宋_GB2312" w:eastAsia="仿宋_GB2312" w:cs="仿宋_GB2312"/>
          <w:b w:val="0"/>
          <w:bCs w:val="0"/>
          <w:color w:val="auto"/>
          <w:spacing w:val="-4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指标1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：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禁牧和草畜平衡管理，执法监管次数，指标值：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&gt;=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1次，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实际完成值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：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=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1次，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指标完成率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%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，</w:t>
      </w:r>
      <w:r>
        <w:rPr>
          <w:rStyle w:val="15"/>
          <w:rFonts w:hint="eastAsia" w:ascii="仿宋_GB2312" w:hAnsi="仿宋_GB2312" w:eastAsia="仿宋_GB2312" w:cs="仿宋_GB2312"/>
          <w:b w:val="0"/>
          <w:bCs w:val="0"/>
          <w:color w:val="auto"/>
          <w:spacing w:val="-4"/>
          <w:kern w:val="2"/>
          <w:sz w:val="32"/>
          <w:szCs w:val="32"/>
          <w:highlight w:val="none"/>
          <w:lang w:val="en-US" w:eastAsia="zh-CN" w:bidi="ar-SA"/>
        </w:rPr>
        <w:t>无偏差。</w:t>
      </w:r>
    </w:p>
    <w:p w14:paraId="4728881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Style w:val="15"/>
          <w:rFonts w:hint="eastAsia" w:ascii="仿宋_GB2312" w:hAnsi="仿宋_GB2312" w:eastAsia="仿宋_GB2312" w:cs="仿宋_GB2312"/>
          <w:b w:val="0"/>
          <w:bCs w:val="0"/>
          <w:color w:val="auto"/>
          <w:spacing w:val="-4"/>
          <w:kern w:val="2"/>
          <w:sz w:val="32"/>
          <w:szCs w:val="32"/>
          <w:highlight w:val="none"/>
          <w:lang w:val="en-US" w:eastAsia="zh-CN" w:bidi="ar-SA"/>
        </w:rPr>
      </w:pPr>
      <w:r>
        <w:rPr>
          <w:rStyle w:val="15"/>
          <w:rFonts w:hint="eastAsia" w:ascii="仿宋_GB2312" w:hAnsi="仿宋_GB2312" w:eastAsia="仿宋_GB2312" w:cs="仿宋_GB2312"/>
          <w:b w:val="0"/>
          <w:color w:val="auto"/>
          <w:sz w:val="32"/>
          <w:szCs w:val="32"/>
          <w:highlight w:val="none"/>
          <w:lang w:val="en-US" w:eastAsia="zh-CN"/>
        </w:rPr>
        <w:t>指标2：征占用草现场查验次数，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指标值：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&gt;=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1次，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实际完成值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：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=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1次，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指标完成率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%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，，</w:t>
      </w:r>
      <w:r>
        <w:rPr>
          <w:rStyle w:val="15"/>
          <w:rFonts w:hint="eastAsia" w:ascii="仿宋_GB2312" w:hAnsi="仿宋_GB2312" w:eastAsia="仿宋_GB2312" w:cs="仿宋_GB2312"/>
          <w:b w:val="0"/>
          <w:bCs w:val="0"/>
          <w:color w:val="auto"/>
          <w:spacing w:val="-4"/>
          <w:kern w:val="2"/>
          <w:sz w:val="32"/>
          <w:szCs w:val="32"/>
          <w:highlight w:val="none"/>
          <w:lang w:val="en-US" w:eastAsia="zh-CN" w:bidi="ar-SA"/>
        </w:rPr>
        <w:t>无偏差。</w:t>
      </w:r>
    </w:p>
    <w:p w14:paraId="1C6D5E5A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begin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instrText xml:space="preserve"> = 2 \* GB3 </w:instrTex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separate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②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end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质量指标：</w:t>
      </w:r>
    </w:p>
    <w:p w14:paraId="2992B11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Style w:val="15"/>
          <w:rFonts w:hint="default" w:ascii="仿宋_GB2312" w:hAnsi="仿宋_GB2312" w:eastAsia="仿宋_GB2312" w:cs="仿宋_GB2312"/>
          <w:b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指标1：</w:t>
      </w:r>
      <w:r>
        <w:rPr>
          <w:rStyle w:val="15"/>
          <w:rFonts w:hint="eastAsia" w:ascii="仿宋_GB2312" w:hAnsi="仿宋_GB2312" w:eastAsia="仿宋_GB2312" w:cs="仿宋_GB2312"/>
          <w:b w:val="0"/>
          <w:bCs w:val="0"/>
          <w:color w:val="auto"/>
          <w:spacing w:val="-4"/>
          <w:kern w:val="2"/>
          <w:sz w:val="32"/>
          <w:szCs w:val="32"/>
          <w:highlight w:val="none"/>
          <w:lang w:val="en-US" w:eastAsia="zh-CN" w:bidi="ar-SA"/>
        </w:rPr>
        <w:t>任务按时完成率，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指标值：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&gt;=90%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实际完成值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：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=90%，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指标完成率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%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，</w:t>
      </w:r>
      <w:r>
        <w:rPr>
          <w:rStyle w:val="15"/>
          <w:rFonts w:hint="eastAsia" w:ascii="仿宋_GB2312" w:hAnsi="仿宋_GB2312" w:eastAsia="仿宋_GB2312" w:cs="仿宋_GB2312"/>
          <w:b w:val="0"/>
          <w:bCs w:val="0"/>
          <w:color w:val="auto"/>
          <w:spacing w:val="-4"/>
          <w:kern w:val="2"/>
          <w:sz w:val="32"/>
          <w:szCs w:val="32"/>
          <w:highlight w:val="none"/>
          <w:lang w:val="en-US" w:eastAsia="zh-CN" w:bidi="ar-SA"/>
        </w:rPr>
        <w:t>无偏差。</w:t>
      </w:r>
    </w:p>
    <w:p w14:paraId="13B8ACC7">
      <w:pPr>
        <w:shd w:val="clear" w:color="auto" w:fill="auto"/>
        <w:spacing w:line="600" w:lineRule="exact"/>
        <w:ind w:firstLine="320" w:firstLineChars="1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begin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instrText xml:space="preserve"> = 3 \* GB3 </w:instrTex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separate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③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end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时效指标：</w:t>
      </w:r>
    </w:p>
    <w:p w14:paraId="4A5F0B6B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Style w:val="15"/>
          <w:rFonts w:hint="eastAsia" w:ascii="仿宋_GB2312" w:hAnsi="仿宋_GB2312" w:eastAsia="仿宋_GB2312" w:cs="仿宋_GB2312"/>
          <w:b w:val="0"/>
          <w:bCs w:val="0"/>
          <w:color w:val="auto"/>
          <w:spacing w:val="-4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指标1：</w:t>
      </w:r>
      <w:r>
        <w:rPr>
          <w:rStyle w:val="15"/>
          <w:rFonts w:hint="eastAsia" w:ascii="仿宋_GB2312" w:hAnsi="仿宋_GB2312" w:eastAsia="仿宋_GB2312" w:cs="仿宋_GB2312"/>
          <w:b w:val="0"/>
          <w:color w:val="auto"/>
          <w:sz w:val="32"/>
          <w:szCs w:val="32"/>
          <w:highlight w:val="none"/>
          <w:lang w:val="en-US" w:eastAsia="zh-CN"/>
        </w:rPr>
        <w:t>禁牧和草畜平衡任务合格率，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指标值：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=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%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实际完成值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：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100%，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指标完成率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%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，</w:t>
      </w:r>
      <w:r>
        <w:rPr>
          <w:rStyle w:val="15"/>
          <w:rFonts w:hint="eastAsia" w:ascii="仿宋_GB2312" w:hAnsi="仿宋_GB2312" w:eastAsia="仿宋_GB2312" w:cs="仿宋_GB2312"/>
          <w:b w:val="0"/>
          <w:bCs w:val="0"/>
          <w:color w:val="auto"/>
          <w:spacing w:val="-4"/>
          <w:kern w:val="2"/>
          <w:sz w:val="32"/>
          <w:szCs w:val="32"/>
          <w:highlight w:val="none"/>
          <w:lang w:val="en-US" w:eastAsia="zh-CN" w:bidi="ar-SA"/>
        </w:rPr>
        <w:t>无偏差</w:t>
      </w:r>
      <w:r>
        <w:rPr>
          <w:rStyle w:val="15"/>
          <w:rFonts w:hint="eastAsia" w:ascii="仿宋_GB2312" w:hAnsi="仿宋_GB2312" w:eastAsia="仿宋_GB2312" w:cs="仿宋_GB2312"/>
          <w:b w:val="0"/>
          <w:color w:val="auto"/>
          <w:sz w:val="32"/>
          <w:szCs w:val="32"/>
          <w:highlight w:val="none"/>
          <w:lang w:val="en-US" w:eastAsia="zh-CN"/>
        </w:rPr>
        <w:t>。</w:t>
      </w:r>
    </w:p>
    <w:p w14:paraId="6EF71C01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24" w:firstLineChars="200"/>
        <w:textAlignment w:val="auto"/>
        <w:rPr>
          <w:rStyle w:val="15"/>
          <w:rFonts w:hint="eastAsia" w:ascii="仿宋_GB2312" w:hAnsi="仿宋_GB2312" w:eastAsia="仿宋_GB2312" w:cs="仿宋_GB2312"/>
          <w:b w:val="0"/>
          <w:color w:val="auto"/>
          <w:sz w:val="32"/>
          <w:szCs w:val="32"/>
          <w:highlight w:val="none"/>
          <w:lang w:val="en-US" w:eastAsia="zh-CN"/>
        </w:rPr>
      </w:pPr>
      <w:r>
        <w:rPr>
          <w:rStyle w:val="15"/>
          <w:rFonts w:hint="eastAsia" w:ascii="仿宋_GB2312" w:hAnsi="仿宋_GB2312" w:eastAsia="仿宋_GB2312" w:cs="仿宋_GB2312"/>
          <w:b w:val="0"/>
          <w:bCs w:val="0"/>
          <w:color w:val="auto"/>
          <w:spacing w:val="-4"/>
          <w:kern w:val="2"/>
          <w:sz w:val="32"/>
          <w:szCs w:val="32"/>
          <w:highlight w:val="none"/>
          <w:lang w:val="en-US" w:eastAsia="zh-CN" w:bidi="ar-SA"/>
        </w:rPr>
        <w:t>指标2：项目完成时间，</w:t>
      </w:r>
      <w:r>
        <w:rPr>
          <w:rStyle w:val="15"/>
          <w:rFonts w:hint="default" w:ascii="仿宋_GB2312" w:hAnsi="仿宋_GB2312" w:eastAsia="仿宋_GB2312" w:cs="仿宋_GB2312"/>
          <w:b w:val="0"/>
          <w:bCs w:val="0"/>
          <w:color w:val="auto"/>
          <w:spacing w:val="-4"/>
          <w:kern w:val="2"/>
          <w:sz w:val="32"/>
          <w:szCs w:val="32"/>
          <w:highlight w:val="none"/>
          <w:lang w:val="en-US" w:eastAsia="zh-CN" w:bidi="ar-SA"/>
        </w:rPr>
        <w:t>指标值：</w:t>
      </w:r>
      <w:r>
        <w:rPr>
          <w:rStyle w:val="15"/>
          <w:rFonts w:hint="eastAsia" w:ascii="仿宋_GB2312" w:hAnsi="仿宋_GB2312" w:eastAsia="仿宋_GB2312" w:cs="仿宋_GB2312"/>
          <w:b w:val="0"/>
          <w:bCs w:val="0"/>
          <w:color w:val="auto"/>
          <w:spacing w:val="-4"/>
          <w:kern w:val="2"/>
          <w:sz w:val="32"/>
          <w:szCs w:val="32"/>
          <w:highlight w:val="none"/>
          <w:lang w:val="en-US" w:eastAsia="zh-CN" w:bidi="ar-SA"/>
        </w:rPr>
        <w:t>2024年12月25日，</w:t>
      </w:r>
      <w:r>
        <w:rPr>
          <w:rStyle w:val="15"/>
          <w:rFonts w:hint="default" w:ascii="仿宋_GB2312" w:hAnsi="仿宋_GB2312" w:eastAsia="仿宋_GB2312" w:cs="仿宋_GB2312"/>
          <w:b w:val="0"/>
          <w:bCs w:val="0"/>
          <w:color w:val="auto"/>
          <w:spacing w:val="-4"/>
          <w:kern w:val="2"/>
          <w:sz w:val="32"/>
          <w:szCs w:val="32"/>
          <w:highlight w:val="none"/>
          <w:lang w:val="en-US" w:eastAsia="zh-CN" w:bidi="ar-SA"/>
        </w:rPr>
        <w:t>实际完成值</w:t>
      </w:r>
      <w:r>
        <w:rPr>
          <w:rStyle w:val="15"/>
          <w:rFonts w:hint="eastAsia" w:ascii="仿宋_GB2312" w:hAnsi="仿宋_GB2312" w:eastAsia="仿宋_GB2312" w:cs="仿宋_GB2312"/>
          <w:b w:val="0"/>
          <w:bCs w:val="0"/>
          <w:color w:val="auto"/>
          <w:spacing w:val="-4"/>
          <w:kern w:val="2"/>
          <w:sz w:val="32"/>
          <w:szCs w:val="32"/>
          <w:highlight w:val="none"/>
          <w:lang w:val="en-US" w:eastAsia="zh-CN" w:bidi="ar-SA"/>
        </w:rPr>
        <w:t>：＝2024年12月25日，</w:t>
      </w:r>
      <w:r>
        <w:rPr>
          <w:rStyle w:val="15"/>
          <w:rFonts w:hint="default" w:ascii="仿宋_GB2312" w:hAnsi="仿宋_GB2312" w:eastAsia="仿宋_GB2312" w:cs="仿宋_GB2312"/>
          <w:b w:val="0"/>
          <w:bCs w:val="0"/>
          <w:color w:val="auto"/>
          <w:spacing w:val="-4"/>
          <w:kern w:val="2"/>
          <w:sz w:val="32"/>
          <w:szCs w:val="32"/>
          <w:highlight w:val="none"/>
          <w:lang w:val="en-US" w:eastAsia="zh-CN" w:bidi="ar-SA"/>
        </w:rPr>
        <w:t>指标完成率</w:t>
      </w:r>
      <w:r>
        <w:rPr>
          <w:rStyle w:val="15"/>
          <w:rFonts w:hint="eastAsia" w:ascii="仿宋_GB2312" w:hAnsi="仿宋_GB2312" w:eastAsia="仿宋_GB2312" w:cs="仿宋_GB2312"/>
          <w:b w:val="0"/>
          <w:bCs w:val="0"/>
          <w:color w:val="auto"/>
          <w:spacing w:val="-4"/>
          <w:kern w:val="2"/>
          <w:sz w:val="32"/>
          <w:szCs w:val="32"/>
          <w:highlight w:val="none"/>
          <w:lang w:val="en-US" w:eastAsia="zh-CN" w:bidi="ar-SA"/>
        </w:rPr>
        <w:t>100</w:t>
      </w:r>
      <w:r>
        <w:rPr>
          <w:rStyle w:val="15"/>
          <w:rFonts w:hint="default" w:ascii="仿宋_GB2312" w:hAnsi="仿宋_GB2312" w:eastAsia="仿宋_GB2312" w:cs="仿宋_GB2312"/>
          <w:b w:val="0"/>
          <w:bCs w:val="0"/>
          <w:color w:val="auto"/>
          <w:spacing w:val="-4"/>
          <w:kern w:val="2"/>
          <w:sz w:val="32"/>
          <w:szCs w:val="32"/>
          <w:highlight w:val="none"/>
          <w:lang w:val="en-US" w:eastAsia="zh-CN" w:bidi="ar-SA"/>
        </w:rPr>
        <w:t>%，</w:t>
      </w:r>
      <w:r>
        <w:rPr>
          <w:rStyle w:val="15"/>
          <w:rFonts w:hint="eastAsia" w:ascii="仿宋_GB2312" w:hAnsi="仿宋_GB2312" w:eastAsia="仿宋_GB2312" w:cs="仿宋_GB2312"/>
          <w:b w:val="0"/>
          <w:bCs w:val="0"/>
          <w:color w:val="auto"/>
          <w:spacing w:val="-4"/>
          <w:kern w:val="2"/>
          <w:sz w:val="32"/>
          <w:szCs w:val="32"/>
          <w:highlight w:val="none"/>
          <w:lang w:val="en-US" w:eastAsia="zh-CN" w:bidi="ar-SA"/>
        </w:rPr>
        <w:t>无偏差</w:t>
      </w:r>
      <w:r>
        <w:rPr>
          <w:rStyle w:val="15"/>
          <w:rFonts w:hint="eastAsia" w:ascii="仿宋_GB2312" w:hAnsi="仿宋_GB2312" w:eastAsia="仿宋_GB2312" w:cs="仿宋_GB2312"/>
          <w:b w:val="0"/>
          <w:color w:val="auto"/>
          <w:sz w:val="32"/>
          <w:szCs w:val="32"/>
          <w:highlight w:val="none"/>
          <w:lang w:val="en-US" w:eastAsia="zh-CN"/>
        </w:rPr>
        <w:t>。</w:t>
      </w:r>
    </w:p>
    <w:p w14:paraId="44CD7D2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begin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instrText xml:space="preserve"> = 4 \* GB3 </w:instrTex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separate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④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end"/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经济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成本指标：</w:t>
      </w:r>
    </w:p>
    <w:p w14:paraId="7067EA1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Style w:val="15"/>
          <w:rFonts w:hint="eastAsia" w:ascii="仿宋_GB2312" w:hAnsi="仿宋_GB2312" w:eastAsia="仿宋_GB2312" w:cs="仿宋_GB2312"/>
          <w:b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指标1：</w:t>
      </w:r>
      <w:r>
        <w:rPr>
          <w:rStyle w:val="15"/>
          <w:rFonts w:hint="eastAsia" w:ascii="仿宋_GB2312" w:hAnsi="仿宋_GB2312" w:eastAsia="仿宋_GB2312" w:cs="仿宋_GB2312"/>
          <w:b w:val="0"/>
          <w:color w:val="auto"/>
          <w:sz w:val="32"/>
          <w:szCs w:val="32"/>
          <w:highlight w:val="none"/>
          <w:lang w:val="en-US" w:eastAsia="zh-CN"/>
        </w:rPr>
        <w:t>禁牧和草畜平衡管理成本，</w:t>
      </w:r>
      <w:r>
        <w:rPr>
          <w:rStyle w:val="15"/>
          <w:rFonts w:hint="default" w:ascii="仿宋_GB2312" w:hAnsi="仿宋_GB2312" w:eastAsia="仿宋_GB2312" w:cs="仿宋_GB2312"/>
          <w:b w:val="0"/>
          <w:color w:val="auto"/>
          <w:sz w:val="32"/>
          <w:szCs w:val="32"/>
          <w:highlight w:val="none"/>
          <w:lang w:val="en-US" w:eastAsia="zh-CN"/>
        </w:rPr>
        <w:t>指标值：</w:t>
      </w:r>
      <w:r>
        <w:rPr>
          <w:rStyle w:val="15"/>
          <w:rFonts w:hint="eastAsia" w:ascii="仿宋_GB2312" w:hAnsi="仿宋_GB2312" w:eastAsia="仿宋_GB2312" w:cs="仿宋_GB2312"/>
          <w:b w:val="0"/>
          <w:color w:val="auto"/>
          <w:sz w:val="32"/>
          <w:szCs w:val="32"/>
          <w:highlight w:val="none"/>
          <w:lang w:val="en-US" w:eastAsia="zh-CN"/>
        </w:rPr>
        <w:t>&lt;=2.5万元，</w:t>
      </w:r>
      <w:r>
        <w:rPr>
          <w:rStyle w:val="15"/>
          <w:rFonts w:hint="default" w:ascii="仿宋_GB2312" w:hAnsi="仿宋_GB2312" w:eastAsia="仿宋_GB2312" w:cs="仿宋_GB2312"/>
          <w:b w:val="0"/>
          <w:color w:val="auto"/>
          <w:sz w:val="32"/>
          <w:szCs w:val="32"/>
          <w:highlight w:val="none"/>
          <w:lang w:val="en-US" w:eastAsia="zh-CN"/>
        </w:rPr>
        <w:t>实际完成值</w:t>
      </w:r>
      <w:r>
        <w:rPr>
          <w:rStyle w:val="15"/>
          <w:rFonts w:hint="eastAsia" w:ascii="仿宋_GB2312" w:hAnsi="仿宋_GB2312" w:eastAsia="仿宋_GB2312" w:cs="仿宋_GB2312"/>
          <w:b w:val="0"/>
          <w:color w:val="auto"/>
          <w:sz w:val="32"/>
          <w:szCs w:val="32"/>
          <w:highlight w:val="none"/>
          <w:lang w:val="en-US" w:eastAsia="zh-CN"/>
        </w:rPr>
        <w:t>：=2.5万元，</w:t>
      </w:r>
      <w:r>
        <w:rPr>
          <w:rStyle w:val="15"/>
          <w:rFonts w:hint="default" w:ascii="仿宋_GB2312" w:hAnsi="仿宋_GB2312" w:eastAsia="仿宋_GB2312" w:cs="仿宋_GB2312"/>
          <w:b w:val="0"/>
          <w:color w:val="auto"/>
          <w:sz w:val="32"/>
          <w:szCs w:val="32"/>
          <w:highlight w:val="none"/>
          <w:lang w:val="en-US" w:eastAsia="zh-CN"/>
        </w:rPr>
        <w:t>指标完成率</w:t>
      </w:r>
      <w:r>
        <w:rPr>
          <w:rStyle w:val="15"/>
          <w:rFonts w:hint="eastAsia" w:ascii="仿宋_GB2312" w:hAnsi="仿宋_GB2312" w:eastAsia="仿宋_GB2312" w:cs="仿宋_GB2312"/>
          <w:b w:val="0"/>
          <w:color w:val="auto"/>
          <w:sz w:val="32"/>
          <w:szCs w:val="32"/>
          <w:highlight w:val="none"/>
          <w:lang w:val="en-US" w:eastAsia="zh-CN"/>
        </w:rPr>
        <w:t>100</w:t>
      </w:r>
      <w:r>
        <w:rPr>
          <w:rStyle w:val="15"/>
          <w:rFonts w:hint="default" w:ascii="仿宋_GB2312" w:hAnsi="仿宋_GB2312" w:eastAsia="仿宋_GB2312" w:cs="仿宋_GB2312"/>
          <w:b w:val="0"/>
          <w:color w:val="auto"/>
          <w:sz w:val="32"/>
          <w:szCs w:val="32"/>
          <w:highlight w:val="none"/>
          <w:lang w:val="en-US" w:eastAsia="zh-CN"/>
        </w:rPr>
        <w:t>%，</w:t>
      </w:r>
      <w:r>
        <w:rPr>
          <w:rStyle w:val="15"/>
          <w:rFonts w:hint="eastAsia" w:ascii="仿宋_GB2312" w:hAnsi="仿宋_GB2312" w:eastAsia="仿宋_GB2312" w:cs="仿宋_GB2312"/>
          <w:b w:val="0"/>
          <w:bCs w:val="0"/>
          <w:color w:val="auto"/>
          <w:spacing w:val="-4"/>
          <w:kern w:val="2"/>
          <w:sz w:val="32"/>
          <w:szCs w:val="32"/>
          <w:highlight w:val="none"/>
          <w:lang w:val="en-US" w:eastAsia="zh-CN" w:bidi="ar-SA"/>
        </w:rPr>
        <w:t>无偏差</w:t>
      </w:r>
      <w:r>
        <w:rPr>
          <w:rStyle w:val="15"/>
          <w:rFonts w:hint="eastAsia" w:ascii="仿宋_GB2312" w:hAnsi="仿宋_GB2312" w:eastAsia="仿宋_GB2312" w:cs="仿宋_GB2312"/>
          <w:b w:val="0"/>
          <w:color w:val="auto"/>
          <w:sz w:val="32"/>
          <w:szCs w:val="32"/>
          <w:highlight w:val="none"/>
          <w:lang w:val="en-US" w:eastAsia="zh-CN"/>
        </w:rPr>
        <w:t>。</w:t>
      </w:r>
    </w:p>
    <w:p w14:paraId="39E9509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24" w:firstLineChars="200"/>
        <w:textAlignment w:val="auto"/>
        <w:rPr>
          <w:rStyle w:val="15"/>
          <w:rFonts w:hint="eastAsia" w:ascii="仿宋_GB2312" w:hAnsi="仿宋_GB2312" w:eastAsia="仿宋_GB2312" w:cs="仿宋_GB2312"/>
          <w:b w:val="0"/>
          <w:color w:val="auto"/>
          <w:sz w:val="32"/>
          <w:szCs w:val="32"/>
          <w:highlight w:val="none"/>
          <w:lang w:val="en-US" w:eastAsia="zh-CN"/>
        </w:rPr>
      </w:pPr>
      <w:r>
        <w:rPr>
          <w:rStyle w:val="15"/>
          <w:rFonts w:hint="eastAsia" w:ascii="仿宋_GB2312" w:hAnsi="仿宋_GB2312" w:eastAsia="仿宋_GB2312" w:cs="仿宋_GB2312"/>
          <w:b w:val="0"/>
          <w:bCs w:val="0"/>
          <w:color w:val="auto"/>
          <w:spacing w:val="-4"/>
          <w:kern w:val="2"/>
          <w:sz w:val="32"/>
          <w:szCs w:val="32"/>
          <w:highlight w:val="none"/>
          <w:lang w:val="en-US" w:eastAsia="zh-CN" w:bidi="ar-SA"/>
        </w:rPr>
        <w:t>指标2：征占用草现场查验成本，</w:t>
      </w:r>
      <w:r>
        <w:rPr>
          <w:rStyle w:val="15"/>
          <w:rFonts w:hint="default" w:ascii="仿宋_GB2312" w:hAnsi="仿宋_GB2312" w:eastAsia="仿宋_GB2312" w:cs="仿宋_GB2312"/>
          <w:b w:val="0"/>
          <w:bCs w:val="0"/>
          <w:color w:val="auto"/>
          <w:spacing w:val="-4"/>
          <w:kern w:val="2"/>
          <w:sz w:val="32"/>
          <w:szCs w:val="32"/>
          <w:highlight w:val="none"/>
          <w:lang w:val="en-US" w:eastAsia="zh-CN" w:bidi="ar-SA"/>
        </w:rPr>
        <w:t>指</w:t>
      </w:r>
      <w:r>
        <w:rPr>
          <w:rStyle w:val="15"/>
          <w:rFonts w:hint="default" w:ascii="仿宋_GB2312" w:hAnsi="仿宋_GB2312" w:eastAsia="仿宋_GB2312" w:cs="仿宋_GB2312"/>
          <w:b w:val="0"/>
          <w:color w:val="auto"/>
          <w:sz w:val="32"/>
          <w:szCs w:val="32"/>
          <w:highlight w:val="none"/>
          <w:lang w:val="en-US" w:eastAsia="zh-CN"/>
        </w:rPr>
        <w:t>标值：</w:t>
      </w:r>
      <w:r>
        <w:rPr>
          <w:rStyle w:val="15"/>
          <w:rFonts w:hint="eastAsia" w:ascii="仿宋_GB2312" w:hAnsi="仿宋_GB2312" w:eastAsia="仿宋_GB2312" w:cs="仿宋_GB2312"/>
          <w:b w:val="0"/>
          <w:color w:val="auto"/>
          <w:sz w:val="32"/>
          <w:szCs w:val="32"/>
          <w:highlight w:val="none"/>
          <w:lang w:val="en-US" w:eastAsia="zh-CN"/>
        </w:rPr>
        <w:t>&lt;=2.5万元，</w:t>
      </w:r>
      <w:r>
        <w:rPr>
          <w:rStyle w:val="15"/>
          <w:rFonts w:hint="default" w:ascii="仿宋_GB2312" w:hAnsi="仿宋_GB2312" w:eastAsia="仿宋_GB2312" w:cs="仿宋_GB2312"/>
          <w:b w:val="0"/>
          <w:color w:val="auto"/>
          <w:sz w:val="32"/>
          <w:szCs w:val="32"/>
          <w:highlight w:val="none"/>
          <w:lang w:val="en-US" w:eastAsia="zh-CN"/>
        </w:rPr>
        <w:t>实际完成值</w:t>
      </w:r>
      <w:r>
        <w:rPr>
          <w:rStyle w:val="15"/>
          <w:rFonts w:hint="eastAsia" w:ascii="仿宋_GB2312" w:hAnsi="仿宋_GB2312" w:eastAsia="仿宋_GB2312" w:cs="仿宋_GB2312"/>
          <w:b w:val="0"/>
          <w:color w:val="auto"/>
          <w:sz w:val="32"/>
          <w:szCs w:val="32"/>
          <w:highlight w:val="none"/>
          <w:lang w:val="en-US" w:eastAsia="zh-CN"/>
        </w:rPr>
        <w:t>：=2.5万元，</w:t>
      </w:r>
      <w:r>
        <w:rPr>
          <w:rStyle w:val="15"/>
          <w:rFonts w:hint="default" w:ascii="仿宋_GB2312" w:hAnsi="仿宋_GB2312" w:eastAsia="仿宋_GB2312" w:cs="仿宋_GB2312"/>
          <w:b w:val="0"/>
          <w:color w:val="auto"/>
          <w:sz w:val="32"/>
          <w:szCs w:val="32"/>
          <w:highlight w:val="none"/>
          <w:lang w:val="en-US" w:eastAsia="zh-CN"/>
        </w:rPr>
        <w:t>指标完成率</w:t>
      </w:r>
      <w:r>
        <w:rPr>
          <w:rStyle w:val="15"/>
          <w:rFonts w:hint="eastAsia" w:ascii="仿宋_GB2312" w:hAnsi="仿宋_GB2312" w:eastAsia="仿宋_GB2312" w:cs="仿宋_GB2312"/>
          <w:b w:val="0"/>
          <w:color w:val="auto"/>
          <w:sz w:val="32"/>
          <w:szCs w:val="32"/>
          <w:highlight w:val="none"/>
          <w:lang w:val="en-US" w:eastAsia="zh-CN"/>
        </w:rPr>
        <w:t>100</w:t>
      </w:r>
      <w:r>
        <w:rPr>
          <w:rStyle w:val="15"/>
          <w:rFonts w:hint="default" w:ascii="仿宋_GB2312" w:hAnsi="仿宋_GB2312" w:eastAsia="仿宋_GB2312" w:cs="仿宋_GB2312"/>
          <w:b w:val="0"/>
          <w:color w:val="auto"/>
          <w:sz w:val="32"/>
          <w:szCs w:val="32"/>
          <w:highlight w:val="none"/>
          <w:lang w:val="en-US" w:eastAsia="zh-CN"/>
        </w:rPr>
        <w:t>%，</w:t>
      </w:r>
      <w:r>
        <w:rPr>
          <w:rStyle w:val="15"/>
          <w:rFonts w:hint="eastAsia" w:ascii="仿宋_GB2312" w:hAnsi="仿宋_GB2312" w:eastAsia="仿宋_GB2312" w:cs="仿宋_GB2312"/>
          <w:b w:val="0"/>
          <w:bCs w:val="0"/>
          <w:color w:val="auto"/>
          <w:spacing w:val="-4"/>
          <w:kern w:val="2"/>
          <w:sz w:val="32"/>
          <w:szCs w:val="32"/>
          <w:highlight w:val="none"/>
          <w:lang w:val="en-US" w:eastAsia="zh-CN" w:bidi="ar-SA"/>
        </w:rPr>
        <w:t>无偏差</w:t>
      </w:r>
      <w:r>
        <w:rPr>
          <w:rStyle w:val="15"/>
          <w:rFonts w:hint="eastAsia" w:ascii="仿宋_GB2312" w:hAnsi="仿宋_GB2312" w:eastAsia="仿宋_GB2312" w:cs="仿宋_GB2312"/>
          <w:b w:val="0"/>
          <w:color w:val="auto"/>
          <w:sz w:val="32"/>
          <w:szCs w:val="32"/>
          <w:highlight w:val="none"/>
          <w:lang w:val="en-US" w:eastAsia="zh-CN"/>
        </w:rPr>
        <w:t>。</w:t>
      </w:r>
    </w:p>
    <w:p w14:paraId="7078B493">
      <w:pPr>
        <w:pStyle w:val="10"/>
        <w:numPr>
          <w:ilvl w:val="0"/>
          <w:numId w:val="0"/>
        </w:numPr>
        <w:spacing w:line="560" w:lineRule="exact"/>
        <w:ind w:firstLine="643" w:firstLineChars="200"/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</w:pPr>
      <w:r>
        <w:rPr>
          <w:rFonts w:hint="eastAsia" w:eastAsia="楷体_GB2312" w:cs="Times New Roman"/>
          <w:b/>
          <w:bCs/>
          <w:sz w:val="32"/>
          <w:szCs w:val="32"/>
          <w:lang w:val="en-US" w:eastAsia="zh-CN"/>
        </w:rPr>
        <w:t>（4）</w:t>
      </w: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项目效益情况</w:t>
      </w:r>
    </w:p>
    <w:p w14:paraId="2D360F54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项目效益类指标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包括项目实施效益和满意度两方面的内容，由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个三级指标构成，权重分为20分，实际得分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分，得分率为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%。具体效益指标及满意度指标完成情况如下：</w:t>
      </w:r>
    </w:p>
    <w:p w14:paraId="30BF0282">
      <w:pPr>
        <w:numPr>
          <w:ilvl w:val="0"/>
          <w:numId w:val="7"/>
        </w:num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实施效益</w:t>
      </w:r>
    </w:p>
    <w:p w14:paraId="164E7DC0">
      <w:pPr>
        <w:numPr>
          <w:ilvl w:val="0"/>
          <w:numId w:val="0"/>
        </w:num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宋体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①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经济效益指标：草原执法监管报告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，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指标值：&lt;</w:t>
      </w:r>
      <w:r>
        <w:rPr>
          <w:rStyle w:val="15"/>
          <w:rFonts w:hint="eastAsia" w:ascii="仿宋_GB2312" w:hAnsi="仿宋_GB2312" w:eastAsia="仿宋_GB2312" w:cs="仿宋_GB2312"/>
          <w:b w:val="0"/>
          <w:color w:val="auto"/>
          <w:sz w:val="32"/>
          <w:szCs w:val="32"/>
          <w:highlight w:val="none"/>
          <w:lang w:val="en-US" w:eastAsia="zh-CN"/>
        </w:rPr>
        <w:t>=1份，自评完成值：＝1份，完成率；100%，偏差率：0%。</w:t>
      </w:r>
    </w:p>
    <w:p w14:paraId="45BC68E4">
      <w:pPr>
        <w:shd w:val="clear" w:color="auto" w:fill="auto"/>
        <w:spacing w:line="600" w:lineRule="exact"/>
        <w:ind w:firstLine="640" w:firstLineChars="200"/>
        <w:outlineLvl w:val="0"/>
        <w:rPr>
          <w:rStyle w:val="15"/>
          <w:rFonts w:hint="eastAsia" w:ascii="仿宋_GB2312" w:hAnsi="仿宋_GB2312" w:eastAsia="仿宋_GB2312" w:cs="仿宋_GB2312"/>
          <w:b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②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社会效益指标：公共对草原生态保护的认识关注度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，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指标值：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有效提高</w:t>
      </w:r>
      <w:r>
        <w:rPr>
          <w:rStyle w:val="15"/>
          <w:rFonts w:hint="eastAsia" w:ascii="仿宋_GB2312" w:hAnsi="仿宋_GB2312" w:eastAsia="仿宋_GB2312" w:cs="仿宋_GB2312"/>
          <w:b w:val="0"/>
          <w:color w:val="auto"/>
          <w:sz w:val="32"/>
          <w:szCs w:val="32"/>
          <w:highlight w:val="none"/>
          <w:lang w:val="en-US" w:eastAsia="zh-CN"/>
        </w:rPr>
        <w:t>，自评完成值：有效提高，完成率；100%，偏差率：0%。</w:t>
      </w:r>
    </w:p>
    <w:p w14:paraId="73E104DD">
      <w:pPr>
        <w:shd w:val="clear" w:color="auto" w:fill="auto"/>
        <w:spacing w:line="600" w:lineRule="exact"/>
        <w:ind w:firstLine="640" w:firstLineChars="200"/>
        <w:outlineLvl w:val="0"/>
        <w:rPr>
          <w:rFonts w:hint="eastAsia" w:ascii="Times New Roman" w:hAnsi="Times New Roman" w:eastAsia="宋体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③生态效益指标：草原生态环境持续好转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，指标值：</w:t>
      </w:r>
      <w:r>
        <w:rPr>
          <w:rStyle w:val="15"/>
          <w:rFonts w:hint="eastAsia" w:ascii="仿宋_GB2312" w:hAnsi="仿宋_GB2312" w:eastAsia="仿宋_GB2312" w:cs="仿宋_GB2312"/>
          <w:b w:val="0"/>
          <w:color w:val="auto"/>
          <w:sz w:val="32"/>
          <w:szCs w:val="32"/>
          <w:highlight w:val="none"/>
          <w:lang w:val="en-US" w:eastAsia="zh-CN"/>
        </w:rPr>
        <w:t>明显，自评完成值：明显，完成率；100%，偏差率：0%。</w:t>
      </w:r>
    </w:p>
    <w:p w14:paraId="4E741C32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2.满意度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：</w:t>
      </w:r>
      <w:r>
        <w:rPr>
          <w:rStyle w:val="15"/>
          <w:rFonts w:hint="eastAsia" w:ascii="仿宋_GB2312" w:hAnsi="仿宋_GB2312" w:eastAsia="仿宋_GB2312" w:cs="仿宋_GB2312"/>
          <w:b w:val="0"/>
          <w:color w:val="auto"/>
          <w:sz w:val="32"/>
          <w:szCs w:val="32"/>
          <w:highlight w:val="none"/>
          <w:lang w:val="en-US" w:eastAsia="zh-CN"/>
        </w:rPr>
        <w:t>群众满意度，指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标值：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&gt;=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95%</w:t>
      </w:r>
      <w:r>
        <w:rPr>
          <w:rStyle w:val="15"/>
          <w:rFonts w:hint="eastAsia" w:ascii="仿宋_GB2312" w:hAnsi="仿宋_GB2312" w:eastAsia="仿宋_GB2312" w:cs="仿宋_GB2312"/>
          <w:b w:val="0"/>
          <w:color w:val="auto"/>
          <w:sz w:val="32"/>
          <w:szCs w:val="32"/>
          <w:highlight w:val="none"/>
          <w:lang w:val="en-US" w:eastAsia="zh-CN"/>
        </w:rPr>
        <w:t>，自评完成值：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=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95%</w:t>
      </w:r>
      <w:r>
        <w:rPr>
          <w:rStyle w:val="15"/>
          <w:rFonts w:hint="eastAsia" w:ascii="仿宋_GB2312" w:hAnsi="仿宋_GB2312" w:eastAsia="仿宋_GB2312" w:cs="仿宋_GB2312"/>
          <w:b w:val="0"/>
          <w:color w:val="auto"/>
          <w:sz w:val="32"/>
          <w:szCs w:val="32"/>
          <w:highlight w:val="none"/>
          <w:lang w:val="en-US" w:eastAsia="zh-CN"/>
        </w:rPr>
        <w:t>，完成率；100%，偏差率：0%。</w:t>
      </w:r>
    </w:p>
    <w:p w14:paraId="759F5A26">
      <w:pPr>
        <w:spacing w:line="560" w:lineRule="exact"/>
        <w:ind w:left="638" w:leftChars="304" w:firstLine="0" w:firstLineChars="0"/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（五）</w:t>
      </w: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/>
        </w:rPr>
        <w:t>预算执行进度与绩效指标总体完成率偏差</w:t>
      </w:r>
    </w:p>
    <w:p w14:paraId="6AD11C5B">
      <w:pPr>
        <w:spacing w:line="560" w:lineRule="exact"/>
        <w:ind w:firstLine="640" w:firstLineChars="200"/>
        <w:rPr>
          <w:rFonts w:hint="eastAsia" w:eastAsia="方正仿宋_GBK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highlight w:val="none"/>
        </w:rPr>
        <w:t>2024年自治区林草专项资金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项目年初预算</w:t>
      </w:r>
      <w:r>
        <w:rPr>
          <w:rFonts w:hint="eastAsia" w:eastAsia="方正仿宋_GBK" w:cs="Times New Roman"/>
          <w:color w:val="auto"/>
          <w:sz w:val="32"/>
          <w:szCs w:val="32"/>
          <w:highlight w:val="none"/>
          <w:lang w:val="en-US" w:eastAsia="zh-CN"/>
        </w:rPr>
        <w:t>5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万元，全年预算</w:t>
      </w:r>
      <w:r>
        <w:rPr>
          <w:rFonts w:hint="eastAsia" w:eastAsia="方正仿宋_GBK" w:cs="Times New Roman"/>
          <w:color w:val="auto"/>
          <w:sz w:val="32"/>
          <w:szCs w:val="32"/>
          <w:highlight w:val="none"/>
          <w:lang w:val="en-US" w:eastAsia="zh-CN"/>
        </w:rPr>
        <w:t>5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万元，实际支出</w:t>
      </w:r>
      <w:r>
        <w:rPr>
          <w:rFonts w:hint="eastAsia" w:eastAsia="方正仿宋_GBK" w:cs="Times New Roman"/>
          <w:color w:val="auto"/>
          <w:sz w:val="32"/>
          <w:szCs w:val="32"/>
          <w:highlight w:val="none"/>
          <w:lang w:val="en-US" w:eastAsia="zh-CN"/>
        </w:rPr>
        <w:t>5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万元，预算执行率为</w:t>
      </w:r>
      <w:r>
        <w:rPr>
          <w:rFonts w:hint="eastAsia" w:eastAsia="方正仿宋_GBK" w:cs="Times New Roman"/>
          <w:color w:val="auto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%，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shd w:val="clear" w:color="auto" w:fill="auto"/>
        </w:rPr>
        <w:t>项目绩效指标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总体完成率为</w:t>
      </w:r>
      <w:r>
        <w:rPr>
          <w:rFonts w:hint="eastAsia" w:eastAsia="方正仿宋_GBK" w:cs="Times New Roman"/>
          <w:color w:val="auto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%，总体偏差率为</w:t>
      </w:r>
      <w:r>
        <w:rPr>
          <w:rFonts w:hint="eastAsia" w:eastAsia="方正仿宋_GBK" w:cs="Times New Roman"/>
          <w:color w:val="auto"/>
          <w:sz w:val="32"/>
          <w:szCs w:val="32"/>
          <w:highlight w:val="none"/>
          <w:lang w:val="en-US" w:eastAsia="zh-CN"/>
        </w:rPr>
        <w:t>0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%</w:t>
      </w:r>
      <w:r>
        <w:rPr>
          <w:rFonts w:hint="eastAsia" w:eastAsia="方正仿宋_GBK" w:cs="Times New Roman"/>
          <w:color w:val="auto"/>
          <w:sz w:val="32"/>
          <w:szCs w:val="32"/>
          <w:highlight w:val="none"/>
          <w:lang w:val="en-US" w:eastAsia="zh-CN"/>
        </w:rPr>
        <w:t>。</w:t>
      </w:r>
    </w:p>
    <w:p w14:paraId="7EE5CA75">
      <w:pPr>
        <w:spacing w:line="560" w:lineRule="exact"/>
        <w:ind w:firstLine="640" w:firstLineChars="200"/>
        <w:rPr>
          <w:rStyle w:val="19"/>
          <w:rFonts w:hint="default" w:ascii="Times New Roman" w:hAnsi="Times New Roman" w:cs="Times New Roman"/>
          <w:color w:val="auto"/>
        </w:rPr>
      </w:pPr>
      <w:r>
        <w:rPr>
          <w:rFonts w:hint="eastAsia" w:eastAsia="黑体" w:cs="Times New Roman"/>
          <w:sz w:val="32"/>
          <w:szCs w:val="32"/>
          <w:lang w:val="en-US" w:eastAsia="zh-CN"/>
        </w:rPr>
        <w:t>五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黑体" w:cs="Times New Roman"/>
          <w:sz w:val="32"/>
          <w:szCs w:val="32"/>
        </w:rPr>
        <w:t>主要经验及做法、存在的问题及原因分析</w:t>
      </w:r>
    </w:p>
    <w:p w14:paraId="16135956">
      <w:pPr>
        <w:spacing w:line="560" w:lineRule="exact"/>
        <w:ind w:firstLine="627" w:firstLineChars="200"/>
        <w:rPr>
          <w:rFonts w:hint="default" w:ascii="Times New Roman" w:hAnsi="Times New Roman" w:eastAsia="楷体" w:cs="Times New Roman"/>
          <w:b/>
          <w:spacing w:val="-4"/>
          <w:sz w:val="32"/>
          <w:szCs w:val="32"/>
        </w:rPr>
      </w:pPr>
      <w:r>
        <w:rPr>
          <w:rFonts w:hint="default" w:ascii="Times New Roman" w:hAnsi="Times New Roman" w:eastAsia="楷体" w:cs="Times New Roman"/>
          <w:b/>
          <w:spacing w:val="-4"/>
          <w:sz w:val="32"/>
          <w:szCs w:val="32"/>
        </w:rPr>
        <w:t>（一）主要经验及做法</w:t>
      </w:r>
    </w:p>
    <w:p w14:paraId="53475C57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为确保项目顺利进行，提前做好项目规划，将所列计划再三审核。在项目实施过程中做好定期监督检查，严格按照项目管理规范进行，在项目资金使用过程中，严格落实把关，按照项目资金使用范围做好审核工作，让项目资金落于实处。在项目完成后，做好受益群众民意调查及项目防范工作。</w:t>
      </w:r>
    </w:p>
    <w:p w14:paraId="79344A9E">
      <w:pPr>
        <w:pStyle w:val="9"/>
        <w:spacing w:before="0" w:after="0" w:line="56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b w:val="0"/>
          <w:bCs w:val="0"/>
          <w:kern w:val="2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"/>
        </w:rPr>
        <w:t>严格坚持先做事、后验收、再拨付的原则，</w:t>
      </w:r>
      <w:r>
        <w:rPr>
          <w:rFonts w:hint="eastAsia" w:ascii="Times New Roman" w:hAnsi="Times New Roman" w:eastAsia="仿宋_GB2312" w:cs="Times New Roman"/>
          <w:b w:val="0"/>
          <w:bCs w:val="0"/>
          <w:kern w:val="2"/>
          <w:lang w:eastAsia="zh-CN"/>
        </w:rPr>
        <w:t>杜绝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</w:rPr>
        <w:t>了资金被挤占和挪用现象的发生，跟踪检查到位。财政、纪检、监察等职能部门全面参与专项资金事前、事中和事后全过程的监管。在监督环节上，实行关口前移，从事后监督管理转向事前审核，事中监督和事后检查稽核相结合的监督制度上来，形成多环节全过程的监督管理格局，尽量早发现问题，早解决问题。</w:t>
      </w:r>
    </w:p>
    <w:p w14:paraId="725C07F3">
      <w:pPr>
        <w:keepNext/>
        <w:keepLines/>
        <w:numPr>
          <w:ilvl w:val="0"/>
          <w:numId w:val="8"/>
        </w:numPr>
        <w:spacing w:line="560" w:lineRule="exact"/>
        <w:ind w:firstLine="643" w:firstLineChars="200"/>
        <w:rPr>
          <w:rFonts w:hint="default" w:ascii="Times New Roman" w:hAnsi="Times New Roman" w:eastAsia="楷体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存在的问题及原因分析</w:t>
      </w:r>
    </w:p>
    <w:p w14:paraId="7F34F244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.相关绩效管理方面专业知识的系统性学习有待加强。各项指标的设置要进一步优化、完善，主要在细化、量化上改进。在绩效自评过程中，由于部分人员缺乏相关绩效管理专业知识，自评价工作还存在自我审定的局限性，影响评价质量。</w:t>
      </w:r>
    </w:p>
    <w:p w14:paraId="4FB420A6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2.因轮岗、调动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等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因素使我单位绩效工作人员流动频繁，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造成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工作衔接不到位的情况。</w:t>
      </w:r>
    </w:p>
    <w:p w14:paraId="1342306D">
      <w:pPr>
        <w:spacing w:line="560" w:lineRule="exact"/>
        <w:ind w:firstLine="640" w:firstLineChars="20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六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黑体" w:cs="Times New Roman"/>
          <w:sz w:val="32"/>
          <w:szCs w:val="32"/>
        </w:rPr>
        <w:t>有关建议</w:t>
      </w:r>
    </w:p>
    <w:p w14:paraId="327100C1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1.多进行有关绩效管理工作方面的培训。积极组织第三方开展绩效管理工作培训，进一步夯实业务基础，提高我单位绩效人员水平。</w:t>
      </w:r>
    </w:p>
    <w:p w14:paraId="1983D047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2.专门设定对绩效工作人员定职、定岗、定责等相关制度措施，进一步提升我单位绩效管理工作业务水平，扎实做好绩效管理工作。</w:t>
      </w:r>
    </w:p>
    <w:p w14:paraId="7A22BFC8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3.进一步规范项目建设的程序。项目前期做好可行性研究报告，更加细化实施方案，严格执行资金管理办法和财政资金管理制度，严格按照项目实施方案、招投标管理办法等稳步推进工作，各部门单位根据自己项目的特点进行总结。</w:t>
      </w:r>
    </w:p>
    <w:p w14:paraId="49A3484A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cs="Times New Roman"/>
          <w:sz w:val="22"/>
          <w:szCs w:val="28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4.进一步完善项目评价过程中有关数据和资料的收集、整理、审核及分析。项目启动时同步做好档案的归纳与整理，及时整理、收集、汇总，健全档案资料。项目后续管理有待进一步加强和跟踪</w:t>
      </w:r>
      <w:r>
        <w:rPr>
          <w:rFonts w:hint="default" w:ascii="Times New Roman" w:hAnsi="Times New Roman" w:eastAsia="仿宋_GB2312" w:cs="Times New Roman"/>
          <w:sz w:val="36"/>
          <w:szCs w:val="32"/>
        </w:rPr>
        <w:t>。</w:t>
      </w:r>
    </w:p>
    <w:p w14:paraId="665C8ABC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5.进一步加强对绩效管理工作的组织领导，提高对预算绩效管理工作重要性的认识，总结经验查找问题，抓紧研究制定更全面更完善的绩效评价管理办法。结合食品安全考核建立绩效工作考核制度，加大全局对全面实施预算绩效管理和绩效管理工作的学习力度，让“花钱必问效，无效必问责”的理念深入工作每个环节。</w:t>
      </w:r>
    </w:p>
    <w:p w14:paraId="64A98EEE">
      <w:pPr>
        <w:spacing w:line="560" w:lineRule="exact"/>
        <w:ind w:firstLine="640" w:firstLineChars="20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eastAsia" w:eastAsia="黑体" w:cs="Times New Roman"/>
          <w:sz w:val="32"/>
          <w:szCs w:val="32"/>
          <w:lang w:val="en-US" w:eastAsia="zh-CN"/>
        </w:rPr>
        <w:t>七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黑体" w:cs="Times New Roman"/>
          <w:sz w:val="32"/>
          <w:szCs w:val="32"/>
        </w:rPr>
        <w:t>其他需要说</w:t>
      </w:r>
      <w:bookmarkStart w:id="0" w:name="page8"/>
      <w:bookmarkEnd w:id="0"/>
      <w:r>
        <w:rPr>
          <w:rFonts w:hint="default" w:ascii="Times New Roman" w:hAnsi="Times New Roman" w:eastAsia="黑体" w:cs="Times New Roman"/>
          <w:sz w:val="32"/>
          <w:szCs w:val="32"/>
        </w:rPr>
        <w:t>明的问题</w:t>
      </w:r>
    </w:p>
    <w:p w14:paraId="731F67C1">
      <w:pPr>
        <w:pStyle w:val="11"/>
        <w:spacing w:after="0" w:line="560" w:lineRule="exact"/>
        <w:ind w:left="0" w:leftChars="0" w:firstLine="64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本项目无其他需说明的问题。</w:t>
      </w:r>
    </w:p>
    <w:p w14:paraId="6A39E7C0">
      <w:pPr>
        <w:pStyle w:val="11"/>
        <w:spacing w:after="0" w:line="560" w:lineRule="exact"/>
        <w:ind w:left="0" w:leftChars="0" w:firstLine="640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</w:p>
    <w:p w14:paraId="2F209E6F">
      <w:pPr>
        <w:spacing w:line="600" w:lineRule="exact"/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sectPr>
          <w:footerReference r:id="rId3" w:type="default"/>
          <w:pgSz w:w="11906" w:h="16838"/>
          <w:pgMar w:top="1440" w:right="1558" w:bottom="1440" w:left="1800" w:header="851" w:footer="992" w:gutter="0"/>
          <w:pgNumType w:start="1"/>
          <w:cols w:space="425" w:num="1"/>
          <w:docGrid w:type="lines" w:linePitch="312" w:charSpace="0"/>
        </w:sectPr>
      </w:pPr>
    </w:p>
    <w:p w14:paraId="06091B20">
      <w:pPr>
        <w:rPr>
          <w:rFonts w:hint="default" w:ascii="Times New Roman" w:hAnsi="Times New Roman" w:eastAsia="宋体" w:cs="Times New Roman"/>
          <w:lang w:val="en-US" w:eastAsia="zh-CN"/>
        </w:rPr>
      </w:pPr>
    </w:p>
    <w:sectPr>
      <w:pgSz w:w="16838" w:h="11906" w:orient="landscape"/>
      <w:pgMar w:top="1800" w:right="1440" w:bottom="1558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BE422CA-537D-4A69-9D9D-DF5878D1C94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42372650-E8A0-4ACD-B8ED-DE0ED9E1F47A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3" w:fontKey="{EC82021B-9F1D-46B0-B0AF-3DBC421CD868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4" w:fontKey="{AB53CBF7-220E-4FB6-8CEE-6B8F7F155CDD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5" w:fontKey="{D658C9A4-D334-4D40-8E0C-29A3C04387E7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BE53AE0A-4D8B-41F1-AD87-6C9311145F5C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7" w:fontKey="{2DAA9199-0135-4127-9AE5-57949DBE7C4C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7468962"/>
    </w:sdtPr>
    <w:sdtContent>
      <w:p w14:paraId="73F40097">
        <w:pPr>
          <w:pStyle w:val="6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13</w:t>
        </w:r>
        <w:r>
          <w:fldChar w:fldCharType="end"/>
        </w:r>
      </w:p>
    </w:sdtContent>
  </w:sdt>
  <w:p w14:paraId="0FA3A64C">
    <w:pPr>
      <w:pStyle w:val="6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E306ED"/>
    <w:multiLevelType w:val="singleLevel"/>
    <w:tmpl w:val="B5E306ED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BF205925"/>
    <w:multiLevelType w:val="singleLevel"/>
    <w:tmpl w:val="BF205925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CF092B84"/>
    <w:multiLevelType w:val="singleLevel"/>
    <w:tmpl w:val="CF092B84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0053208E"/>
    <w:multiLevelType w:val="singleLevel"/>
    <w:tmpl w:val="0053208E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03D62ECE"/>
    <w:multiLevelType w:val="singleLevel"/>
    <w:tmpl w:val="03D62ECE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5">
    <w:nsid w:val="25B654F3"/>
    <w:multiLevelType w:val="singleLevel"/>
    <w:tmpl w:val="25B654F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6">
    <w:nsid w:val="59ADCABA"/>
    <w:multiLevelType w:val="singleLevel"/>
    <w:tmpl w:val="59ADCABA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7">
    <w:nsid w:val="72183CF9"/>
    <w:multiLevelType w:val="singleLevel"/>
    <w:tmpl w:val="72183CF9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1"/>
  </w:num>
  <w:num w:numId="5">
    <w:abstractNumId w:val="0"/>
  </w:num>
  <w:num w:numId="6">
    <w:abstractNumId w:val="4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4"/>
  <w:doNotDisplayPageBoundaries w:val="1"/>
  <w:embedSystemFonts/>
  <w:bordersDoNotSurroundHeader w:val="0"/>
  <w:bordersDoNotSurroundFooter w:val="0"/>
  <w:doNotTrackMove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diOGM5NzlhN2JhOTc3OTljZTBmY2FhN2MzNTk3ODEifQ=="/>
  </w:docVars>
  <w:rsids>
    <w:rsidRoot w:val="00000000"/>
    <w:rsid w:val="18276E01"/>
    <w:rsid w:val="598F41F2"/>
  </w:rsids>
  <m:mathPr>
    <m:mathFont m:val="Cambria Math"/>
    <m:brkBin m:val="before"/>
    <m:brkBinSub m:val="--"/>
    <m:smallFrac m:val="0"/>
    <m:dispDef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99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4">
    <w:name w:val="Body Text Indent"/>
    <w:basedOn w:val="1"/>
    <w:qFormat/>
    <w:uiPriority w:val="0"/>
    <w:pPr>
      <w:spacing w:after="120"/>
      <w:ind w:left="420" w:leftChars="200"/>
    </w:pPr>
    <w:rPr>
      <w:rFonts w:ascii="Calibri" w:hAnsi="Calibri"/>
    </w:rPr>
  </w:style>
  <w:style w:type="paragraph" w:styleId="5">
    <w:name w:val="Balloon Text"/>
    <w:basedOn w:val="1"/>
    <w:link w:val="21"/>
    <w:qFormat/>
    <w:uiPriority w:val="0"/>
    <w:rPr>
      <w:sz w:val="18"/>
      <w:szCs w:val="18"/>
    </w:rPr>
  </w:style>
  <w:style w:type="paragraph" w:styleId="6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7">
    <w:name w:val="header"/>
    <w:basedOn w:val="1"/>
    <w:link w:val="2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/>
    </w:rPr>
  </w:style>
  <w:style w:type="paragraph" w:styleId="9">
    <w:name w:val="Title"/>
    <w:basedOn w:val="1"/>
    <w:next w:val="1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paragraph" w:styleId="10">
    <w:name w:val="Body Text First Indent"/>
    <w:basedOn w:val="3"/>
    <w:qFormat/>
    <w:uiPriority w:val="0"/>
    <w:pPr>
      <w:spacing w:after="0"/>
      <w:ind w:firstLine="200" w:firstLineChars="200"/>
    </w:pPr>
  </w:style>
  <w:style w:type="paragraph" w:styleId="11">
    <w:name w:val="Body Text First Indent 2"/>
    <w:basedOn w:val="4"/>
    <w:qFormat/>
    <w:uiPriority w:val="0"/>
    <w:pPr>
      <w:ind w:firstLine="420" w:firstLineChars="200"/>
    </w:pPr>
  </w:style>
  <w:style w:type="table" w:styleId="13">
    <w:name w:val="Table Grid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5">
    <w:name w:val="Strong"/>
    <w:basedOn w:val="14"/>
    <w:qFormat/>
    <w:uiPriority w:val="0"/>
    <w:rPr>
      <w:b/>
      <w:bCs/>
    </w:rPr>
  </w:style>
  <w:style w:type="paragraph" w:customStyle="1" w:styleId="16">
    <w:name w:val="Comment Subject"/>
    <w:basedOn w:val="17"/>
    <w:next w:val="17"/>
    <w:link w:val="24"/>
    <w:qFormat/>
    <w:uiPriority w:val="0"/>
    <w:rPr>
      <w:b/>
      <w:bCs/>
    </w:rPr>
  </w:style>
  <w:style w:type="paragraph" w:customStyle="1" w:styleId="17">
    <w:name w:val="Comment Text"/>
    <w:basedOn w:val="1"/>
    <w:link w:val="23"/>
    <w:qFormat/>
    <w:uiPriority w:val="0"/>
    <w:pPr>
      <w:jc w:val="left"/>
    </w:pPr>
  </w:style>
  <w:style w:type="character" w:customStyle="1" w:styleId="18">
    <w:name w:val="Comment Reference"/>
    <w:basedOn w:val="14"/>
    <w:qFormat/>
    <w:uiPriority w:val="0"/>
    <w:rPr>
      <w:sz w:val="21"/>
      <w:szCs w:val="21"/>
    </w:rPr>
  </w:style>
  <w:style w:type="character" w:customStyle="1" w:styleId="19">
    <w:name w:val="fontstyle01"/>
    <w:qFormat/>
    <w:uiPriority w:val="0"/>
    <w:rPr>
      <w:rFonts w:ascii="仿宋_GB2312" w:hAnsi="仿宋_GB2312" w:eastAsia="仿宋_GB2312" w:cs="仿宋_GB2312"/>
      <w:color w:val="000000"/>
      <w:sz w:val="32"/>
      <w:szCs w:val="32"/>
    </w:rPr>
  </w:style>
  <w:style w:type="paragraph" w:customStyle="1" w:styleId="20">
    <w:name w:val="闻政-正文段落文字"/>
    <w:basedOn w:val="1"/>
    <w:qFormat/>
    <w:uiPriority w:val="3"/>
    <w:pPr>
      <w:spacing w:line="500" w:lineRule="exact"/>
      <w:ind w:firstLine="200"/>
    </w:pPr>
    <w:rPr>
      <w:kern w:val="0"/>
      <w:szCs w:val="28"/>
    </w:rPr>
  </w:style>
  <w:style w:type="character" w:customStyle="1" w:styleId="21">
    <w:name w:val="批注框文本 字符"/>
    <w:basedOn w:val="14"/>
    <w:link w:val="5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22">
    <w:name w:val="页眉 字符"/>
    <w:basedOn w:val="14"/>
    <w:link w:val="7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23">
    <w:name w:val="批注文字 字符"/>
    <w:basedOn w:val="14"/>
    <w:link w:val="17"/>
    <w:qFormat/>
    <w:uiPriority w:val="0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24">
    <w:name w:val="批注主题 字符"/>
    <w:basedOn w:val="23"/>
    <w:link w:val="16"/>
    <w:qFormat/>
    <w:uiPriority w:val="0"/>
    <w:rPr>
      <w:rFonts w:ascii="Times New Roman" w:hAnsi="Times New Roman" w:eastAsia="宋体" w:cs="Times New Roman"/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B58F7E95A279422898C59AB08C8ABD64_13</vt:lpwstr>
  </property>
  <property fmtid="{D5CDD505-2E9C-101B-9397-08002B2CF9AE}" pid="4" name="KSOTemplateDocerSaveRecord">
    <vt:lpwstr>eyJoZGlkIjoiZTc3YzkxMzRjZWQ1YmVjNDdlMDQ3MmVmNThiYzU5NWQifQ==</vt:lpwstr>
  </property>
</Properties>
</file>

<file path=customXml/itemProps1.xml><?xml version="1.0" encoding="utf-8"?>
<ds:datastoreItem xmlns:ds="http://schemas.openxmlformats.org/officeDocument/2006/customXml" ds:itemID="{19f7e84b-ce3a-47e5-83b1-9ab5b83178c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22</Pages>
  <Words>9759</Words>
  <Characters>10038</Characters>
  <Lines>58</Lines>
  <Paragraphs>16</Paragraphs>
  <TotalTime>0</TotalTime>
  <ScaleCrop>false</ScaleCrop>
  <LinksUpToDate>false</LinksUpToDate>
  <CharactersWithSpaces>10041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2023-03-08T13:13:00Z</dcterms:created>
  <dc:creator>审核人</dc:creator>
  <cp:lastModifiedBy>白羊</cp:lastModifiedBy>
  <dcterms:modified xsi:type="dcterms:W3CDTF">2025-11-27T04:14:29Z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B58F7E95A279422898C59AB08C8ABD64_13</vt:lpwstr>
  </property>
  <property fmtid="{D5CDD505-2E9C-101B-9397-08002B2CF9AE}" pid="4" name="KSOTemplateDocerSaveRecord">
    <vt:lpwstr>eyJoZGlkIjoiYjM4NWYyMWE2NWU1OGNiMmIxMmZkYzA5MWEwNzJlZmIiLCJ1c2VySWQiOiI0MzE2NzY3NzkifQ==</vt:lpwstr>
  </property>
</Properties>
</file>