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C4FE3"/>
    <w:p w14:paraId="4997A266">
      <w:pPr>
        <w:spacing w:line="540" w:lineRule="exact"/>
        <w:jc w:val="center"/>
        <w:rPr>
          <w:rFonts w:hint="default" w:ascii="Times New Roman" w:hAnsi="Times New Roman" w:eastAsia="华文中宋" w:cs="Times New Roman"/>
          <w:b/>
          <w:kern w:val="0"/>
          <w:sz w:val="52"/>
          <w:szCs w:val="52"/>
        </w:rPr>
      </w:pPr>
    </w:p>
    <w:p w14:paraId="7D45E8FB">
      <w:pPr>
        <w:spacing w:line="540" w:lineRule="exact"/>
        <w:rPr>
          <w:rFonts w:hint="default" w:ascii="Times New Roman" w:hAnsi="Times New Roman" w:eastAsia="华文中宋" w:cs="Times New Roman"/>
          <w:b/>
          <w:kern w:val="0"/>
          <w:sz w:val="52"/>
          <w:szCs w:val="52"/>
        </w:rPr>
      </w:pPr>
    </w:p>
    <w:p w14:paraId="2973C778">
      <w:pPr>
        <w:spacing w:line="540" w:lineRule="exact"/>
        <w:jc w:val="center"/>
        <w:rPr>
          <w:rFonts w:hint="default" w:ascii="Times New Roman" w:hAnsi="Times New Roman" w:eastAsia="华文中宋" w:cs="Times New Roman"/>
          <w:b/>
          <w:kern w:val="0"/>
          <w:sz w:val="52"/>
          <w:szCs w:val="52"/>
        </w:rPr>
      </w:pPr>
    </w:p>
    <w:p w14:paraId="4E5AAF93">
      <w:pPr>
        <w:spacing w:line="540" w:lineRule="exact"/>
        <w:jc w:val="center"/>
        <w:rPr>
          <w:rFonts w:hint="default" w:ascii="Times New Roman" w:hAnsi="Times New Roman" w:eastAsia="华文中宋" w:cs="Times New Roman"/>
          <w:b/>
          <w:kern w:val="0"/>
          <w:sz w:val="52"/>
          <w:szCs w:val="52"/>
        </w:rPr>
      </w:pPr>
    </w:p>
    <w:p w14:paraId="1AD9A043">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托里县国有土地上房屋征收与补偿服务中心托里县房屋征收补偿差价</w:t>
      </w:r>
      <w:r>
        <w:rPr>
          <w:rFonts w:hint="eastAsia" w:eastAsia="方正小标宋_GBK" w:cs="Times New Roman"/>
          <w:kern w:val="0"/>
          <w:sz w:val="48"/>
          <w:szCs w:val="48"/>
          <w:lang w:val="en-US" w:eastAsia="zh-CN"/>
        </w:rPr>
        <w:t>25%资金的</w:t>
      </w:r>
      <w:r>
        <w:rPr>
          <w:rFonts w:hint="default" w:ascii="Times New Roman" w:hAnsi="Times New Roman" w:eastAsia="方正小标宋_GBK" w:cs="Times New Roman"/>
          <w:kern w:val="0"/>
          <w:sz w:val="48"/>
          <w:szCs w:val="48"/>
        </w:rPr>
        <w:t>项目支出绩效评价</w:t>
      </w:r>
    </w:p>
    <w:p w14:paraId="32A7700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4FD5FBFD">
      <w:pPr>
        <w:spacing w:line="540" w:lineRule="exact"/>
        <w:jc w:val="center"/>
        <w:rPr>
          <w:rFonts w:hint="default" w:ascii="Times New Roman" w:hAnsi="Times New Roman" w:eastAsia="华文中宋" w:cs="Times New Roman"/>
          <w:b/>
          <w:kern w:val="0"/>
          <w:sz w:val="52"/>
          <w:szCs w:val="52"/>
        </w:rPr>
      </w:pPr>
    </w:p>
    <w:p w14:paraId="431F6F4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A6D3D77">
      <w:pPr>
        <w:spacing w:line="540" w:lineRule="exact"/>
        <w:jc w:val="center"/>
        <w:rPr>
          <w:rFonts w:hint="default" w:ascii="Times New Roman" w:hAnsi="Times New Roman" w:eastAsia="仿宋_GB2312" w:cs="Times New Roman"/>
          <w:kern w:val="0"/>
          <w:sz w:val="30"/>
          <w:szCs w:val="30"/>
        </w:rPr>
      </w:pPr>
    </w:p>
    <w:p w14:paraId="53265699">
      <w:pPr>
        <w:spacing w:line="540" w:lineRule="exact"/>
        <w:jc w:val="center"/>
        <w:rPr>
          <w:rFonts w:hint="default" w:ascii="Times New Roman" w:hAnsi="Times New Roman" w:eastAsia="仿宋_GB2312" w:cs="Times New Roman"/>
          <w:kern w:val="0"/>
          <w:sz w:val="30"/>
          <w:szCs w:val="30"/>
        </w:rPr>
      </w:pPr>
    </w:p>
    <w:p w14:paraId="184690A7">
      <w:pPr>
        <w:spacing w:line="540" w:lineRule="exact"/>
        <w:jc w:val="center"/>
        <w:rPr>
          <w:rFonts w:hint="default" w:ascii="Times New Roman" w:hAnsi="Times New Roman" w:eastAsia="仿宋_GB2312" w:cs="Times New Roman"/>
          <w:kern w:val="0"/>
          <w:sz w:val="30"/>
          <w:szCs w:val="30"/>
        </w:rPr>
      </w:pPr>
    </w:p>
    <w:p w14:paraId="7A135CA8">
      <w:pPr>
        <w:pStyle w:val="9"/>
        <w:rPr>
          <w:rFonts w:hint="default" w:ascii="Times New Roman" w:hAnsi="Times New Roman" w:cs="Times New Roman"/>
        </w:rPr>
      </w:pPr>
    </w:p>
    <w:p w14:paraId="471C82B6">
      <w:pPr>
        <w:spacing w:line="540" w:lineRule="exact"/>
        <w:jc w:val="center"/>
        <w:rPr>
          <w:rFonts w:hint="default" w:ascii="Times New Roman" w:hAnsi="Times New Roman" w:eastAsia="仿宋_GB2312" w:cs="Times New Roman"/>
          <w:kern w:val="0"/>
          <w:sz w:val="30"/>
          <w:szCs w:val="30"/>
        </w:rPr>
      </w:pPr>
    </w:p>
    <w:p w14:paraId="1EBDA2B0">
      <w:pPr>
        <w:spacing w:line="540" w:lineRule="exact"/>
        <w:rPr>
          <w:rFonts w:hint="default" w:ascii="Times New Roman" w:hAnsi="Times New Roman" w:eastAsia="仿宋_GB2312" w:cs="Times New Roman"/>
          <w:kern w:val="0"/>
          <w:sz w:val="30"/>
          <w:szCs w:val="30"/>
        </w:rPr>
      </w:pPr>
    </w:p>
    <w:p w14:paraId="74FE4B69">
      <w:pPr>
        <w:spacing w:line="700" w:lineRule="exact"/>
        <w:jc w:val="left"/>
        <w:rPr>
          <w:rFonts w:hint="default"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托里县房屋征收补偿差价</w:t>
      </w:r>
      <w:r>
        <w:rPr>
          <w:rFonts w:hint="eastAsia" w:eastAsia="仿宋_GB2312" w:cs="Times New Roman"/>
          <w:kern w:val="0"/>
          <w:sz w:val="36"/>
          <w:szCs w:val="36"/>
          <w:lang w:val="en-US" w:eastAsia="zh-CN"/>
        </w:rPr>
        <w:t>25%资金的项目</w:t>
      </w:r>
    </w:p>
    <w:p w14:paraId="6D6859D1">
      <w:pPr>
        <w:spacing w:line="700" w:lineRule="exact"/>
        <w:jc w:val="left"/>
        <w:rPr>
          <w:rFonts w:hint="eastAsia" w:ascii="Times New Roman" w:hAnsi="Times New Roman" w:eastAsia="仿宋_GB2312" w:cs="Times New Roman"/>
          <w:kern w:val="0"/>
          <w:sz w:val="28"/>
          <w:szCs w:val="28"/>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28"/>
          <w:szCs w:val="28"/>
          <w:lang w:eastAsia="zh-CN"/>
        </w:rPr>
        <w:t>托里县国有土地上房屋征收与补偿服务中心</w:t>
      </w:r>
    </w:p>
    <w:p w14:paraId="7EEC08BF">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28"/>
          <w:szCs w:val="28"/>
          <w:lang w:eastAsia="zh-CN"/>
        </w:rPr>
        <w:t>托里县国有土地上房屋征收与补偿服务中心</w:t>
      </w:r>
    </w:p>
    <w:p w14:paraId="311CA846">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莫永刚</w:t>
      </w:r>
    </w:p>
    <w:p w14:paraId="41A2C32B">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24</w:t>
      </w:r>
      <w:r>
        <w:rPr>
          <w:rFonts w:hint="default" w:ascii="Times New Roman" w:hAnsi="Times New Roman" w:eastAsia="仿宋_GB2312" w:cs="Times New Roman"/>
          <w:kern w:val="0"/>
          <w:sz w:val="36"/>
          <w:szCs w:val="36"/>
        </w:rPr>
        <w:t>日</w:t>
      </w:r>
    </w:p>
    <w:p w14:paraId="13D390B9">
      <w:pPr>
        <w:spacing w:line="540" w:lineRule="exact"/>
        <w:jc w:val="center"/>
        <w:rPr>
          <w:rFonts w:hint="default" w:ascii="Times New Roman" w:hAnsi="Times New Roman" w:eastAsia="仿宋_GB2312" w:cs="Times New Roman"/>
          <w:kern w:val="0"/>
          <w:sz w:val="30"/>
          <w:szCs w:val="30"/>
        </w:rPr>
      </w:pPr>
    </w:p>
    <w:p w14:paraId="6447DE6A">
      <w:pPr>
        <w:spacing w:line="540" w:lineRule="exact"/>
        <w:rPr>
          <w:rStyle w:val="15"/>
          <w:rFonts w:hint="default" w:ascii="Times New Roman" w:hAnsi="Times New Roman" w:eastAsia="黑体" w:cs="Times New Roman"/>
          <w:b w:val="0"/>
          <w:spacing w:val="-4"/>
          <w:sz w:val="32"/>
          <w:szCs w:val="32"/>
        </w:rPr>
      </w:pPr>
    </w:p>
    <w:p w14:paraId="21BA592C">
      <w:pPr>
        <w:spacing w:line="540" w:lineRule="exact"/>
        <w:ind w:firstLine="640"/>
        <w:rPr>
          <w:rStyle w:val="15"/>
          <w:rFonts w:hint="default" w:ascii="Times New Roman" w:hAnsi="Times New Roman" w:eastAsia="黑体" w:cs="Times New Roman"/>
          <w:b w:val="0"/>
          <w:spacing w:val="-4"/>
          <w:sz w:val="32"/>
          <w:szCs w:val="32"/>
        </w:rPr>
      </w:pPr>
    </w:p>
    <w:p w14:paraId="053ACB52">
      <w:pPr>
        <w:spacing w:line="540" w:lineRule="exact"/>
        <w:rPr>
          <w:rStyle w:val="15"/>
          <w:rFonts w:hint="default" w:ascii="Times New Roman" w:hAnsi="Times New Roman" w:eastAsia="黑体" w:cs="Times New Roman"/>
          <w:b w:val="0"/>
          <w:spacing w:val="-4"/>
          <w:sz w:val="32"/>
          <w:szCs w:val="32"/>
        </w:rPr>
      </w:pPr>
    </w:p>
    <w:p w14:paraId="6CBABCEE">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9043AB0">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98C118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09D228A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3A7A84C">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为实施托里县老城区改造项目，提升全县市容市貌，对托里县征补片区实施征收，根据《国有土地上房屋征收与补偿条例》、《新疆维吾尔自治区实施&lt;国有土地上房屋征收与补偿条例&gt;办法》等有关规对征收范围内的各类建筑（构）筑物将进行征收，促进全县棚户区改造项目有效有序依法开展。</w:t>
      </w:r>
    </w:p>
    <w:p w14:paraId="3278419F">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C4DEDC3">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2024年其他项目类-托里县房屋征收补偿差价25%资金的项目，项目资金</w:t>
      </w:r>
      <w:r>
        <w:rPr>
          <w:rFonts w:hint="eastAsia" w:eastAsia="仿宋_GB2312" w:cs="Times New Roman"/>
          <w:sz w:val="32"/>
          <w:szCs w:val="32"/>
          <w:highlight w:val="none"/>
          <w:lang w:val="en-US" w:eastAsia="zh-CN"/>
        </w:rPr>
        <w:t>985.11</w:t>
      </w:r>
      <w:r>
        <w:rPr>
          <w:rFonts w:hint="eastAsia" w:ascii="Times New Roman" w:hAnsi="Times New Roman" w:eastAsia="仿宋_GB2312" w:cs="Times New Roman"/>
          <w:sz w:val="32"/>
          <w:szCs w:val="32"/>
          <w:highlight w:val="none"/>
          <w:lang w:val="en-US" w:eastAsia="zh-CN"/>
        </w:rPr>
        <w:t>万元，房屋征收工作由县级以上人民政府为征收主体，为进一步规范国有土地上房屋征收与补偿工作，维护公共利益，保障被征收人的合法权益，促进房屋征收工作依法、有序进行需房屋征收补偿差价25%资金。群众满意度95%。</w:t>
      </w:r>
    </w:p>
    <w:p w14:paraId="45B7D35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sz w:val="32"/>
          <w:szCs w:val="32"/>
          <w:lang w:val="en-US" w:eastAsia="zh-CN"/>
        </w:rPr>
        <w:t>2024年其他项目类-托里县房屋征收补偿差价25%资金的项目资金执行985.112010万元，资金执行率100%，项目完成征收户71户，补偿资金合格率100%，补偿资金支付及时率100%，资金支付执行率100%，通过项目实施进一步规范国有土地上房屋征收与补偿工作，维护公共利益，保障被征收人的合法权益，促进房屋征收工作依法、有序开展。</w:t>
      </w:r>
    </w:p>
    <w:p w14:paraId="210809E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14F07BA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7FCDD5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default" w:ascii="Times New Roman" w:hAnsi="Times New Roman" w:eastAsia="仿宋_GB2312" w:cs="Times New Roman"/>
          <w:sz w:val="32"/>
          <w:szCs w:val="32"/>
          <w:lang w:val="en-US" w:eastAsia="zh-CN"/>
        </w:rPr>
        <w:t>985.112010</w:t>
      </w:r>
      <w:r>
        <w:rPr>
          <w:rFonts w:hint="default" w:ascii="Times New Roman" w:hAnsi="Times New Roman" w:eastAsia="仿宋_GB2312" w:cs="Times New Roman"/>
          <w:sz w:val="32"/>
          <w:szCs w:val="32"/>
          <w:highlight w:val="none"/>
          <w:lang w:val="en-US" w:eastAsia="zh-CN"/>
        </w:rPr>
        <w:t>万元，全年预算数</w:t>
      </w:r>
      <w:r>
        <w:rPr>
          <w:rFonts w:hint="default" w:ascii="Times New Roman" w:hAnsi="Times New Roman" w:eastAsia="仿宋_GB2312" w:cs="Times New Roman"/>
          <w:sz w:val="32"/>
          <w:szCs w:val="32"/>
          <w:lang w:val="en-US" w:eastAsia="zh-CN"/>
        </w:rPr>
        <w:t>985.112010</w:t>
      </w:r>
      <w:r>
        <w:rPr>
          <w:rFonts w:hint="default" w:ascii="Times New Roman" w:hAnsi="Times New Roman" w:eastAsia="仿宋_GB2312" w:cs="Times New Roman"/>
          <w:sz w:val="32"/>
          <w:szCs w:val="32"/>
          <w:highlight w:val="none"/>
          <w:lang w:val="en-US" w:eastAsia="zh-CN"/>
        </w:rPr>
        <w:t>万元，该项目资金已全部落实到位，资金来源为财政拨款。</w:t>
      </w:r>
    </w:p>
    <w:p w14:paraId="31903CC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30E2DCE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default" w:ascii="Times New Roman" w:hAnsi="Times New Roman" w:eastAsia="仿宋_GB2312" w:cs="Times New Roman"/>
          <w:sz w:val="32"/>
          <w:szCs w:val="32"/>
          <w:lang w:val="en-US" w:eastAsia="zh-CN"/>
        </w:rPr>
        <w:t>985.112010</w:t>
      </w:r>
      <w:r>
        <w:rPr>
          <w:rFonts w:hint="default" w:ascii="Times New Roman" w:hAnsi="Times New Roman" w:eastAsia="仿宋_GB2312" w:cs="Times New Roman"/>
          <w:sz w:val="32"/>
          <w:szCs w:val="32"/>
          <w:highlight w:val="none"/>
          <w:lang w:val="en-US" w:eastAsia="zh-CN"/>
        </w:rPr>
        <w:t>万元，全年预算数</w:t>
      </w:r>
      <w:r>
        <w:rPr>
          <w:rFonts w:hint="default" w:ascii="Times New Roman" w:hAnsi="Times New Roman" w:eastAsia="仿宋_GB2312" w:cs="Times New Roman"/>
          <w:sz w:val="32"/>
          <w:szCs w:val="32"/>
          <w:lang w:val="en-US" w:eastAsia="zh-CN"/>
        </w:rPr>
        <w:t>985.112010</w:t>
      </w:r>
      <w:r>
        <w:rPr>
          <w:rFonts w:hint="default" w:ascii="Times New Roman" w:hAnsi="Times New Roman" w:eastAsia="仿宋_GB2312" w:cs="Times New Roman"/>
          <w:sz w:val="32"/>
          <w:szCs w:val="32"/>
          <w:highlight w:val="none"/>
          <w:lang w:val="en-US" w:eastAsia="zh-CN"/>
        </w:rPr>
        <w:t>万元，全年执行数</w:t>
      </w:r>
      <w:r>
        <w:rPr>
          <w:rFonts w:hint="default" w:ascii="Times New Roman" w:hAnsi="Times New Roman" w:eastAsia="仿宋_GB2312" w:cs="Times New Roman"/>
          <w:sz w:val="32"/>
          <w:szCs w:val="32"/>
          <w:lang w:val="en-US" w:eastAsia="zh-CN"/>
        </w:rPr>
        <w:t>985.112010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支付托里县房屋征收补偿差价25%资金。</w:t>
      </w:r>
    </w:p>
    <w:p w14:paraId="39CF3F39">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603CA08">
      <w:pPr>
        <w:shd w:val="clear" w:color="auto" w:fill="auto"/>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1.总体目标</w:t>
      </w:r>
      <w:r>
        <w:rPr>
          <w:rFonts w:hint="eastAsia" w:ascii="Times New Roman" w:hAnsi="Times New Roman" w:eastAsia="仿宋_GB2312" w:cs="Times New Roman"/>
          <w:sz w:val="32"/>
          <w:szCs w:val="32"/>
          <w:highlight w:val="none"/>
          <w:lang w:val="en-US" w:eastAsia="zh-CN"/>
        </w:rPr>
        <w:t>：2024年其他项目类-托里县房屋征收补偿差价25%资金的项目，项目资金985.11万元，房屋征收工作由县级以上人民政府为征收主体，为进一步规范国有土地上房屋征收与补偿工作，维护公共利益，保障被征收人的合法权益，促进房屋征收工作依法、有序进行需房屋征收补偿差价25%资金。群众满意度95%。全年项目计划实现目标如下：目标1：“项目数量”1个，按照计划完成被征收户户数71户；目标2：“质量指标”房屋征收补偿25%资金合规率；目标3：“时效指标”2个，项目完成时间为2024年12月</w:t>
      </w:r>
      <w:r>
        <w:rPr>
          <w:rFonts w:hint="eastAsia" w:eastAsia="仿宋_GB2312" w:cs="Times New Roman"/>
          <w:sz w:val="32"/>
          <w:szCs w:val="32"/>
          <w:highlight w:val="none"/>
          <w:lang w:val="en-US" w:eastAsia="zh-CN"/>
        </w:rPr>
        <w:t>25</w:t>
      </w:r>
      <w:r>
        <w:rPr>
          <w:rFonts w:hint="eastAsia" w:ascii="Times New Roman" w:hAnsi="Times New Roman" w:eastAsia="仿宋_GB2312" w:cs="Times New Roman"/>
          <w:sz w:val="32"/>
          <w:szCs w:val="32"/>
          <w:highlight w:val="none"/>
          <w:lang w:val="en-US" w:eastAsia="zh-CN"/>
        </w:rPr>
        <w:t>日，征收补偿资金25%支付及时率100%；目标4：“经济成本指标”，征收补偿方式为实物置换，补偿费用不能超过总评估价25%；目标5：“社会效益指标”加大入户率、广泛宣传征收补偿政策100户；目标6：“满意度指”，被征收户满意度95%。</w:t>
      </w:r>
      <w:r>
        <w:rPr>
          <w:rFonts w:hint="default" w:ascii="Times New Roman" w:hAnsi="Times New Roman" w:eastAsia="仿宋_GB2312" w:cs="Times New Roman"/>
          <w:sz w:val="32"/>
          <w:szCs w:val="32"/>
          <w:lang w:val="en-US" w:eastAsia="zh-CN"/>
        </w:rPr>
        <w:t>通过项目实施进一步规范国有土地上房屋征收与补偿工作，维护公共利益，保障被征收人的合法权益，促进房屋征收工作依法、有序开展。</w:t>
      </w:r>
    </w:p>
    <w:p w14:paraId="51F8D452">
      <w:pPr>
        <w:spacing w:line="600" w:lineRule="exact"/>
        <w:ind w:firstLine="64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sz w:val="32"/>
          <w:szCs w:val="32"/>
          <w:lang w:eastAsia="zh-CN"/>
        </w:rPr>
        <w:t>：</w:t>
      </w:r>
      <w:r>
        <w:rPr>
          <w:rFonts w:hint="eastAsia" w:ascii="Times New Roman" w:hAnsi="Times New Roman" w:eastAsia="仿宋_GB2312" w:cs="Times New Roman"/>
          <w:sz w:val="32"/>
          <w:szCs w:val="32"/>
          <w:highlight w:val="none"/>
          <w:lang w:val="en-US" w:eastAsia="zh-CN"/>
        </w:rPr>
        <w:t>根据《中华人民共和国预算法》《中共中央国务院关于全面实施预算绩效管理的意见》（中发〔2018〕34号）、《关于印发&lt;项目支出绩效评价管理办法&gt;的通知》（财预〔2020〕10号）、《塔城地区财政支出绩效评价管理暂行办法》（塔地财预〔201</w:t>
      </w:r>
      <w:r>
        <w:rPr>
          <w:rFonts w:hint="default" w:ascii="Times New Roman" w:hAnsi="Times New Roman"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114</w:t>
      </w:r>
      <w:r>
        <w:rPr>
          <w:rFonts w:hint="eastAsia" w:ascii="Times New Roman" w:hAnsi="Times New Roman" w:eastAsia="仿宋_GB2312" w:cs="Times New Roman"/>
          <w:sz w:val="32"/>
          <w:szCs w:val="32"/>
          <w:highlight w:val="none"/>
          <w:lang w:val="en-US" w:eastAsia="zh-CN"/>
        </w:rPr>
        <w:t>号）等文件要求，结合本项目实际，对绩效目标进行逐层分解、细化后的具体绩效指标如下：</w:t>
      </w:r>
    </w:p>
    <w:p w14:paraId="0AF5D307">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（1）项目产出指标</w:t>
      </w:r>
    </w:p>
    <w:p w14:paraId="66D3628A">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①</w:t>
      </w:r>
      <w:r>
        <w:rPr>
          <w:rFonts w:hint="eastAsia" w:ascii="Times New Roman" w:hAnsi="Times New Roman" w:eastAsia="仿宋_GB2312" w:cs="Times New Roman"/>
          <w:b w:val="0"/>
          <w:bCs w:val="0"/>
          <w:kern w:val="2"/>
          <w:sz w:val="32"/>
          <w:szCs w:val="32"/>
          <w:highlight w:val="none"/>
          <w:lang w:val="en-US" w:eastAsia="zh-CN" w:bidi="ar-SA"/>
        </w:rPr>
        <w:t>数量指标</w:t>
      </w:r>
    </w:p>
    <w:p w14:paraId="0E9CFCA8">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“计划完成被征收户户数预期指标值为&gt;=72户”</w:t>
      </w:r>
    </w:p>
    <w:p w14:paraId="53945FC3">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②</w:t>
      </w:r>
      <w:r>
        <w:rPr>
          <w:rFonts w:hint="eastAsia" w:ascii="Times New Roman" w:hAnsi="Times New Roman" w:eastAsia="仿宋_GB2312" w:cs="Times New Roman"/>
          <w:b w:val="0"/>
          <w:bCs w:val="0"/>
          <w:kern w:val="2"/>
          <w:sz w:val="32"/>
          <w:szCs w:val="32"/>
          <w:highlight w:val="none"/>
          <w:lang w:val="en-US" w:eastAsia="zh-CN" w:bidi="ar-SA"/>
        </w:rPr>
        <w:t>质量指标</w:t>
      </w:r>
    </w:p>
    <w:p w14:paraId="3EB8CC4C">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“房屋征收补偿25%资金合规率预期指标值为=100%”</w:t>
      </w:r>
    </w:p>
    <w:p w14:paraId="12943877">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③</w:t>
      </w:r>
      <w:r>
        <w:rPr>
          <w:rFonts w:hint="eastAsia" w:ascii="Times New Roman" w:hAnsi="Times New Roman" w:eastAsia="仿宋_GB2312" w:cs="Times New Roman"/>
          <w:b w:val="0"/>
          <w:bCs w:val="0"/>
          <w:kern w:val="2"/>
          <w:sz w:val="32"/>
          <w:szCs w:val="32"/>
          <w:highlight w:val="none"/>
          <w:lang w:val="en-US" w:eastAsia="zh-CN" w:bidi="ar-SA"/>
        </w:rPr>
        <w:t>失效指标</w:t>
      </w:r>
    </w:p>
    <w:p w14:paraId="04586DFB">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“项目完成时间预期指标值为=2024年12月31日，征收补偿资金25%支付及时率预期指标值为=100%”</w:t>
      </w:r>
    </w:p>
    <w:p w14:paraId="74298769">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2</w:t>
      </w:r>
      <w:r>
        <w:rPr>
          <w:rFonts w:hint="eastAsia" w:ascii="Times New Roman" w:hAnsi="Times New Roman" w:eastAsia="仿宋_GB2312" w:cs="Times New Roman"/>
          <w:b w:val="0"/>
          <w:bCs w:val="0"/>
          <w:kern w:val="2"/>
          <w:sz w:val="32"/>
          <w:szCs w:val="32"/>
          <w:highlight w:val="none"/>
          <w:lang w:val="en-US" w:eastAsia="zh-CN" w:bidi="ar-SA"/>
        </w:rPr>
        <w:t>）项目成本指标</w:t>
      </w:r>
    </w:p>
    <w:p w14:paraId="217F1DD7">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①</w:t>
      </w:r>
      <w:r>
        <w:rPr>
          <w:rFonts w:hint="eastAsia" w:ascii="Times New Roman" w:hAnsi="Times New Roman" w:eastAsia="仿宋_GB2312" w:cs="Times New Roman"/>
          <w:b w:val="0"/>
          <w:bCs w:val="0"/>
          <w:kern w:val="2"/>
          <w:sz w:val="32"/>
          <w:szCs w:val="32"/>
          <w:highlight w:val="none"/>
          <w:lang w:val="en-US" w:eastAsia="zh-CN" w:bidi="ar-SA"/>
        </w:rPr>
        <w:t>经济成本指标</w:t>
      </w:r>
    </w:p>
    <w:p w14:paraId="256F8861">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“征收补偿差价预期指标值为&lt;=25%”</w:t>
      </w:r>
    </w:p>
    <w:p w14:paraId="3E51EA56">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（3）项目效益指标</w:t>
      </w:r>
    </w:p>
    <w:p w14:paraId="62F6C85C">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①社会效益指标</w:t>
      </w:r>
    </w:p>
    <w:p w14:paraId="4DAB17D8">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“加大入户率、广泛宣传政策预期指标值为&gt;=100户&gt;”</w:t>
      </w:r>
    </w:p>
    <w:p w14:paraId="62961765">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4</w:t>
      </w:r>
      <w:r>
        <w:rPr>
          <w:rFonts w:hint="eastAsia" w:ascii="Times New Roman" w:hAnsi="Times New Roman" w:eastAsia="仿宋_GB2312" w:cs="Times New Roman"/>
          <w:b w:val="0"/>
          <w:bCs w:val="0"/>
          <w:kern w:val="2"/>
          <w:sz w:val="32"/>
          <w:szCs w:val="32"/>
          <w:highlight w:val="none"/>
          <w:lang w:val="en-US" w:eastAsia="zh-CN" w:bidi="ar-SA"/>
        </w:rPr>
        <w:t>）项目相关满意度目标</w:t>
      </w:r>
    </w:p>
    <w:p w14:paraId="4FE34369">
      <w:pPr>
        <w:pStyle w:val="2"/>
        <w:keepLines w:val="0"/>
        <w:pageBreakBefore w:val="0"/>
        <w:kinsoku/>
        <w:wordWrap/>
        <w:overflowPunct/>
        <w:topLinePunct w:val="0"/>
        <w:autoSpaceDE/>
        <w:autoSpaceDN/>
        <w:bidi w:val="0"/>
        <w:adjustRightInd/>
        <w:snapToGrid/>
        <w:spacing w:before="0" w:after="0"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①</w:t>
      </w:r>
      <w:r>
        <w:rPr>
          <w:rFonts w:hint="eastAsia" w:ascii="Times New Roman" w:hAnsi="Times New Roman" w:eastAsia="仿宋_GB2312" w:cs="Times New Roman"/>
          <w:b w:val="0"/>
          <w:bCs w:val="0"/>
          <w:kern w:val="2"/>
          <w:sz w:val="32"/>
          <w:szCs w:val="32"/>
          <w:highlight w:val="none"/>
          <w:lang w:val="en-US" w:eastAsia="zh-CN" w:bidi="ar-SA"/>
        </w:rPr>
        <w:t>满意度指标</w:t>
      </w:r>
    </w:p>
    <w:p w14:paraId="68AB72F7">
      <w:pPr>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“被征收户满意度预期指标值为&gt;=95%”。</w:t>
      </w:r>
    </w:p>
    <w:p w14:paraId="0F93C0D9">
      <w:pPr>
        <w:spacing w:line="560" w:lineRule="exact"/>
        <w:ind w:firstLine="600" w:firstLineChars="200"/>
        <w:rPr>
          <w:rFonts w:hint="default" w:ascii="Times New Roman" w:hAnsi="Times New Roman" w:eastAsia="仿宋_GB2312" w:cs="Times New Roman"/>
          <w:color w:val="FF0000"/>
          <w:sz w:val="30"/>
          <w:szCs w:val="30"/>
          <w:highlight w:val="none"/>
          <w:lang w:val="en-US" w:eastAsia="zh-CN"/>
        </w:rPr>
      </w:pPr>
    </w:p>
    <w:p w14:paraId="2535C34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F296DB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EFE1F5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3032BAF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AF97F6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457EFF1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3071EC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B9D257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91494F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18E334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369D7A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效益以及可持续性等多维度指标，为项目后续的改进与优化提供科学依据。</w:t>
      </w:r>
    </w:p>
    <w:p w14:paraId="025B9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082E9F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8DAEA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155BE5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7967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45ECA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CED43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95E2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97CD0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DC311A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2272C2D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本项目预算绩效评价报告的评价对象是托里县房屋征收补偿差价25%资金的项目及其预算执行情况。该项目由</w:t>
      </w:r>
      <w:r>
        <w:rPr>
          <w:rFonts w:hint="eastAsia" w:ascii="Times New Roman" w:hAnsi="Times New Roman" w:eastAsia="仿宋_GB2312" w:cs="Times New Roman"/>
          <w:sz w:val="32"/>
          <w:szCs w:val="32"/>
          <w:highlight w:val="none"/>
          <w:lang w:val="en-US" w:eastAsia="zh-CN"/>
        </w:rPr>
        <w:t>托里县国有土地上房屋征收与补偿服务中心</w:t>
      </w:r>
      <w:r>
        <w:rPr>
          <w:rFonts w:hint="default" w:ascii="Times New Roman" w:hAnsi="Times New Roman" w:eastAsia="仿宋_GB2312" w:cs="Times New Roman"/>
          <w:sz w:val="32"/>
          <w:szCs w:val="32"/>
          <w:highlight w:val="none"/>
          <w:lang w:val="en-US" w:eastAsia="zh-CN"/>
        </w:rPr>
        <w:t>负责实施，旨在2024年其他项目类-托里县房屋征收补偿差价25%资金的项目资金执行985.112010万元，资金执行率100%，项目完成征收户71户，补偿资金合格率100%，补偿资金支付及时率100%，资金支付执行率100%，通过项目实施进一步规范国有土地上房屋征收与补偿工作，维护公共利益，保障被征收人的合法权益，促进房屋征收工作依法、有序开展。项目预算涵盖从</w:t>
      </w:r>
      <w:r>
        <w:rPr>
          <w:rFonts w:hint="eastAsia" w:ascii="Times New Roman" w:hAnsi="Times New Roman" w:eastAsia="仿宋_GB2312" w:cs="Times New Roman"/>
          <w:sz w:val="32"/>
          <w:szCs w:val="32"/>
          <w:highlight w:val="none"/>
          <w:lang w:val="en-US" w:eastAsia="zh-CN"/>
        </w:rPr>
        <w:t>2024年1月</w:t>
      </w:r>
      <w:r>
        <w:rPr>
          <w:rFonts w:hint="default" w:ascii="Times New Roman" w:hAnsi="Times New Roman" w:eastAsia="仿宋_GB2312" w:cs="Times New Roman"/>
          <w:sz w:val="32"/>
          <w:szCs w:val="32"/>
          <w:highlight w:val="none"/>
          <w:lang w:val="en-US" w:eastAsia="zh-CN"/>
        </w:rPr>
        <w:t>至</w:t>
      </w:r>
      <w:r>
        <w:rPr>
          <w:rFonts w:hint="eastAsia" w:ascii="Times New Roman" w:hAnsi="Times New Roman" w:eastAsia="仿宋_GB2312" w:cs="Times New Roman"/>
          <w:sz w:val="32"/>
          <w:szCs w:val="32"/>
          <w:highlight w:val="none"/>
          <w:lang w:val="en-US" w:eastAsia="zh-CN"/>
        </w:rPr>
        <w:t>2024年12月</w:t>
      </w:r>
      <w:r>
        <w:rPr>
          <w:rFonts w:hint="default" w:ascii="Times New Roman" w:hAnsi="Times New Roman" w:eastAsia="仿宋_GB2312" w:cs="Times New Roman"/>
          <w:sz w:val="32"/>
          <w:szCs w:val="32"/>
          <w:highlight w:val="none"/>
          <w:lang w:val="en-US" w:eastAsia="zh-CN"/>
        </w:rPr>
        <w:t>的全部资金投入与支出，涉及资金总额为985.112010万元。</w:t>
      </w:r>
    </w:p>
    <w:p w14:paraId="231D7EA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3C956A4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05972FC5">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306EB4E">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5DAF4332">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8431EC8">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14:paraId="212C6BD2">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4C7A79B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2195AD03">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426CE881">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3D668BA6">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4AFCE369">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31E8E28C">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119A8FD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5CEDD17D">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69AAFF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55DF51A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24A2A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2AB946D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在绩效评价指标体系中，项目产出权重为40分，项目成本权重为20分，项目效益权重为20分，项目满意度权重为10分。</w:t>
      </w:r>
    </w:p>
    <w:p w14:paraId="5748F82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2769F79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D3F1E90">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2FA25384">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45024A3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7926601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773552D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C67DF1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124140F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250DC67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3A67BBC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2E4E54F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7A9E6F7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5C40961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75F9890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3B1F7FF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171A530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558CF0C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14:paraId="256797B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14:paraId="0385065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14:paraId="5E14D85C">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47908B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85627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2FF46D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1E06C8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1C05D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4C297F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79719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B942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5DDCC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686B1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205BB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82948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A08CD57">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64D498EA">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303BD4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本项目的综合评价基于对项目各方面绩效的深入分析与评估。从项目目标的达成情况来看，托里县房屋征收补偿差价25%资金的项目在</w:t>
      </w:r>
      <w:r>
        <w:rPr>
          <w:rFonts w:hint="eastAsia" w:ascii="Times New Roman" w:hAnsi="Times New Roman" w:eastAsia="仿宋_GB2312" w:cs="Times New Roman"/>
          <w:sz w:val="32"/>
          <w:szCs w:val="32"/>
          <w:highlight w:val="none"/>
          <w:lang w:val="en-US" w:eastAsia="zh-CN"/>
        </w:rPr>
        <w:t>资金执行985.112010万元，资金执行率100%，项目完成征收户71户，补偿资金合格率100%，补偿资金支付及时率100%，资金支付执行率100%，通过项目实施进一步规范国有土地上房屋征收与补偿工作，维护公共利益，保障被征收人的合法权益，促进房屋征收工作依法、有序开展。</w:t>
      </w:r>
      <w:r>
        <w:rPr>
          <w:rFonts w:hint="default" w:ascii="Times New Roman" w:hAnsi="Times New Roman" w:eastAsia="仿宋_GB2312" w:cs="Times New Roman"/>
          <w:sz w:val="32"/>
          <w:szCs w:val="32"/>
          <w:highlight w:val="none"/>
          <w:lang w:eastAsia="zh-CN"/>
        </w:rPr>
        <w:t>等方面表现出色，达到了预期的标准与要求。同时，项目也在</w:t>
      </w:r>
      <w:r>
        <w:rPr>
          <w:rFonts w:hint="eastAsia" w:ascii="Times New Roman" w:hAnsi="Times New Roman" w:eastAsia="仿宋_GB2312" w:cs="Times New Roman"/>
          <w:sz w:val="32"/>
          <w:szCs w:val="32"/>
          <w:highlight w:val="none"/>
          <w:lang w:eastAsia="zh-CN"/>
        </w:rPr>
        <w:t>托里县征收补偿工作中</w:t>
      </w:r>
      <w:r>
        <w:rPr>
          <w:rFonts w:hint="default" w:ascii="Times New Roman" w:hAnsi="Times New Roman" w:eastAsia="仿宋_GB2312" w:cs="Times New Roman"/>
          <w:sz w:val="32"/>
          <w:szCs w:val="32"/>
          <w:highlight w:val="none"/>
          <w:lang w:eastAsia="zh-CN"/>
        </w:rPr>
        <w:t>取得了显著的成效，如</w:t>
      </w:r>
      <w:r>
        <w:rPr>
          <w:rFonts w:hint="eastAsia" w:ascii="Times New Roman" w:hAnsi="Times New Roman" w:eastAsia="仿宋_GB2312" w:cs="Times New Roman"/>
          <w:sz w:val="32"/>
          <w:szCs w:val="32"/>
          <w:highlight w:val="none"/>
          <w:lang w:val="en-US" w:eastAsia="zh-CN"/>
        </w:rPr>
        <w:t>通过项目实施进一步规范国有土地上房屋征收与补偿工作，维护公共利益，保障被征收人的合法权益，促进房屋征收工作依法、有序开展。</w:t>
      </w:r>
      <w:r>
        <w:rPr>
          <w:rFonts w:hint="default" w:ascii="Times New Roman" w:hAnsi="Times New Roman" w:eastAsia="仿宋_GB2312" w:cs="Times New Roman"/>
          <w:sz w:val="32"/>
          <w:szCs w:val="32"/>
          <w:highlight w:val="none"/>
          <w:lang w:eastAsia="zh-CN"/>
        </w:rPr>
        <w:t>等。</w:t>
      </w:r>
    </w:p>
    <w:p w14:paraId="2B7EBC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在项目管理方面，</w:t>
      </w:r>
      <w:r>
        <w:rPr>
          <w:rFonts w:hint="eastAsia" w:ascii="Times New Roman" w:hAnsi="Times New Roman" w:eastAsia="仿宋_GB2312" w:cs="Times New Roman"/>
          <w:sz w:val="32"/>
          <w:szCs w:val="32"/>
          <w:highlight w:val="none"/>
          <w:lang w:eastAsia="zh-CN"/>
        </w:rPr>
        <w:t>托里县国有土地上房屋征收与补偿服务中心</w:t>
      </w:r>
      <w:r>
        <w:rPr>
          <w:rFonts w:hint="default" w:ascii="Times New Roman" w:hAnsi="Times New Roman" w:eastAsia="仿宋_GB2312" w:cs="Times New Roman"/>
          <w:sz w:val="32"/>
          <w:szCs w:val="32"/>
          <w:highlight w:val="none"/>
          <w:lang w:eastAsia="zh-CN"/>
        </w:rPr>
        <w:t>通过有效的规划、组织与协调，项目得以顺利实施，并在预算与时间上保持了良好的控制。</w:t>
      </w:r>
    </w:p>
    <w:p w14:paraId="65967D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从项目效益的角度来看，本项目不仅实现了预期的社会效益、等方面产生了积极的影响。具体而言，</w:t>
      </w:r>
      <w:r>
        <w:rPr>
          <w:rFonts w:hint="eastAsia" w:ascii="Times New Roman" w:hAnsi="Times New Roman" w:eastAsia="仿宋_GB2312" w:cs="Times New Roman"/>
          <w:sz w:val="32"/>
          <w:szCs w:val="32"/>
          <w:highlight w:val="none"/>
          <w:lang w:eastAsia="zh-CN"/>
        </w:rPr>
        <w:t>在征收片区范围入户宣传力度明显加大</w:t>
      </w:r>
      <w:r>
        <w:rPr>
          <w:rFonts w:hint="default" w:ascii="Times New Roman" w:hAnsi="Times New Roman" w:eastAsia="仿宋_GB2312" w:cs="Times New Roman"/>
          <w:sz w:val="32"/>
          <w:szCs w:val="32"/>
          <w:highlight w:val="none"/>
          <w:lang w:eastAsia="zh-CN"/>
        </w:rPr>
        <w:t>等方面的提升，为项目的利益相关者带来了实实在在的利益。</w:t>
      </w:r>
    </w:p>
    <w:p w14:paraId="1F62BD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lang w:eastAsia="zh-CN"/>
        </w:rPr>
        <w:t>综上所述，托里县房屋征收补偿差价25%资金的项目在绩效评价中表现出色，达到了项目的预期目标，并在多个方面取得了显著的成效。</w:t>
      </w:r>
    </w:p>
    <w:p w14:paraId="3135C0A8">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38F8D49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89.87</w:t>
      </w:r>
      <w:r>
        <w:rPr>
          <w:rFonts w:hint="default" w:ascii="Times New Roman" w:hAnsi="Times New Roman" w:eastAsia="仿宋_GB2312" w:cs="Times New Roman"/>
          <w:b w:val="0"/>
          <w:bCs w:val="0"/>
          <w:highlight w:val="none"/>
        </w:rPr>
        <w:t>分，属于“良”。其中，项目决策类指标权重为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分，得分为 20分，得分率为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39.87</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38070CBE">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4998" w:type="pct"/>
        <w:jc w:val="center"/>
        <w:tblLayout w:type="autofit"/>
        <w:tblCellMar>
          <w:top w:w="0" w:type="dxa"/>
          <w:left w:w="108" w:type="dxa"/>
          <w:bottom w:w="0" w:type="dxa"/>
          <w:right w:w="108" w:type="dxa"/>
        </w:tblCellMar>
      </w:tblPr>
      <w:tblGrid>
        <w:gridCol w:w="2939"/>
        <w:gridCol w:w="2031"/>
        <w:gridCol w:w="2134"/>
        <w:gridCol w:w="2134"/>
      </w:tblGrid>
      <w:tr w14:paraId="0E6D44B6">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2B2775FC">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27CB4FAD">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11B6C75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030FC4A4">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511C2B4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757B76F0">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617B0D9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FE595B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D7E2E1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6336879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574094E">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40E465C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A3C95F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9BEDE6F">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76A5001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75B5BF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66DC9B6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4ACAB71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39.87</w:t>
            </w:r>
          </w:p>
        </w:tc>
        <w:tc>
          <w:tcPr>
            <w:tcW w:w="1154" w:type="pct"/>
            <w:tcBorders>
              <w:top w:val="nil"/>
              <w:left w:val="nil"/>
              <w:bottom w:val="single" w:color="auto" w:sz="4" w:space="0"/>
              <w:right w:val="single" w:color="auto" w:sz="4" w:space="0"/>
            </w:tcBorders>
            <w:shd w:val="clear" w:color="auto" w:fill="auto"/>
            <w:vAlign w:val="center"/>
          </w:tcPr>
          <w:p w14:paraId="6D7DE76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99%</w:t>
            </w:r>
          </w:p>
        </w:tc>
      </w:tr>
      <w:tr w14:paraId="29315C4C">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7C994A9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3E89200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1A84927F">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w:t>
            </w:r>
          </w:p>
        </w:tc>
        <w:tc>
          <w:tcPr>
            <w:tcW w:w="1154" w:type="pct"/>
            <w:tcBorders>
              <w:top w:val="nil"/>
              <w:left w:val="nil"/>
              <w:bottom w:val="single" w:color="auto" w:sz="4" w:space="0"/>
              <w:right w:val="single" w:color="auto" w:sz="4" w:space="0"/>
            </w:tcBorders>
            <w:shd w:val="clear" w:color="auto" w:fill="auto"/>
            <w:vAlign w:val="center"/>
          </w:tcPr>
          <w:p w14:paraId="488ABE3F">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F47577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45C071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30583553">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570B9E48">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89.87</w:t>
            </w:r>
          </w:p>
        </w:tc>
        <w:tc>
          <w:tcPr>
            <w:tcW w:w="1154" w:type="pct"/>
            <w:tcBorders>
              <w:top w:val="nil"/>
              <w:left w:val="nil"/>
              <w:bottom w:val="single" w:color="auto" w:sz="4" w:space="0"/>
              <w:right w:val="single" w:color="auto" w:sz="4" w:space="0"/>
            </w:tcBorders>
            <w:shd w:val="clear" w:color="auto" w:fill="auto"/>
            <w:vAlign w:val="center"/>
          </w:tcPr>
          <w:p w14:paraId="6BF073F9">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w:t>
            </w:r>
          </w:p>
        </w:tc>
      </w:tr>
    </w:tbl>
    <w:p w14:paraId="10FEA599">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7511B2A0">
      <w:pPr>
        <w:pStyle w:val="9"/>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24BDC1B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89.87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lang w:val="en-US" w:eastAsia="zh-CN"/>
        </w:rPr>
        <w:t>%。</w:t>
      </w:r>
    </w:p>
    <w:p w14:paraId="25E97DAB">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604821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32EFB84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C449B5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51FC1C3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A9B6BE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5A0BD82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06BE30A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80679F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4C04970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EAFF81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77C42A8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542223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499547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CF87A5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1AD19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CB2A3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D6347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EAA1B93">
      <w:pPr>
        <w:pStyle w:val="9"/>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07514A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DA9B8A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6F32DCC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6E45071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985.11</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6468CD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0B6D0E1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985.11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315487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7C1176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78A0D1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C49F6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8922DF1">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E199D4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153990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4F73A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91760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0CA7F8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2CF0D0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0C7CC9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73ED28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2CD0B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3D8EEDF2">
      <w:pPr>
        <w:pStyle w:val="10"/>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012B7F6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39.87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lang w:val="en-US" w:eastAsia="zh-CN"/>
        </w:rPr>
        <w:t>%。具体产出指标完成情况如下：</w:t>
      </w:r>
    </w:p>
    <w:p w14:paraId="3AD7AC9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739365E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被征收户户数</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被征收户户数&gt;=72户</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=71户</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开展房屋征收补偿工作中个别拆迁户25%补偿资金超出规定补偿范围，经单位研究决定超出部分不多，为顺利完成片区征收补偿工作正常进行支付，所以存在偏差1%；改进措施：结合单位实际做好年初计划达到指标按成率100%。</w:t>
      </w:r>
    </w:p>
    <w:p w14:paraId="4A8CCEE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14AB9956">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补偿资金合规率</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补偿资金合规率=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14:paraId="496F0C5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7E18250F">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项目完成时间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2024年12月25日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14:paraId="13601B7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0787D8E8">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征收补偿差价</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&lt;=25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14:paraId="12045628">
      <w:pPr>
        <w:pStyle w:val="10"/>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5429433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1CE07C8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64A56EB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0F1DE182">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征收补偿差价</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&lt;=25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14:paraId="1866006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708FCAAF">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加大入户率、广泛宣传政策</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&lt;=</w:t>
      </w:r>
      <w:r>
        <w:rPr>
          <w:rFonts w:hint="eastAsia" w:eastAsia="仿宋_GB2312" w:cs="Times New Roman"/>
          <w:sz w:val="32"/>
          <w:szCs w:val="32"/>
          <w:highlight w:val="none"/>
          <w:lang w:val="en-US" w:eastAsia="zh-CN"/>
        </w:rPr>
        <w:t>100户</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14:paraId="5643C33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BDD550C">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①满意度指</w:t>
      </w:r>
      <w:r>
        <w:rPr>
          <w:rFonts w:hint="eastAsia" w:eastAsia="仿宋_GB2312" w:cs="Times New Roman"/>
          <w:sz w:val="32"/>
          <w:szCs w:val="32"/>
          <w:highlight w:val="none"/>
          <w:lang w:val="en-US" w:eastAsia="zh-CN"/>
        </w:rPr>
        <w:t>：</w:t>
      </w:r>
    </w:p>
    <w:p w14:paraId="6D73ED55">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被征收户满意度</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&lt;=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14:paraId="78381282">
      <w:pPr>
        <w:pStyle w:val="2"/>
        <w:rPr>
          <w:rFonts w:hint="default"/>
          <w:highlight w:val="none"/>
          <w:lang w:val="en-US" w:eastAsia="zh-CN"/>
        </w:rPr>
      </w:pPr>
    </w:p>
    <w:p w14:paraId="257BFC48">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705F8D0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托里县房屋征收补偿差价25%资金的</w:t>
      </w:r>
      <w:r>
        <w:rPr>
          <w:rFonts w:hint="default" w:ascii="Times New Roman" w:hAnsi="Times New Roman" w:eastAsia="仿宋_GB2312" w:cs="Times New Roman"/>
          <w:sz w:val="32"/>
          <w:szCs w:val="32"/>
          <w:highlight w:val="none"/>
          <w:lang w:eastAsia="zh-CN"/>
        </w:rPr>
        <w:t>项目年初预算</w:t>
      </w:r>
      <w:r>
        <w:rPr>
          <w:rFonts w:hint="eastAsia" w:ascii="Times New Roman" w:hAnsi="Times New Roman" w:eastAsia="仿宋_GB2312" w:cs="Times New Roman"/>
          <w:sz w:val="32"/>
          <w:szCs w:val="32"/>
          <w:highlight w:val="none"/>
          <w:lang w:val="en-US" w:eastAsia="zh-CN"/>
        </w:rPr>
        <w:t>985.11</w:t>
      </w:r>
      <w:r>
        <w:rPr>
          <w:rFonts w:hint="default" w:ascii="Times New Roman" w:hAnsi="Times New Roman" w:eastAsia="仿宋_GB2312" w:cs="Times New Roman"/>
          <w:sz w:val="32"/>
          <w:szCs w:val="32"/>
          <w:highlight w:val="none"/>
          <w:lang w:eastAsia="zh-CN"/>
        </w:rPr>
        <w:t>万元，全年预算</w:t>
      </w:r>
      <w:r>
        <w:rPr>
          <w:rFonts w:hint="eastAsia" w:ascii="Times New Roman" w:hAnsi="Times New Roman" w:eastAsia="仿宋_GB2312" w:cs="Times New Roman"/>
          <w:sz w:val="32"/>
          <w:szCs w:val="32"/>
          <w:highlight w:val="none"/>
          <w:lang w:val="en-US" w:eastAsia="zh-CN"/>
        </w:rPr>
        <w:t>985.11</w:t>
      </w:r>
      <w:r>
        <w:rPr>
          <w:rFonts w:hint="default" w:ascii="Times New Roman" w:hAnsi="Times New Roman" w:eastAsia="仿宋_GB2312" w:cs="Times New Roman"/>
          <w:sz w:val="32"/>
          <w:szCs w:val="32"/>
          <w:highlight w:val="none"/>
          <w:lang w:eastAsia="zh-CN"/>
        </w:rPr>
        <w:t>万元，实际支出</w:t>
      </w:r>
      <w:r>
        <w:rPr>
          <w:rFonts w:hint="eastAsia" w:ascii="Times New Roman" w:hAnsi="Times New Roman" w:eastAsia="仿宋_GB2312" w:cs="Times New Roman"/>
          <w:sz w:val="32"/>
          <w:szCs w:val="32"/>
          <w:highlight w:val="none"/>
          <w:lang w:val="en-US" w:eastAsia="zh-CN"/>
        </w:rPr>
        <w:t>985.11</w:t>
      </w:r>
      <w:r>
        <w:rPr>
          <w:rFonts w:hint="default" w:ascii="Times New Roman" w:hAnsi="Times New Roman" w:eastAsia="仿宋_GB2312" w:cs="Times New Roman"/>
          <w:sz w:val="32"/>
          <w:szCs w:val="32"/>
          <w:highlight w:val="none"/>
          <w:lang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eastAsia="zh-CN"/>
        </w:rPr>
        <w:t>%，项目绩效指标总体完成率为99%，总体偏差率为1%</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偏差</w:t>
      </w:r>
      <w:r>
        <w:rPr>
          <w:rFonts w:hint="default" w:ascii="Times New Roman" w:hAnsi="Times New Roman" w:eastAsia="仿宋_GB2312" w:cs="Times New Roman"/>
          <w:sz w:val="32"/>
          <w:szCs w:val="32"/>
          <w:highlight w:val="none"/>
          <w:lang w:eastAsia="zh-CN"/>
        </w:rPr>
        <w:t>原因展房屋征收补偿工作中个别拆迁户25%补偿资金超出规定补偿范围，经单位研究决定超出部分不多，为顺利完成片区征收补偿工作正常进行支付，所以存在偏差1%，</w:t>
      </w:r>
      <w:r>
        <w:rPr>
          <w:rFonts w:hint="default" w:ascii="Times New Roman" w:hAnsi="Times New Roman" w:eastAsia="仿宋_GB2312" w:cs="Times New Roman"/>
          <w:sz w:val="32"/>
          <w:szCs w:val="32"/>
          <w:highlight w:val="none"/>
        </w:rPr>
        <w:t>改进</w:t>
      </w:r>
      <w:r>
        <w:rPr>
          <w:rFonts w:hint="default" w:ascii="Times New Roman" w:hAnsi="Times New Roman" w:eastAsia="仿宋_GB2312" w:cs="Times New Roman"/>
          <w:sz w:val="32"/>
          <w:szCs w:val="32"/>
          <w:highlight w:val="none"/>
          <w:lang w:eastAsia="zh-CN"/>
        </w:rPr>
        <w:t>措施</w:t>
      </w:r>
      <w:r>
        <w:rPr>
          <w:rFonts w:hint="eastAsia" w:ascii="Times New Roman" w:hAnsi="Times New Roman" w:eastAsia="仿宋_GB2312" w:cs="Times New Roman"/>
          <w:sz w:val="32"/>
          <w:szCs w:val="32"/>
          <w:highlight w:val="none"/>
          <w:lang w:eastAsia="zh-CN"/>
        </w:rPr>
        <w:t>结合单位实际做好年初计划达到指标按成率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eastAsia="zh-CN"/>
        </w:rPr>
        <w:t>。</w:t>
      </w:r>
    </w:p>
    <w:p w14:paraId="572018FB">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w:t>
      </w:r>
      <w:bookmarkStart w:id="1" w:name="_GoBack"/>
      <w:bookmarkEnd w:id="1"/>
      <w:r>
        <w:rPr>
          <w:rFonts w:hint="default" w:ascii="Times New Roman" w:hAnsi="Times New Roman" w:eastAsia="黑体" w:cs="Times New Roman"/>
          <w:sz w:val="32"/>
          <w:szCs w:val="32"/>
          <w:highlight w:val="none"/>
        </w:rPr>
        <w:t>在的问题及原因分析</w:t>
      </w:r>
    </w:p>
    <w:p w14:paraId="35133EE0">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3E39D52D">
      <w:pPr>
        <w:pStyle w:val="2"/>
        <w:keepLines w:val="0"/>
        <w:pageBreakBefore w:val="0"/>
        <w:widowControl/>
        <w:kinsoku/>
        <w:wordWrap/>
        <w:overflowPunct/>
        <w:topLinePunct w:val="0"/>
        <w:autoSpaceDE/>
        <w:autoSpaceDN/>
        <w:bidi w:val="0"/>
        <w:adjustRightInd/>
        <w:snapToGrid/>
        <w:spacing w:before="0" w:after="0" w:line="60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本项目通过绩效目标评价管理，总结了工作中的较好的经验。项目实施过程中，我单位根据相关实施方案等要求保障了项目的顺利实施。</w:t>
      </w:r>
    </w:p>
    <w:p w14:paraId="23AB3A6B">
      <w:pPr>
        <w:pStyle w:val="2"/>
        <w:keepLines w:val="0"/>
        <w:pageBreakBefore w:val="0"/>
        <w:widowControl/>
        <w:kinsoku/>
        <w:wordWrap/>
        <w:overflowPunct/>
        <w:topLinePunct w:val="0"/>
        <w:autoSpaceDE/>
        <w:autoSpaceDN/>
        <w:bidi w:val="0"/>
        <w:adjustRightInd/>
        <w:snapToGrid/>
        <w:spacing w:before="0" w:after="0" w:line="60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2E0DC26">
      <w:pPr>
        <w:pStyle w:val="9"/>
        <w:keepLines w:val="0"/>
        <w:pageBreakBefore w:val="0"/>
        <w:widowControl/>
        <w:kinsoku/>
        <w:wordWrap/>
        <w:overflowPunct/>
        <w:topLinePunct w:val="0"/>
        <w:autoSpaceDE/>
        <w:autoSpaceDN/>
        <w:bidi w:val="0"/>
        <w:adjustRightInd/>
        <w:snapToGrid/>
        <w:spacing w:before="0" w:after="0" w:line="600" w:lineRule="exact"/>
        <w:ind w:firstLine="640" w:firstLineChars="200"/>
        <w:jc w:val="left"/>
        <w:textAlignment w:val="auto"/>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B203D7D">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60F2D87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BF7C97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405516D">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3.对各项指标和指标值要进一步优化、完善，主要在细化、量化上改进。</w:t>
      </w:r>
    </w:p>
    <w:p w14:paraId="778C19C0">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4.自评价工作还存在自我审定的局限性，会影响评价质量，容易造成问题的疏漏，在客观性和公正性上说服力不强。</w:t>
      </w:r>
    </w:p>
    <w:p w14:paraId="0513BB4E">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5.缺少带着问题去评价的意识，四是现场评价的工作量少，后续效益评价具体措施和方法较少。</w:t>
      </w:r>
    </w:p>
    <w:p w14:paraId="5A1D1CA2">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5E62454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550E289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2D04DE2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71A26ED">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5B11D23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D843B0E">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70F8AEE1">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0B59BCE2">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759C60E3">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2C49F984">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574BD4BD">
      <w:pPr>
        <w:pStyle w:val="11"/>
        <w:spacing w:after="0" w:line="560" w:lineRule="exact"/>
        <w:ind w:left="0" w:leftChars="0" w:firstLine="640" w:firstLineChars="200"/>
        <w:rPr>
          <w:rFonts w:hint="eastAsia" w:ascii="Times New Roman" w:hAnsi="Times New Roman" w:eastAsia="黑体" w:cs="Times New Roman"/>
          <w:sz w:val="32"/>
          <w:szCs w:val="32"/>
          <w:lang w:val="en-US" w:eastAsia="zh-CN"/>
        </w:rPr>
        <w:sectPr>
          <w:footerReference r:id="rId3" w:type="default"/>
          <w:pgSz w:w="11906" w:h="16838"/>
          <w:pgMar w:top="1440" w:right="1440" w:bottom="1440" w:left="1440" w:header="851" w:footer="992" w:gutter="0"/>
          <w:pgNumType w:start="1"/>
          <w:cols w:space="425" w:num="1"/>
          <w:docGrid w:type="lines" w:linePitch="312" w:charSpace="0"/>
        </w:sectPr>
      </w:pPr>
    </w:p>
    <w:p w14:paraId="34BC188C">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1C874B-68A6-4C7C-B2E3-67D26BEDEC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404D66CB-DC5B-427C-97B8-C7C8D0285AE5}"/>
  </w:font>
  <w:font w:name="华文中宋">
    <w:panose1 w:val="02010600040101010101"/>
    <w:charset w:val="86"/>
    <w:family w:val="auto"/>
    <w:pitch w:val="default"/>
    <w:sig w:usb0="00000287" w:usb1="080F0000" w:usb2="00000000" w:usb3="00000000" w:csb0="0004009F" w:csb1="DFD70000"/>
    <w:embedRegular r:id="rId3" w:fontKey="{287E0B11-6506-4DC2-9F36-85FD47ED6C4E}"/>
  </w:font>
  <w:font w:name="方正小标宋_GBK">
    <w:panose1 w:val="02000000000000000000"/>
    <w:charset w:val="86"/>
    <w:family w:val="script"/>
    <w:pitch w:val="default"/>
    <w:sig w:usb0="A00002BF" w:usb1="38CF7CFA" w:usb2="00082016" w:usb3="00000000" w:csb0="00040001" w:csb1="00000000"/>
    <w:embedRegular r:id="rId4" w:fontKey="{6CB59EA4-DECD-45D9-9069-CEFC659B2F02}"/>
  </w:font>
  <w:font w:name="楷体_GB2312">
    <w:altName w:val="楷体"/>
    <w:panose1 w:val="02010609030101010101"/>
    <w:charset w:val="86"/>
    <w:family w:val="auto"/>
    <w:pitch w:val="default"/>
    <w:sig w:usb0="00000000" w:usb1="00000000" w:usb2="00000000" w:usb3="00000000" w:csb0="00040000" w:csb1="00000000"/>
    <w:embedRegular r:id="rId5" w:fontKey="{49228A4D-0E68-4DF7-8577-CFFA781B35D6}"/>
  </w:font>
  <w:font w:name="方正仿宋_GBK">
    <w:altName w:val="微软雅黑"/>
    <w:panose1 w:val="03000509000000000000"/>
    <w:charset w:val="86"/>
    <w:family w:val="auto"/>
    <w:pitch w:val="default"/>
    <w:sig w:usb0="00000000" w:usb1="00000000" w:usb2="00000000" w:usb3="00000000" w:csb0="00040000" w:csb1="00000000"/>
    <w:embedRegular r:id="rId6" w:fontKey="{C13C3BBD-7F3E-4B8C-B6DA-F9139882CE9C}"/>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F76564C3-FDB1-4620-9225-446FFDD42DB1}"/>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9687493">
        <w:pPr>
          <w:pStyle w:val="6"/>
          <w:jc w:val="center"/>
        </w:pPr>
        <w:r>
          <w:fldChar w:fldCharType="begin"/>
        </w:r>
        <w:r>
          <w:instrText xml:space="preserve">PAGE   \* MERGEFORMAT</w:instrText>
        </w:r>
        <w:r>
          <w:fldChar w:fldCharType="separate"/>
        </w:r>
        <w:r>
          <w:rPr>
            <w:lang w:val="zh-CN"/>
          </w:rPr>
          <w:t>13</w:t>
        </w:r>
        <w:r>
          <w:fldChar w:fldCharType="end"/>
        </w:r>
      </w:p>
    </w:sdtContent>
  </w:sdt>
  <w:p w14:paraId="24867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ZmQ5YzMzODA4ODljYWFhNTg5Yjk2YmY2ZTc4MDcifQ=="/>
  </w:docVars>
  <w:rsids>
    <w:rsidRoot w:val="00000000"/>
    <w:rsid w:val="17A056A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A075C2AEC1C54D1693797747003CB0A9_13</vt:lpwstr>
  </property>
  <property fmtid="{D5CDD505-2E9C-101B-9397-08002B2CF9AE}" pid="4" name="KSOTemplateDocerSaveRecord">
    <vt:lpwstr>eyJoZGlkIjoiYTQ0ZmRiZWU1ZmFmM2ZlZjNjZjRiMzRlMjZkYTUwY2YiLCJ1c2VySWQiOiIxNjgwNzMzMDc2In0=</vt:lpwstr>
  </property>
</Properties>
</file>

<file path=customXml/itemProps1.xml><?xml version="1.0" encoding="utf-8"?>
<ds:datastoreItem xmlns:ds="http://schemas.openxmlformats.org/officeDocument/2006/customXml" ds:itemID="{ae815857-85df-43a9-99a2-dad3f6f2b5b0}">
  <ds:schemaRefs/>
</ds:datastoreItem>
</file>

<file path=docProps/app.xml><?xml version="1.0" encoding="utf-8"?>
<Properties xmlns="http://schemas.openxmlformats.org/officeDocument/2006/extended-properties" xmlns:vt="http://schemas.openxmlformats.org/officeDocument/2006/docPropsVTypes">
  <Template>Normal</Template>
  <Pages>25</Pages>
  <Words>10773</Words>
  <Characters>11279</Characters>
  <Lines>58</Lines>
  <Paragraphs>16</Paragraphs>
  <TotalTime>13</TotalTime>
  <ScaleCrop>false</ScaleCrop>
  <LinksUpToDate>false</LinksUpToDate>
  <CharactersWithSpaces>11287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dcterms:modified xsi:type="dcterms:W3CDTF">2025-10-31T07:35:46Z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eyJoZGlkIjoiMjEwMjVmNmU3OTQwZDBjNjI0ZTM3MTBmNDI0OGIzYzIiLCJ1c2VySWQiOiIyMDM3MTI1NTkifQ==</vt:lpwstr>
  </property>
</Properties>
</file>