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B640F"/>
    <w:p w14:paraId="4CA635E4">
      <w:pPr>
        <w:spacing w:line="540" w:lineRule="exact"/>
        <w:jc w:val="center"/>
        <w:rPr>
          <w:rFonts w:hint="default" w:ascii="Times New Roman" w:hAnsi="Times New Roman" w:eastAsia="华文中宋" w:cs="Times New Roman"/>
          <w:b/>
          <w:kern w:val="0"/>
          <w:sz w:val="52"/>
          <w:szCs w:val="52"/>
        </w:rPr>
      </w:pPr>
    </w:p>
    <w:p w14:paraId="7DFA1472">
      <w:pPr>
        <w:spacing w:line="540" w:lineRule="exact"/>
        <w:jc w:val="both"/>
        <w:rPr>
          <w:rFonts w:hint="default" w:ascii="Times New Roman" w:hAnsi="Times New Roman" w:eastAsia="华文中宋" w:cs="Times New Roman"/>
          <w:b/>
          <w:kern w:val="0"/>
          <w:sz w:val="52"/>
          <w:szCs w:val="52"/>
        </w:rPr>
      </w:pPr>
    </w:p>
    <w:p w14:paraId="1DCBEE6F">
      <w:pPr>
        <w:spacing w:line="540" w:lineRule="exact"/>
        <w:jc w:val="center"/>
        <w:rPr>
          <w:rFonts w:hint="default" w:ascii="Times New Roman" w:hAnsi="Times New Roman" w:eastAsia="方正小标宋_GBK" w:cs="Times New Roman"/>
          <w:kern w:val="0"/>
          <w:sz w:val="48"/>
          <w:szCs w:val="48"/>
        </w:rPr>
      </w:pPr>
      <w:r>
        <w:rPr>
          <w:rFonts w:hint="eastAsia" w:ascii="Times New Roman" w:hAnsi="Times New Roman" w:eastAsia="方正小标宋_GBK" w:cs="Times New Roman"/>
          <w:kern w:val="0"/>
          <w:sz w:val="48"/>
          <w:szCs w:val="48"/>
          <w:lang w:val="en-US" w:eastAsia="zh-CN"/>
        </w:rPr>
        <w:t>中国人民政治协商会议托里县委员会办公室</w:t>
      </w:r>
      <w:r>
        <w:rPr>
          <w:rFonts w:hint="default" w:ascii="Times New Roman" w:hAnsi="Times New Roman" w:eastAsia="方正小标宋_GBK" w:cs="Times New Roman"/>
          <w:kern w:val="0"/>
          <w:sz w:val="48"/>
          <w:szCs w:val="48"/>
        </w:rPr>
        <w:t>项目支出绩效评价</w:t>
      </w:r>
    </w:p>
    <w:p w14:paraId="4CF7BF7D">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2134C233">
      <w:pPr>
        <w:spacing w:line="540" w:lineRule="exact"/>
        <w:jc w:val="center"/>
        <w:rPr>
          <w:rFonts w:hint="default" w:ascii="Times New Roman" w:hAnsi="Times New Roman" w:eastAsia="华文中宋" w:cs="Times New Roman"/>
          <w:b/>
          <w:kern w:val="0"/>
          <w:sz w:val="52"/>
          <w:szCs w:val="52"/>
        </w:rPr>
      </w:pPr>
    </w:p>
    <w:p w14:paraId="5B977538">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14A4D02C">
      <w:pPr>
        <w:spacing w:line="540" w:lineRule="exact"/>
        <w:jc w:val="center"/>
        <w:rPr>
          <w:rFonts w:hint="default" w:ascii="Times New Roman" w:hAnsi="Times New Roman" w:eastAsia="仿宋_GB2312" w:cs="Times New Roman"/>
          <w:kern w:val="0"/>
          <w:sz w:val="30"/>
          <w:szCs w:val="30"/>
          <w:lang w:val="en-US" w:eastAsia="zh-CN"/>
        </w:rPr>
      </w:pPr>
    </w:p>
    <w:p w14:paraId="482A1079">
      <w:pPr>
        <w:spacing w:line="540" w:lineRule="exact"/>
        <w:jc w:val="center"/>
        <w:rPr>
          <w:rFonts w:hint="default" w:ascii="Times New Roman" w:hAnsi="Times New Roman" w:eastAsia="仿宋_GB2312" w:cs="Times New Roman"/>
          <w:kern w:val="0"/>
          <w:sz w:val="30"/>
          <w:szCs w:val="30"/>
        </w:rPr>
      </w:pPr>
    </w:p>
    <w:p w14:paraId="1035CEA8">
      <w:pPr>
        <w:spacing w:line="540" w:lineRule="exact"/>
        <w:jc w:val="center"/>
        <w:rPr>
          <w:rFonts w:hint="default" w:ascii="Times New Roman" w:hAnsi="Times New Roman" w:eastAsia="仿宋_GB2312" w:cs="Times New Roman"/>
          <w:kern w:val="0"/>
          <w:sz w:val="30"/>
          <w:szCs w:val="30"/>
        </w:rPr>
      </w:pPr>
    </w:p>
    <w:p w14:paraId="06D32089">
      <w:pPr>
        <w:pStyle w:val="9"/>
        <w:rPr>
          <w:rFonts w:hint="default" w:ascii="Times New Roman" w:hAnsi="Times New Roman" w:cs="Times New Roman"/>
        </w:rPr>
      </w:pPr>
    </w:p>
    <w:p w14:paraId="1F499210">
      <w:pPr>
        <w:spacing w:line="540" w:lineRule="exact"/>
        <w:jc w:val="center"/>
        <w:rPr>
          <w:rFonts w:hint="default" w:ascii="Times New Roman" w:hAnsi="Times New Roman" w:eastAsia="仿宋_GB2312" w:cs="Times New Roman"/>
          <w:kern w:val="0"/>
          <w:sz w:val="30"/>
          <w:szCs w:val="30"/>
        </w:rPr>
      </w:pPr>
    </w:p>
    <w:p w14:paraId="59E87CB8">
      <w:pPr>
        <w:spacing w:line="540" w:lineRule="exact"/>
        <w:rPr>
          <w:rFonts w:hint="default" w:ascii="Times New Roman" w:hAnsi="Times New Roman" w:eastAsia="仿宋_GB2312" w:cs="Times New Roman"/>
          <w:kern w:val="0"/>
          <w:sz w:val="30"/>
          <w:szCs w:val="30"/>
        </w:rPr>
      </w:pPr>
    </w:p>
    <w:p w14:paraId="6E5B9D64">
      <w:pPr>
        <w:ind w:firstLine="1440" w:firstLineChars="400"/>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4</w:t>
      </w:r>
      <w:r>
        <w:rPr>
          <w:rFonts w:hint="eastAsia" w:ascii="Times New Roman" w:hAnsi="Times New Roman" w:eastAsia="仿宋_GB2312" w:cs="Times New Roman"/>
          <w:kern w:val="0"/>
          <w:sz w:val="36"/>
          <w:szCs w:val="36"/>
        </w:rPr>
        <w:t>年基层政协补助经费项目</w:t>
      </w:r>
    </w:p>
    <w:p w14:paraId="73CCAC1A">
      <w:pPr>
        <w:ind w:left="5036" w:leftChars="684" w:hanging="3600" w:hangingChars="1000"/>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ascii="Times New Roman" w:hAnsi="Times New Roman" w:eastAsia="仿宋_GB2312" w:cs="Times New Roman"/>
          <w:kern w:val="0"/>
          <w:sz w:val="36"/>
          <w:szCs w:val="36"/>
        </w:rPr>
        <w:t>中国人民政治协商会议托里县委员会办公室</w:t>
      </w:r>
    </w:p>
    <w:p w14:paraId="0FE8831C">
      <w:pPr>
        <w:ind w:left="5036" w:leftChars="684" w:hanging="3600" w:hangingChars="1000"/>
        <w:rPr>
          <w:rFonts w:hint="eastAsia"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ascii="Times New Roman" w:hAnsi="Times New Roman" w:eastAsia="仿宋_GB2312" w:cs="Times New Roman"/>
          <w:kern w:val="0"/>
          <w:sz w:val="36"/>
          <w:szCs w:val="36"/>
        </w:rPr>
        <w:t>中国人民政治协商会议托里县委员会办公室</w:t>
      </w:r>
    </w:p>
    <w:p w14:paraId="71B25856">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陈杨飞</w:t>
      </w:r>
    </w:p>
    <w:p w14:paraId="428EEF83">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03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44D5560F">
      <w:pPr>
        <w:spacing w:line="540" w:lineRule="exact"/>
        <w:jc w:val="center"/>
        <w:rPr>
          <w:rFonts w:hint="default" w:ascii="Times New Roman" w:hAnsi="Times New Roman" w:eastAsia="仿宋_GB2312" w:cs="Times New Roman"/>
          <w:kern w:val="0"/>
          <w:sz w:val="30"/>
          <w:szCs w:val="30"/>
        </w:rPr>
      </w:pPr>
    </w:p>
    <w:p w14:paraId="11FE1F41">
      <w:pPr>
        <w:spacing w:line="540" w:lineRule="exact"/>
        <w:rPr>
          <w:rStyle w:val="15"/>
          <w:rFonts w:hint="default" w:ascii="Times New Roman" w:hAnsi="Times New Roman" w:eastAsia="黑体" w:cs="Times New Roman"/>
          <w:b w:val="0"/>
          <w:spacing w:val="-4"/>
          <w:sz w:val="32"/>
          <w:szCs w:val="32"/>
        </w:rPr>
      </w:pPr>
    </w:p>
    <w:p w14:paraId="397741B7">
      <w:pPr>
        <w:spacing w:line="540" w:lineRule="exact"/>
        <w:ind w:firstLine="640"/>
        <w:rPr>
          <w:rStyle w:val="15"/>
          <w:rFonts w:hint="default" w:ascii="Times New Roman" w:hAnsi="Times New Roman" w:eastAsia="黑体" w:cs="Times New Roman"/>
          <w:b w:val="0"/>
          <w:spacing w:val="-4"/>
          <w:sz w:val="32"/>
          <w:szCs w:val="32"/>
        </w:rPr>
      </w:pPr>
    </w:p>
    <w:p w14:paraId="0FDF0F94">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017159D">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528C315A">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3A0835D3">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2DCEBB1F">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在自治区政协自治区党委的关心、自治区人民政府的重视和自治区财政厅的支持下，为加强基层政协工作，改善基层政协工作条件，经财政部门批准设立“基层政协建设补助经费”。从2008年开始，基层政协建设补助经费每年列入财政预算。自治区政协按照“统筹兼顾、合理安排、面向基层、经费相对集中使用”的原则，要求各地州政协根据基层政协具体情况及基层政协困难轻重缓急程度，有重点的对全疆地州、市、县政协进行补助，自治区政协统筹考虑，确定具体补助安排方案，报财政厅审批拨付。</w:t>
      </w:r>
    </w:p>
    <w:p w14:paraId="44B67420">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115A9C84">
      <w:pPr>
        <w:spacing w:line="560" w:lineRule="exact"/>
        <w:ind w:firstLine="640" w:firstLineChars="200"/>
        <w:rPr>
          <w:rFonts w:hint="default" w:ascii="Times New Roman" w:hAnsi="Times New Roman" w:eastAsia="黑体" w:cs="Times New Roman"/>
          <w:highlight w:val="yellow"/>
          <w:lang w:eastAsia="zh-CN"/>
        </w:rPr>
      </w:pPr>
      <w:r>
        <w:rPr>
          <w:rFonts w:hint="default" w:ascii="Times New Roman" w:hAnsi="Times New Roman" w:eastAsia="仿宋_GB2312" w:cs="Times New Roman"/>
          <w:sz w:val="32"/>
          <w:szCs w:val="32"/>
          <w:lang w:val="en-US" w:eastAsia="zh-CN"/>
        </w:rPr>
        <w:t>项目主要内容：</w:t>
      </w:r>
      <w:r>
        <w:rPr>
          <w:rFonts w:hint="eastAsia" w:ascii="Times New Roman" w:hAnsi="Times New Roman" w:eastAsia="仿宋_GB2312" w:cs="Times New Roman"/>
          <w:sz w:val="32"/>
          <w:szCs w:val="32"/>
        </w:rPr>
        <w:t>基层政协补助经费主要用于弥补基层政协机关的经费缺口，加强基层政协工作。提升服务协商能力，高质量服务保障自治区政协重点协商议政活动；坚持守正创新，提升机关工作科学化、专业化、精细化水平；旗帜鲜明讲政治，始终坚定正确政治方向；着力加强自身建设，以党的政治建设为统领加强机关党的建设。</w:t>
      </w:r>
    </w:p>
    <w:p w14:paraId="2F1089D6">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项目实施情况：</w:t>
      </w:r>
      <w:r>
        <w:rPr>
          <w:rFonts w:hint="eastAsia" w:ascii="Times New Roman" w:hAnsi="Times New Roman" w:eastAsia="仿宋_GB2312" w:cs="Times New Roman"/>
          <w:sz w:val="32"/>
          <w:szCs w:val="32"/>
          <w:lang w:val="en-US" w:eastAsia="zh-CN"/>
        </w:rPr>
        <w:t>基层政协补助经费项目资金用于保障委员活动开展，采购办公用品、办公耗材，政协委员远程视频会议维护费、政协委员工作站建设费等费用，提高政治协商能力有效提高、进一步补充基层政协经费不足，组织政协委员开展调研视察、参政议政等活动，加强基层政协工作，积极开展政协委员的各项活动，进一步激励政协委员担当作为，为更好地开展政协工作奠定了良好的基础、加强基层政协工作。</w:t>
      </w:r>
    </w:p>
    <w:p w14:paraId="3A74AA4A">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0A4788EE">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（1）资金投入情况</w:t>
      </w:r>
    </w:p>
    <w:p w14:paraId="550BB243">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万元，全年预算数</w:t>
      </w:r>
      <w:r>
        <w:rPr>
          <w:rFonts w:hint="eastAsia" w:ascii="Times New Roman" w:hAnsi="Times New Roman" w:eastAsia="仿宋_GB2312" w:cs="Times New Roman"/>
          <w:sz w:val="32"/>
          <w:szCs w:val="32"/>
          <w:lang w:val="en-US" w:eastAsia="zh-CN"/>
        </w:rPr>
        <w:t>14.69</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2024年9月本单位申请追加2020年基层政协补助结余资金9.69万元</w:t>
      </w:r>
      <w:r>
        <w:rPr>
          <w:rFonts w:hint="default" w:ascii="Times New Roman" w:hAnsi="Times New Roman" w:eastAsia="仿宋_GB2312" w:cs="Times New Roman"/>
          <w:sz w:val="32"/>
          <w:szCs w:val="32"/>
          <w:lang w:val="en-US" w:eastAsia="zh-CN"/>
        </w:rPr>
        <w:t>），该项目资金已全部落实到位，资金来源为</w:t>
      </w:r>
      <w:r>
        <w:rPr>
          <w:rFonts w:hint="eastAsia" w:eastAsia="仿宋_GB2312" w:cs="Times New Roman"/>
          <w:sz w:val="32"/>
          <w:szCs w:val="32"/>
          <w:lang w:val="en-US" w:eastAsia="zh-CN"/>
        </w:rPr>
        <w:t>财政拨款</w:t>
      </w:r>
      <w:r>
        <w:rPr>
          <w:rFonts w:hint="default" w:ascii="Times New Roman" w:hAnsi="Times New Roman" w:eastAsia="仿宋_GB2312" w:cs="Times New Roman"/>
          <w:sz w:val="32"/>
          <w:szCs w:val="32"/>
          <w:lang w:val="en-US" w:eastAsia="zh-CN"/>
        </w:rPr>
        <w:t>。</w:t>
      </w:r>
    </w:p>
    <w:p w14:paraId="04B1321F">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（2）资金使用情况</w:t>
      </w:r>
    </w:p>
    <w:p w14:paraId="25DAD93C">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该项目年初预算数</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万元，全年预算数</w:t>
      </w:r>
      <w:r>
        <w:rPr>
          <w:rFonts w:hint="eastAsia" w:ascii="Times New Roman" w:hAnsi="Times New Roman" w:eastAsia="仿宋_GB2312" w:cs="Times New Roman"/>
          <w:sz w:val="32"/>
          <w:szCs w:val="32"/>
          <w:lang w:val="en-US" w:eastAsia="zh-CN"/>
        </w:rPr>
        <w:t>14.69</w:t>
      </w:r>
      <w:r>
        <w:rPr>
          <w:rFonts w:hint="default"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2024年9月本单位申请追加2020年基层政协补助结余资金9.69万元</w:t>
      </w:r>
      <w:r>
        <w:rPr>
          <w:rFonts w:hint="default" w:ascii="Times New Roman" w:hAnsi="Times New Roman" w:eastAsia="仿宋_GB2312" w:cs="Times New Roman"/>
          <w:sz w:val="32"/>
          <w:szCs w:val="32"/>
          <w:lang w:val="en-US" w:eastAsia="zh-CN"/>
        </w:rPr>
        <w:t>），全年执行数</w:t>
      </w:r>
      <w:r>
        <w:rPr>
          <w:rFonts w:hint="eastAsia" w:ascii="Times New Roman" w:hAnsi="Times New Roman" w:eastAsia="仿宋_GB2312" w:cs="Times New Roman"/>
          <w:sz w:val="32"/>
          <w:szCs w:val="32"/>
          <w:lang w:val="en-US" w:eastAsia="zh-CN"/>
        </w:rPr>
        <w:t>14.69</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%，主要用于：</w:t>
      </w:r>
      <w:r>
        <w:rPr>
          <w:rFonts w:hint="eastAsia" w:ascii="Times New Roman" w:hAnsi="Times New Roman" w:eastAsia="仿宋_GB2312" w:cs="Times New Roman"/>
          <w:sz w:val="32"/>
          <w:szCs w:val="32"/>
          <w:lang w:val="en-US" w:eastAsia="zh-CN"/>
        </w:rPr>
        <w:t>基层政协补助经费项目资金用于保障委员活动开展，采购办公用品、办公耗材，政协委员远程视频会议维护费、政协委员工作站建设费等费用</w:t>
      </w:r>
      <w:r>
        <w:rPr>
          <w:rFonts w:hint="default" w:ascii="Times New Roman" w:hAnsi="Times New Roman" w:eastAsia="仿宋_GB2312" w:cs="Times New Roman"/>
          <w:sz w:val="32"/>
          <w:szCs w:val="32"/>
          <w:lang w:val="en-US" w:eastAsia="zh-CN"/>
        </w:rPr>
        <w:t>。</w:t>
      </w:r>
    </w:p>
    <w:p w14:paraId="6DD83D4C">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49087E38">
      <w:pPr>
        <w:spacing w:line="560" w:lineRule="exact"/>
        <w:ind w:left="638" w:leftChars="304"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r>
        <w:rPr>
          <w:rFonts w:hint="eastAsia" w:eastAsia="仿宋_GB2312" w:cs="Times New Roman"/>
          <w:color w:val="FF0000"/>
          <w:sz w:val="30"/>
          <w:szCs w:val="30"/>
          <w:highlight w:val="none"/>
          <w:lang w:val="en-US" w:eastAsia="zh-CN"/>
        </w:rPr>
        <w:t xml:space="preserve"> </w:t>
      </w:r>
    </w:p>
    <w:p w14:paraId="01992B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基层政协补助经费项目资金14.69万元，用于保障委员活动开展5次，保障委员参加69人，提高政治协商能力有效提高、进一步补充基层政协经费不足，基层政协补助经费主要用于组织政协委员开展调研视察、参政议政等活动，加强基层政协工作，积极开展政协委员的</w:t>
      </w:r>
      <w:r>
        <w:rPr>
          <w:rFonts w:hint="eastAsia" w:eastAsia="仿宋_GB2312" w:cs="Times New Roman"/>
          <w:sz w:val="32"/>
          <w:szCs w:val="32"/>
          <w:lang w:eastAsia="zh-CN"/>
        </w:rPr>
        <w:t>各项培训、会议</w:t>
      </w:r>
      <w:r>
        <w:rPr>
          <w:rFonts w:hint="default" w:ascii="Times New Roman" w:hAnsi="Times New Roman" w:eastAsia="仿宋_GB2312" w:cs="Times New Roman"/>
          <w:sz w:val="32"/>
          <w:szCs w:val="32"/>
        </w:rPr>
        <w:t>活动，进一步激励政协委员担当作为，为更好地开展政协工作奠定了良好的基础、加强基层政协工作，政协委员满意度95%。</w:t>
      </w:r>
    </w:p>
    <w:p w14:paraId="2FE99C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default" w:ascii="Times New Roman" w:hAnsi="Times New Roman" w:eastAsia="仿宋_GB2312" w:cs="Times New Roman"/>
          <w:sz w:val="32"/>
          <w:szCs w:val="32"/>
        </w:rPr>
      </w:pPr>
    </w:p>
    <w:p w14:paraId="26B5D443">
      <w:pPr>
        <w:numPr>
          <w:ilvl w:val="0"/>
          <w:numId w:val="1"/>
        </w:num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阶段性目标</w:t>
      </w:r>
    </w:p>
    <w:p w14:paraId="557CC1F6">
      <w:pPr>
        <w:spacing w:line="560" w:lineRule="exact"/>
        <w:ind w:firstLine="640" w:firstLineChars="200"/>
        <w:rPr>
          <w:rFonts w:hint="eastAsia"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w:t>
      </w:r>
      <w:bookmarkStart w:id="1" w:name="_GoBack"/>
      <w:bookmarkEnd w:id="1"/>
      <w:r>
        <w:rPr>
          <w:rFonts w:hint="default" w:ascii="Times New Roman" w:hAnsi="Times New Roman" w:eastAsia="仿宋_GB2312" w:cs="Times New Roman"/>
          <w:color w:val="auto"/>
          <w:sz w:val="32"/>
          <w:szCs w:val="32"/>
          <w:highlight w:val="none"/>
          <w:lang w:val="en-US" w:eastAsia="zh-CN"/>
        </w:rPr>
        <w:t>4年基层政协补助经费项目资金14.69万元，</w:t>
      </w:r>
      <w:r>
        <w:rPr>
          <w:rFonts w:hint="eastAsia" w:ascii="Times New Roman" w:hAnsi="Times New Roman" w:eastAsia="仿宋_GB2312" w:cs="Times New Roman"/>
          <w:color w:val="auto"/>
          <w:sz w:val="32"/>
          <w:szCs w:val="32"/>
          <w:highlight w:val="none"/>
          <w:lang w:val="en-US" w:eastAsia="zh-CN"/>
        </w:rPr>
        <w:t>为了</w:t>
      </w:r>
      <w:r>
        <w:rPr>
          <w:rFonts w:hint="default" w:ascii="Times New Roman" w:hAnsi="Times New Roman" w:eastAsia="仿宋_GB2312" w:cs="Times New Roman"/>
          <w:color w:val="auto"/>
          <w:sz w:val="32"/>
          <w:szCs w:val="32"/>
          <w:highlight w:val="none"/>
          <w:lang w:val="en-US" w:eastAsia="zh-CN"/>
        </w:rPr>
        <w:t>保障委员</w:t>
      </w:r>
      <w:r>
        <w:rPr>
          <w:rFonts w:hint="eastAsia" w:eastAsia="仿宋_GB2312" w:cs="Times New Roman"/>
          <w:color w:val="auto"/>
          <w:sz w:val="32"/>
          <w:szCs w:val="32"/>
          <w:highlight w:val="none"/>
          <w:lang w:val="en-US" w:eastAsia="zh-CN"/>
        </w:rPr>
        <w:t>各项</w:t>
      </w:r>
      <w:r>
        <w:rPr>
          <w:rFonts w:hint="default" w:ascii="Times New Roman" w:hAnsi="Times New Roman" w:eastAsia="仿宋_GB2312" w:cs="Times New Roman"/>
          <w:color w:val="auto"/>
          <w:sz w:val="32"/>
          <w:szCs w:val="32"/>
          <w:highlight w:val="none"/>
          <w:lang w:val="en-US" w:eastAsia="zh-CN"/>
        </w:rPr>
        <w:t>活动</w:t>
      </w:r>
      <w:r>
        <w:rPr>
          <w:rFonts w:hint="eastAsia" w:ascii="Times New Roman" w:hAnsi="Times New Roman" w:eastAsia="仿宋_GB2312" w:cs="Times New Roman"/>
          <w:color w:val="auto"/>
          <w:sz w:val="32"/>
          <w:szCs w:val="32"/>
          <w:highlight w:val="none"/>
          <w:lang w:val="en-US" w:eastAsia="zh-CN"/>
        </w:rPr>
        <w:t>顺利</w:t>
      </w:r>
      <w:r>
        <w:rPr>
          <w:rFonts w:hint="default" w:ascii="Times New Roman" w:hAnsi="Times New Roman" w:eastAsia="仿宋_GB2312" w:cs="Times New Roman"/>
          <w:color w:val="auto"/>
          <w:sz w:val="32"/>
          <w:szCs w:val="32"/>
          <w:highlight w:val="none"/>
          <w:lang w:val="en-US" w:eastAsia="zh-CN"/>
        </w:rPr>
        <w:t>开展，</w:t>
      </w:r>
      <w:r>
        <w:rPr>
          <w:rFonts w:hint="eastAsia" w:ascii="Times New Roman" w:hAnsi="Times New Roman" w:eastAsia="仿宋_GB2312" w:cs="Times New Roman"/>
          <w:color w:val="auto"/>
          <w:sz w:val="32"/>
          <w:szCs w:val="32"/>
          <w:highlight w:val="none"/>
          <w:lang w:val="en-US" w:eastAsia="zh-CN"/>
        </w:rPr>
        <w:t>3月办理政府</w:t>
      </w:r>
      <w:r>
        <w:rPr>
          <w:rFonts w:hint="default" w:ascii="Times New Roman" w:hAnsi="Times New Roman" w:eastAsia="仿宋_GB2312" w:cs="Times New Roman"/>
          <w:color w:val="auto"/>
          <w:sz w:val="32"/>
          <w:szCs w:val="32"/>
          <w:highlight w:val="none"/>
          <w:lang w:val="en-US" w:eastAsia="zh-CN"/>
        </w:rPr>
        <w:t>采购</w:t>
      </w:r>
      <w:r>
        <w:rPr>
          <w:rFonts w:hint="eastAsia" w:ascii="Times New Roman" w:hAnsi="Times New Roman" w:eastAsia="仿宋_GB2312" w:cs="Times New Roman"/>
          <w:color w:val="auto"/>
          <w:sz w:val="32"/>
          <w:szCs w:val="32"/>
          <w:highlight w:val="none"/>
          <w:lang w:val="en-US" w:eastAsia="zh-CN"/>
        </w:rPr>
        <w:t>业务采购相关会议、培训活动使用</w:t>
      </w:r>
      <w:r>
        <w:rPr>
          <w:rFonts w:hint="eastAsia" w:eastAsia="仿宋_GB2312" w:cs="Times New Roman"/>
          <w:color w:val="auto"/>
          <w:sz w:val="32"/>
          <w:szCs w:val="32"/>
          <w:highlight w:val="none"/>
          <w:lang w:val="en-US" w:eastAsia="zh-CN"/>
        </w:rPr>
        <w:t>的</w:t>
      </w:r>
      <w:r>
        <w:rPr>
          <w:rFonts w:hint="default" w:ascii="Times New Roman" w:hAnsi="Times New Roman" w:eastAsia="仿宋_GB2312" w:cs="Times New Roman"/>
          <w:color w:val="auto"/>
          <w:sz w:val="32"/>
          <w:szCs w:val="32"/>
          <w:highlight w:val="none"/>
          <w:lang w:val="en-US" w:eastAsia="zh-CN"/>
        </w:rPr>
        <w:t>办公用品、办公耗材，</w:t>
      </w:r>
      <w:r>
        <w:rPr>
          <w:rFonts w:hint="eastAsia" w:ascii="Times New Roman" w:hAnsi="Times New Roman" w:eastAsia="仿宋_GB2312" w:cs="Times New Roman"/>
          <w:color w:val="auto"/>
          <w:sz w:val="32"/>
          <w:szCs w:val="32"/>
          <w:highlight w:val="none"/>
          <w:lang w:val="en-US" w:eastAsia="zh-CN"/>
        </w:rPr>
        <w:t>5月签订协议、办理政府采购业务9月缴纳</w:t>
      </w:r>
      <w:r>
        <w:rPr>
          <w:rFonts w:hint="default" w:ascii="Times New Roman" w:hAnsi="Times New Roman" w:eastAsia="仿宋_GB2312" w:cs="Times New Roman"/>
          <w:color w:val="auto"/>
          <w:sz w:val="32"/>
          <w:szCs w:val="32"/>
          <w:highlight w:val="none"/>
          <w:lang w:val="en-US" w:eastAsia="zh-CN"/>
        </w:rPr>
        <w:t>政协委员远程视频会议维护费、</w:t>
      </w:r>
      <w:r>
        <w:rPr>
          <w:rFonts w:hint="eastAsia" w:ascii="Times New Roman" w:hAnsi="Times New Roman" w:eastAsia="仿宋_GB2312" w:cs="Times New Roman"/>
          <w:color w:val="auto"/>
          <w:sz w:val="32"/>
          <w:szCs w:val="32"/>
          <w:highlight w:val="none"/>
          <w:lang w:val="en-US" w:eastAsia="zh-CN"/>
        </w:rPr>
        <w:t>第一季度办理政府采购程序开始设定委员工作站建设工作、9月支付</w:t>
      </w:r>
      <w:r>
        <w:rPr>
          <w:rFonts w:hint="default" w:ascii="Times New Roman" w:hAnsi="Times New Roman" w:eastAsia="仿宋_GB2312" w:cs="Times New Roman"/>
          <w:color w:val="auto"/>
          <w:sz w:val="32"/>
          <w:szCs w:val="32"/>
          <w:highlight w:val="none"/>
          <w:lang w:val="en-US" w:eastAsia="zh-CN"/>
        </w:rPr>
        <w:t>政协委员工作站建设费，提高政治协商能力有效提高、进一步补充基层政协经费不足</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积极开展政协委员的各项活动，进一步激励政协委员担当作为，为更好地开展政协工作奠定了良好的基础、加强基层政协工作。</w:t>
      </w:r>
      <w:r>
        <w:rPr>
          <w:rFonts w:hint="eastAsia" w:eastAsia="仿宋_GB2312" w:cs="Times New Roman"/>
          <w:color w:val="auto"/>
          <w:sz w:val="32"/>
          <w:szCs w:val="32"/>
          <w:highlight w:val="none"/>
          <w:lang w:val="en-US" w:eastAsia="zh-CN"/>
        </w:rPr>
        <w:t xml:space="preserve"> </w:t>
      </w:r>
    </w:p>
    <w:p w14:paraId="3D52DCAF">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602EC7DE">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499894C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CDDA5D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41C2DA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14:paraId="4B7A3E0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2A9653C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C0424D7">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859F611">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465878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56846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w:t>
      </w:r>
      <w:r>
        <w:rPr>
          <w:rFonts w:hint="eastAsia" w:eastAsia="仿宋_GB2312" w:cs="Times New Roman"/>
          <w:sz w:val="32"/>
          <w:szCs w:val="32"/>
          <w:highlight w:val="none"/>
          <w:lang w:eastAsia="zh-CN"/>
        </w:rPr>
        <w:t>含</w:t>
      </w:r>
      <w:r>
        <w:rPr>
          <w:rFonts w:hint="default" w:ascii="Times New Roman" w:hAnsi="Times New Roman" w:eastAsia="仿宋_GB2312" w:cs="Times New Roman"/>
          <w:sz w:val="32"/>
          <w:szCs w:val="32"/>
          <w:highlight w:val="none"/>
        </w:rPr>
        <w:t>社会效益维度指标，为项目后续的改进与优化提供科学依据。</w:t>
      </w:r>
    </w:p>
    <w:p w14:paraId="3AC215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F9FF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40F86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07E52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64478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9915D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22E0E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D37F2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64EE3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03DDC1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7E0508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本项目预算绩效评价报告的评价对象是</w:t>
      </w:r>
      <w:r>
        <w:rPr>
          <w:rFonts w:hint="eastAsia" w:ascii="Times New Roman" w:hAnsi="Times New Roman" w:eastAsia="仿宋_GB2312" w:cs="Times New Roman"/>
          <w:sz w:val="32"/>
          <w:szCs w:val="32"/>
          <w:highlight w:val="none"/>
          <w:lang w:val="en-US" w:eastAsia="zh-CN"/>
        </w:rPr>
        <w:t>2024年基层政协补助经费项目</w:t>
      </w:r>
      <w:r>
        <w:rPr>
          <w:rFonts w:hint="default" w:ascii="Times New Roman" w:hAnsi="Times New Roman" w:eastAsia="仿宋_GB2312" w:cs="Times New Roman"/>
          <w:sz w:val="32"/>
          <w:szCs w:val="32"/>
          <w:highlight w:val="none"/>
        </w:rPr>
        <w:t>预算执行情况。该项目由</w:t>
      </w:r>
      <w:r>
        <w:rPr>
          <w:rFonts w:hint="eastAsia" w:ascii="Times New Roman" w:hAnsi="Times New Roman" w:eastAsia="仿宋_GB2312" w:cs="Times New Roman"/>
          <w:sz w:val="32"/>
          <w:szCs w:val="32"/>
          <w:highlight w:val="none"/>
        </w:rPr>
        <w:t>中国人民政治协商会议托里县委员会办公室</w:t>
      </w:r>
      <w:r>
        <w:rPr>
          <w:rFonts w:hint="default" w:ascii="Times New Roman" w:hAnsi="Times New Roman" w:eastAsia="仿宋_GB2312" w:cs="Times New Roman"/>
          <w:sz w:val="32"/>
          <w:szCs w:val="32"/>
          <w:highlight w:val="none"/>
        </w:rPr>
        <w:t>负责实施，</w:t>
      </w:r>
      <w:r>
        <w:rPr>
          <w:rFonts w:hint="eastAsia" w:eastAsia="仿宋_GB2312" w:cs="Times New Roman"/>
          <w:sz w:val="32"/>
          <w:szCs w:val="32"/>
          <w:highlight w:val="none"/>
          <w:lang w:eastAsia="zh-CN"/>
        </w:rPr>
        <w:t>旨在进一步激励政协委员担当作为，为更好地开展政协工作奠定了良好的基础、加强基层政协工作。</w:t>
      </w:r>
      <w:r>
        <w:rPr>
          <w:rFonts w:hint="default" w:ascii="Times New Roman" w:hAnsi="Times New Roman" w:eastAsia="仿宋_GB2312" w:cs="Times New Roman"/>
          <w:sz w:val="32"/>
          <w:szCs w:val="32"/>
          <w:highlight w:val="none"/>
        </w:rPr>
        <w:t>项目预算涵盖从</w:t>
      </w:r>
      <w:r>
        <w:rPr>
          <w:rFonts w:hint="eastAsia" w:ascii="Times New Roman" w:hAnsi="Times New Roman" w:eastAsia="仿宋_GB2312" w:cs="Times New Roman"/>
          <w:sz w:val="32"/>
          <w:szCs w:val="32"/>
          <w:highlight w:val="none"/>
          <w:lang w:val="en-US" w:eastAsia="zh-CN"/>
        </w:rPr>
        <w:t>2024年1月1日</w:t>
      </w:r>
      <w:r>
        <w:rPr>
          <w:rFonts w:hint="default" w:ascii="Times New Roman" w:hAnsi="Times New Roman" w:eastAsia="仿宋_GB2312" w:cs="Times New Roman"/>
          <w:sz w:val="32"/>
          <w:szCs w:val="32"/>
          <w:highlight w:val="none"/>
        </w:rPr>
        <w:t>至</w:t>
      </w:r>
      <w:r>
        <w:rPr>
          <w:rFonts w:hint="eastAsia" w:ascii="Times New Roman" w:hAnsi="Times New Roman" w:eastAsia="仿宋_GB2312" w:cs="Times New Roman"/>
          <w:sz w:val="32"/>
          <w:szCs w:val="32"/>
          <w:highlight w:val="none"/>
          <w:lang w:val="en-US" w:eastAsia="zh-CN"/>
        </w:rPr>
        <w:t>2024年10月31</w:t>
      </w:r>
      <w:r>
        <w:rPr>
          <w:rFonts w:hint="eastAsia" w:eastAsia="仿宋_GB2312" w:cs="Times New Roman"/>
          <w:sz w:val="32"/>
          <w:szCs w:val="32"/>
          <w:highlight w:val="none"/>
          <w:lang w:val="en-US" w:eastAsia="zh-CN"/>
        </w:rPr>
        <w:t>日</w:t>
      </w:r>
      <w:r>
        <w:rPr>
          <w:rFonts w:hint="default" w:ascii="Times New Roman" w:hAnsi="Times New Roman" w:eastAsia="仿宋_GB2312" w:cs="Times New Roman"/>
          <w:sz w:val="32"/>
          <w:szCs w:val="32"/>
          <w:highlight w:val="none"/>
        </w:rPr>
        <w:t>的全部资金投入与支出，涉及资金总额为</w:t>
      </w:r>
      <w:r>
        <w:rPr>
          <w:rFonts w:hint="eastAsia" w:ascii="Times New Roman" w:hAnsi="Times New Roman" w:eastAsia="仿宋_GB2312" w:cs="Times New Roman"/>
          <w:sz w:val="32"/>
          <w:szCs w:val="32"/>
          <w:highlight w:val="none"/>
          <w:lang w:val="en-US" w:eastAsia="zh-CN"/>
        </w:rPr>
        <w:t>14.69</w:t>
      </w:r>
      <w:r>
        <w:rPr>
          <w:rFonts w:hint="default" w:ascii="Times New Roman" w:hAnsi="Times New Roman" w:eastAsia="仿宋_GB2312" w:cs="Times New Roman"/>
          <w:sz w:val="32"/>
          <w:szCs w:val="32"/>
          <w:highlight w:val="none"/>
          <w:lang w:val="en-US" w:eastAsia="zh-CN"/>
        </w:rPr>
        <w:t>万</w:t>
      </w:r>
      <w:r>
        <w:rPr>
          <w:rFonts w:hint="default" w:ascii="Times New Roman" w:hAnsi="Times New Roman" w:eastAsia="仿宋_GB2312" w:cs="Times New Roman"/>
          <w:sz w:val="32"/>
          <w:szCs w:val="32"/>
          <w:highlight w:val="none"/>
        </w:rPr>
        <w:t>元。</w:t>
      </w:r>
    </w:p>
    <w:p w14:paraId="2D1A9D7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3D1D5AD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50C3C25A">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154D6252">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122B0625">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6B3ED8AE">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社会影响：考察项目对社会方面的综合影响。</w:t>
      </w:r>
    </w:p>
    <w:p w14:paraId="7B68D488">
      <w:pPr>
        <w:spacing w:line="560" w:lineRule="exact"/>
        <w:ind w:firstLine="643" w:firstLineChars="200"/>
        <w:rPr>
          <w:rFonts w:hint="default" w:ascii="Times New Roman" w:hAnsi="Times New Roman" w:eastAsia="楷体_GB2312" w:cs="Times New Roman"/>
          <w:b/>
          <w:bCs/>
          <w:sz w:val="32"/>
          <w:szCs w:val="32"/>
        </w:rPr>
      </w:pPr>
    </w:p>
    <w:p w14:paraId="5F9382C3">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4FF59E3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60F4CCA6">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51071AAE">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75105C44">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A13D234">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C6FDBF8">
      <w:pPr>
        <w:pStyle w:val="9"/>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61BBCEB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79D112BF">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4606AB3">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5CFA1D2B">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78E9ED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0D080619">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723A52A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101A7C3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126AB436">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A35C4A7">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77FC680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568892FD">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F0E749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B46630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（一）成本效益分析法。是指将投入与产出、效益进行关联性分析的方法。</w:t>
      </w:r>
      <w:r>
        <w:rPr>
          <w:rFonts w:hint="eastAsia" w:eastAsia="仿宋_GB2312" w:cs="Times New Roman"/>
          <w:color w:val="000000"/>
          <w:spacing w:val="17"/>
          <w:sz w:val="32"/>
          <w:szCs w:val="32"/>
          <w:highlight w:val="none"/>
          <w:lang w:eastAsia="zh-CN"/>
        </w:rPr>
        <w:t>该项目通过保障委员参加活动次数从而进一步激励政协委员担当作为，提高政治协商能力</w:t>
      </w:r>
      <w:r>
        <w:rPr>
          <w:rFonts w:hint="default" w:ascii="Times New Roman" w:hAnsi="Times New Roman" w:eastAsia="仿宋_GB2312" w:cs="Times New Roman"/>
          <w:color w:val="000000"/>
          <w:spacing w:val="17"/>
          <w:sz w:val="32"/>
          <w:szCs w:val="32"/>
          <w:highlight w:val="none"/>
        </w:rPr>
        <w:t xml:space="preserve"> </w:t>
      </w:r>
    </w:p>
    <w:p w14:paraId="2D72DB44">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r>
        <w:rPr>
          <w:rFonts w:hint="eastAsia" w:eastAsia="仿宋_GB2312" w:cs="Times New Roman"/>
          <w:color w:val="000000"/>
          <w:spacing w:val="17"/>
          <w:sz w:val="32"/>
          <w:szCs w:val="32"/>
          <w:highlight w:val="none"/>
          <w:lang w:eastAsia="zh-CN"/>
        </w:rPr>
        <w:t>该项目为经常性项目，往年也有相同项目的相同指标，因此在与往年指标作对比时能够更加直观的纵向反应出该项目不同年度的完成情况。</w:t>
      </w:r>
    </w:p>
    <w:p w14:paraId="5C3673FD">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eastAsia="zh-CN"/>
        </w:rPr>
        <w:t>三</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eastAsia="zh-CN"/>
        </w:rPr>
        <w:t>该项目实施完毕后对受益政协委员进行满意度调查，从而反映出该项目实施产生的效果是否让受益人员满意。</w:t>
      </w:r>
    </w:p>
    <w:p w14:paraId="42131BC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0F03C9D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绩效评价标准通常包括计划标准、行业标准、历史标准等，用于对绩效指标完成情况进行比较、分析、评价。本次评价主要采用了计划标准。</w:t>
      </w:r>
    </w:p>
    <w:p w14:paraId="236CB0D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79B997C6">
      <w:pPr>
        <w:pStyle w:val="9"/>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742EFE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5C8467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492294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p>
    <w:p w14:paraId="16F7D9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3FF0E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E7A9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2E9454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3333D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EDFFE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D9B67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1742C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086C3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745121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9D8F17E">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189B24FD">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3AA6E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2024年度基层政协补助经费</w:t>
      </w:r>
      <w:r>
        <w:rPr>
          <w:rFonts w:hint="default" w:ascii="Times New Roman" w:hAnsi="Times New Roman"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基层政协补助经费项目</w:t>
      </w:r>
      <w:r>
        <w:rPr>
          <w:rFonts w:hint="eastAsia" w:eastAsia="仿宋_GB2312" w:cs="Times New Roman"/>
          <w:sz w:val="32"/>
          <w:szCs w:val="32"/>
          <w:highlight w:val="none"/>
          <w:lang w:val="en-US" w:eastAsia="zh-CN"/>
        </w:rPr>
        <w:t>在活动举办成功率、保障委员活动开展次数等方面表现出色，达到了预期的标准与要求。同时项目也在加强基层政协工作和激励政协委员担当作为环节取得了显著的成效，</w:t>
      </w:r>
      <w:r>
        <w:rPr>
          <w:rFonts w:hint="eastAsia" w:ascii="Times New Roman" w:hAnsi="Times New Roman" w:eastAsia="仿宋_GB2312" w:cs="Times New Roman"/>
          <w:sz w:val="32"/>
          <w:szCs w:val="32"/>
          <w:highlight w:val="none"/>
          <w:lang w:val="en-US" w:eastAsia="zh-CN"/>
        </w:rPr>
        <w:t>更好发挥</w:t>
      </w:r>
      <w:r>
        <w:rPr>
          <w:rFonts w:hint="eastAsia" w:eastAsia="仿宋_GB2312" w:cs="Times New Roman"/>
          <w:sz w:val="32"/>
          <w:szCs w:val="32"/>
          <w:highlight w:val="none"/>
          <w:lang w:val="en-US" w:eastAsia="zh-CN"/>
        </w:rPr>
        <w:t>了</w:t>
      </w:r>
      <w:r>
        <w:rPr>
          <w:rFonts w:hint="eastAsia" w:ascii="Times New Roman" w:hAnsi="Times New Roman" w:eastAsia="仿宋_GB2312" w:cs="Times New Roman"/>
          <w:sz w:val="32"/>
          <w:szCs w:val="32"/>
          <w:highlight w:val="none"/>
          <w:lang w:val="en-US" w:eastAsia="zh-CN"/>
        </w:rPr>
        <w:t>专门协商机构作用，为更好地开展政协工作奠定了良好的基础。</w:t>
      </w:r>
    </w:p>
    <w:p w14:paraId="729B2F9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在项目管理方面，</w:t>
      </w:r>
      <w:r>
        <w:rPr>
          <w:rFonts w:hint="eastAsia" w:ascii="Times New Roman" w:hAnsi="Times New Roman" w:eastAsia="仿宋_GB2312" w:cs="Times New Roman"/>
          <w:kern w:val="2"/>
          <w:sz w:val="32"/>
          <w:szCs w:val="32"/>
          <w:highlight w:val="none"/>
          <w:lang w:val="en-US" w:eastAsia="zh-CN" w:bidi="ar-SA"/>
        </w:rPr>
        <w:t>中国人民政治协商会议托里县委员会办公室</w:t>
      </w:r>
      <w:r>
        <w:rPr>
          <w:rFonts w:hint="default" w:ascii="Times New Roman" w:hAnsi="Times New Roman" w:eastAsia="仿宋_GB2312" w:cs="Times New Roman"/>
          <w:kern w:val="2"/>
          <w:sz w:val="32"/>
          <w:szCs w:val="32"/>
          <w:highlight w:val="none"/>
          <w:lang w:val="en-US" w:eastAsia="zh-CN" w:bidi="ar-SA"/>
        </w:rPr>
        <w:t>通过有效的规划、组织与协调，项目得以顺利实施，并在预算与时间上保持了良好的控制。</w:t>
      </w:r>
    </w:p>
    <w:p w14:paraId="364B0EDF">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w:t>
      </w:r>
      <w:r>
        <w:rPr>
          <w:rFonts w:hint="eastAsia" w:eastAsia="仿宋_GB2312" w:cs="Times New Roman"/>
          <w:sz w:val="32"/>
          <w:szCs w:val="32"/>
          <w:highlight w:val="none"/>
          <w:lang w:eastAsia="zh-CN"/>
        </w:rPr>
        <w:t>，对社会</w:t>
      </w:r>
      <w:r>
        <w:rPr>
          <w:rFonts w:hint="default" w:ascii="Times New Roman" w:hAnsi="Times New Roman" w:eastAsia="仿宋_GB2312" w:cs="Times New Roman"/>
          <w:sz w:val="32"/>
          <w:szCs w:val="32"/>
          <w:highlight w:val="none"/>
        </w:rPr>
        <w:t>产生了积极的影响。</w:t>
      </w:r>
      <w:r>
        <w:rPr>
          <w:rFonts w:hint="eastAsia" w:eastAsia="仿宋_GB2312" w:cs="Times New Roman"/>
          <w:sz w:val="32"/>
          <w:szCs w:val="32"/>
          <w:highlight w:val="none"/>
          <w:lang w:eastAsia="zh-CN"/>
        </w:rPr>
        <w:t>具体而言</w:t>
      </w:r>
      <w:r>
        <w:rPr>
          <w:rFonts w:hint="eastAsia" w:eastAsia="仿宋_GB2312" w:cs="Times New Roman"/>
          <w:sz w:val="32"/>
          <w:szCs w:val="32"/>
          <w:highlight w:val="none"/>
          <w:lang w:val="en-US" w:eastAsia="zh-CN"/>
        </w:rPr>
        <w:t>加强了基层政协工作和激励了政协委员担当作为，</w:t>
      </w:r>
      <w:r>
        <w:rPr>
          <w:rFonts w:hint="eastAsia" w:ascii="Times New Roman" w:hAnsi="Times New Roman" w:eastAsia="仿宋_GB2312" w:cs="Times New Roman"/>
          <w:sz w:val="32"/>
          <w:szCs w:val="32"/>
          <w:highlight w:val="none"/>
          <w:lang w:val="en-US" w:eastAsia="zh-CN"/>
        </w:rPr>
        <w:t>更好发挥</w:t>
      </w:r>
      <w:r>
        <w:rPr>
          <w:rFonts w:hint="eastAsia" w:eastAsia="仿宋_GB2312" w:cs="Times New Roman"/>
          <w:sz w:val="32"/>
          <w:szCs w:val="32"/>
          <w:highlight w:val="none"/>
          <w:lang w:val="en-US" w:eastAsia="zh-CN"/>
        </w:rPr>
        <w:t>了</w:t>
      </w:r>
      <w:r>
        <w:rPr>
          <w:rFonts w:hint="eastAsia" w:ascii="Times New Roman" w:hAnsi="Times New Roman" w:eastAsia="仿宋_GB2312" w:cs="Times New Roman"/>
          <w:sz w:val="32"/>
          <w:szCs w:val="32"/>
          <w:highlight w:val="none"/>
          <w:lang w:val="en-US" w:eastAsia="zh-CN"/>
        </w:rPr>
        <w:t>专门协商机构作用。</w:t>
      </w:r>
      <w:r>
        <w:rPr>
          <w:rFonts w:hint="default" w:ascii="Times New Roman" w:hAnsi="Times New Roman" w:eastAsia="仿宋_GB2312" w:cs="Times New Roman"/>
          <w:sz w:val="32"/>
          <w:szCs w:val="32"/>
          <w:highlight w:val="none"/>
        </w:rPr>
        <w:t>为项目的利益相关者带来了实实在在的利益。</w:t>
      </w:r>
    </w:p>
    <w:p w14:paraId="0D0C6B8E">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sz w:val="32"/>
          <w:szCs w:val="32"/>
          <w:highlight w:val="none"/>
          <w:lang w:val="en-US" w:eastAsia="zh-CN"/>
        </w:rPr>
        <w:t>基层政协补助经费项目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30060845">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60F47C8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3206A81E">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2"/>
        <w:tblW w:w="8760" w:type="dxa"/>
        <w:jc w:val="center"/>
        <w:tblLayout w:type="fixed"/>
        <w:tblCellMar>
          <w:top w:w="0" w:type="dxa"/>
          <w:left w:w="108" w:type="dxa"/>
          <w:bottom w:w="0" w:type="dxa"/>
          <w:right w:w="108" w:type="dxa"/>
        </w:tblCellMar>
      </w:tblPr>
      <w:tblGrid>
        <w:gridCol w:w="2787"/>
        <w:gridCol w:w="1927"/>
        <w:gridCol w:w="2023"/>
        <w:gridCol w:w="2023"/>
      </w:tblGrid>
      <w:tr w14:paraId="6C3098DE">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vAlign w:val="center"/>
          </w:tcPr>
          <w:p w14:paraId="48639B0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vAlign w:val="center"/>
          </w:tcPr>
          <w:p w14:paraId="63C8D0D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0287341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vAlign w:val="center"/>
          </w:tcPr>
          <w:p w14:paraId="37A6F2C2">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3D2CB4F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B8CD0A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32E32922">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8CC182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B33F76D">
            <w:pPr>
              <w:jc w:val="center"/>
              <w:rPr>
                <w:rFonts w:hint="default"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14:paraId="21F1C3E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EE62F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761186AA">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95C71F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180E61B">
            <w:pPr>
              <w:jc w:val="center"/>
              <w:rPr>
                <w:rFonts w:hint="default" w:ascii="Times New Roman" w:hAnsi="Times New Roman" w:eastAsia="仿宋_GB2312" w:cs="Times New Roman"/>
                <w:color w:val="000000"/>
                <w:sz w:val="21"/>
                <w:szCs w:val="21"/>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14:paraId="32E857FA">
        <w:tblPrEx>
          <w:tblCellMar>
            <w:top w:w="0" w:type="dxa"/>
            <w:left w:w="108" w:type="dxa"/>
            <w:bottom w:w="0" w:type="dxa"/>
            <w:right w:w="108" w:type="dxa"/>
          </w:tblCellMar>
        </w:tblPrEx>
        <w:trPr>
          <w:trHeight w:val="25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B21471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3F117B81">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5A5601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07D1D1B3">
            <w:pPr>
              <w:jc w:val="center"/>
              <w:rPr>
                <w:rFonts w:hint="default" w:ascii="Times New Roman" w:hAnsi="Times New Roman" w:eastAsia="仿宋_GB2312" w:cs="Times New Roman"/>
                <w:color w:val="000000"/>
                <w:sz w:val="21"/>
                <w:szCs w:val="21"/>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14:paraId="72577756">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8401750">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0111DBE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B0A2C4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2B09FC8">
            <w:pPr>
              <w:jc w:val="center"/>
              <w:rPr>
                <w:rFonts w:hint="default" w:ascii="Times New Roman" w:hAnsi="Times New Roman" w:eastAsia="仿宋_GB2312" w:cs="Times New Roman"/>
                <w:color w:val="000000"/>
                <w:sz w:val="21"/>
                <w:szCs w:val="21"/>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r w14:paraId="7A48981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8486EBA">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3F149C60">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D4DB55E">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1B4E80A">
            <w:pPr>
              <w:jc w:val="center"/>
              <w:rPr>
                <w:rFonts w:hint="default" w:ascii="Times New Roman" w:hAnsi="Times New Roman" w:eastAsia="仿宋_GB2312" w:cs="Times New Roman"/>
                <w:b/>
                <w:bCs/>
                <w:color w:val="000000"/>
                <w:sz w:val="21"/>
                <w:szCs w:val="21"/>
                <w:lang w:val="en-US" w:eastAsia="zh-CN"/>
              </w:rPr>
            </w:pP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p>
        </w:tc>
      </w:tr>
    </w:tbl>
    <w:p w14:paraId="65AD1F6D">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22500386">
      <w:pPr>
        <w:pStyle w:val="9"/>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26D6601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40C7B671">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p>
    <w:p w14:paraId="4C84F25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639BFDF3">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5DA65FF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D933A9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B9DF01B">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6D6E1A3">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4B61AF7">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BBA985F">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151492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p>
    <w:p w14:paraId="011CE75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09E31A8C">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11D4463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63071F0D">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187289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F1152D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7C9699E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3E78F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9C6F2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87F4C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AFC4625">
      <w:pPr>
        <w:pStyle w:val="9"/>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44AA895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102C30BD">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04A38655">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37FBFA7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14.69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976C1E2">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50AE48CE">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14.69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10349A9">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C7F9A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5942F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CA871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807B5A2">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1A13A4B4">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31CCA6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340E81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398231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2C92BA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2F59C510">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3EFAA0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1AE9C8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101DA3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07F8D442">
      <w:pPr>
        <w:pStyle w:val="10"/>
        <w:numPr>
          <w:ilvl w:val="0"/>
          <w:numId w:val="5"/>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60E3D51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5823216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5A382879">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指标1：保障委员活动开展次数，指标值：&gt;=5次，实际完成值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42B8FBD9">
      <w:pPr>
        <w:shd w:val="clear" w:color="auto" w:fill="auto"/>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：保障委员参加人数，指标值：&gt;=69人，实际完成值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=69人，指标完成率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25D775E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66498EFB">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指标1：活动举办成功率，指标值：=100%，实际完成值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0C69798C">
      <w:pPr>
        <w:shd w:val="clear" w:color="auto" w:fill="auto"/>
        <w:spacing w:line="600" w:lineRule="exact"/>
        <w:ind w:firstLine="640" w:firstLineChars="200"/>
        <w:outlineLvl w:val="0"/>
        <w:rPr>
          <w:rFonts w:hint="eastAsia" w:eastAsia="仿宋_GB2312" w:cs="Times New Roman"/>
          <w:sz w:val="32"/>
          <w:szCs w:val="32"/>
          <w:highlight w:val="none"/>
          <w:lang w:eastAsia="zh-CN"/>
        </w:rPr>
      </w:pPr>
    </w:p>
    <w:p w14:paraId="6D72F55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67535884">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指标1：经费使用及时率，指标值：=100%，实际完成值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035AF2EB">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：项目完工时间，指标值：=</w:t>
      </w:r>
      <w:r>
        <w:rPr>
          <w:rFonts w:hint="eastAsia" w:eastAsia="仿宋_GB2312" w:cs="Times New Roman"/>
          <w:sz w:val="32"/>
          <w:szCs w:val="32"/>
          <w:highlight w:val="none"/>
          <w:lang w:val="en-US" w:eastAsia="zh-CN"/>
        </w:rPr>
        <w:t>2024年12月20日</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2024年12月20日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32F0A5B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6B996A14">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指标1：活动经费平均标准，指标值：&lt;=1万元/次，实际完成值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&lt;=1万元/次，指标完成率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25D8C45B">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：政协视联网维护费，指标值：=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451864B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：工作站建设费，指标值：=</w:t>
      </w:r>
      <w:r>
        <w:rPr>
          <w:rFonts w:hint="eastAsia" w:eastAsia="仿宋_GB2312" w:cs="Times New Roman"/>
          <w:sz w:val="32"/>
          <w:szCs w:val="32"/>
          <w:highlight w:val="none"/>
          <w:lang w:val="en-US" w:eastAsia="zh-CN"/>
        </w:rPr>
        <w:t>4.69</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4.69</w:t>
      </w:r>
      <w:r>
        <w:rPr>
          <w:rFonts w:hint="default" w:ascii="Times New Roman" w:hAnsi="Times New Roman" w:eastAsia="仿宋_GB2312" w:cs="Times New Roman"/>
          <w:sz w:val="32"/>
          <w:szCs w:val="32"/>
          <w:highlight w:val="none"/>
        </w:rPr>
        <w:t>万元，指标完成率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53DFE1FF">
      <w:pPr>
        <w:pStyle w:val="10"/>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4E713058">
      <w:pPr>
        <w:shd w:val="clear" w:color="auto" w:fill="auto"/>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67771C36">
      <w:pPr>
        <w:numPr>
          <w:ilvl w:val="0"/>
          <w:numId w:val="6"/>
        </w:num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实施效益</w:t>
      </w:r>
    </w:p>
    <w:p w14:paraId="2B08AFE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70D9D1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指标1：提高政治协商能力，指标值：</w:t>
      </w:r>
      <w:r>
        <w:rPr>
          <w:rFonts w:hint="eastAsia" w:eastAsia="仿宋_GB2312" w:cs="Times New Roman"/>
          <w:sz w:val="32"/>
          <w:szCs w:val="32"/>
          <w:highlight w:val="none"/>
          <w:lang w:eastAsia="zh-CN"/>
        </w:rPr>
        <w:t>有效提高</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：明显提高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0419557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②满意度</w:t>
      </w:r>
      <w:r>
        <w:rPr>
          <w:rFonts w:hint="default" w:ascii="Times New Roman" w:hAnsi="Times New Roman" w:eastAsia="仿宋_GB2312" w:cs="Times New Roman"/>
          <w:sz w:val="32"/>
          <w:szCs w:val="32"/>
          <w:highlight w:val="none"/>
        </w:rPr>
        <w:t>指标：</w:t>
      </w:r>
    </w:p>
    <w:p w14:paraId="007E846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指标1：政协委员满意度，指标值：&gt;=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无</w:t>
      </w:r>
      <w:r>
        <w:rPr>
          <w:rFonts w:hint="default" w:ascii="Times New Roman" w:hAnsi="Times New Roman" w:eastAsia="仿宋_GB2312" w:cs="Times New Roman"/>
          <w:sz w:val="32"/>
          <w:szCs w:val="32"/>
          <w:highlight w:val="none"/>
          <w:lang w:eastAsia="zh-CN"/>
        </w:rPr>
        <w:t>偏差</w:t>
      </w:r>
      <w:r>
        <w:rPr>
          <w:rFonts w:hint="eastAsia" w:eastAsia="仿宋_GB2312" w:cs="Times New Roman"/>
          <w:sz w:val="32"/>
          <w:szCs w:val="32"/>
          <w:highlight w:val="none"/>
          <w:lang w:eastAsia="zh-CN"/>
        </w:rPr>
        <w:t>。</w:t>
      </w:r>
    </w:p>
    <w:p w14:paraId="09FFA469">
      <w:pPr>
        <w:numPr>
          <w:ilvl w:val="0"/>
          <w:numId w:val="5"/>
        </w:numPr>
        <w:spacing w:line="560" w:lineRule="exact"/>
        <w:ind w:left="0" w:leftChars="0" w:firstLine="643" w:firstLineChars="200"/>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sz w:val="32"/>
          <w:szCs w:val="32"/>
          <w:lang w:val="en-US"/>
        </w:rPr>
        <w:t>预算执行进度与绩效指标总体完成率偏差</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hint="eastAsia" w:ascii="Times New Roman" w:hAnsi="Times New Roman" w:eastAsia="仿宋_GB2312" w:cs="Times New Roman"/>
          <w:kern w:val="2"/>
          <w:sz w:val="32"/>
          <w:szCs w:val="32"/>
          <w:lang w:val="en-US" w:eastAsia="zh-CN" w:bidi="ar-SA"/>
        </w:rPr>
        <w:t>2024年度基层政协补助经费</w:t>
      </w:r>
      <w:r>
        <w:rPr>
          <w:rFonts w:hint="default" w:ascii="Times New Roman" w:hAnsi="Times New Roman" w:eastAsia="仿宋_GB2312" w:cs="Times New Roman"/>
          <w:kern w:val="2"/>
          <w:sz w:val="32"/>
          <w:szCs w:val="32"/>
          <w:lang w:val="en-US" w:eastAsia="zh-CN" w:bidi="ar-SA"/>
        </w:rPr>
        <w:t>项目年初预算</w:t>
      </w:r>
      <w:r>
        <w:rPr>
          <w:rFonts w:hint="eastAsia" w:ascii="Times New Roman" w:hAnsi="Times New Roman" w:eastAsia="仿宋_GB2312" w:cs="Times New Roman"/>
          <w:kern w:val="2"/>
          <w:sz w:val="32"/>
          <w:szCs w:val="32"/>
          <w:lang w:val="en-US" w:eastAsia="zh-CN" w:bidi="ar-SA"/>
        </w:rPr>
        <w:t>5</w:t>
      </w:r>
      <w:r>
        <w:rPr>
          <w:rFonts w:hint="default" w:ascii="Times New Roman" w:hAnsi="Times New Roman" w:eastAsia="仿宋_GB2312" w:cs="Times New Roman"/>
          <w:kern w:val="2"/>
          <w:sz w:val="32"/>
          <w:szCs w:val="32"/>
          <w:lang w:val="en-US" w:eastAsia="zh-CN" w:bidi="ar-SA"/>
        </w:rPr>
        <w:t>万元，全年预算</w:t>
      </w:r>
      <w:r>
        <w:rPr>
          <w:rFonts w:hint="eastAsia" w:ascii="Times New Roman" w:hAnsi="Times New Roman" w:eastAsia="仿宋_GB2312" w:cs="Times New Roman"/>
          <w:kern w:val="2"/>
          <w:sz w:val="32"/>
          <w:szCs w:val="32"/>
          <w:lang w:val="en-US" w:eastAsia="zh-CN" w:bidi="ar-SA"/>
        </w:rPr>
        <w:t>14.69</w:t>
      </w:r>
      <w:r>
        <w:rPr>
          <w:rFonts w:hint="default" w:ascii="Times New Roman" w:hAnsi="Times New Roman" w:eastAsia="仿宋_GB2312" w:cs="Times New Roman"/>
          <w:kern w:val="2"/>
          <w:sz w:val="32"/>
          <w:szCs w:val="32"/>
          <w:lang w:val="en-US" w:eastAsia="zh-CN" w:bidi="ar-SA"/>
        </w:rPr>
        <w:t>万元，实际支出</w:t>
      </w:r>
      <w:r>
        <w:rPr>
          <w:rFonts w:hint="eastAsia" w:ascii="Times New Roman" w:hAnsi="Times New Roman" w:eastAsia="仿宋_GB2312" w:cs="Times New Roman"/>
          <w:kern w:val="2"/>
          <w:sz w:val="32"/>
          <w:szCs w:val="32"/>
          <w:lang w:val="en-US" w:eastAsia="zh-CN" w:bidi="ar-SA"/>
        </w:rPr>
        <w:t>14.69</w:t>
      </w:r>
      <w:r>
        <w:rPr>
          <w:rFonts w:hint="default" w:ascii="Times New Roman" w:hAnsi="Times New Roman" w:eastAsia="仿宋_GB2312" w:cs="Times New Roman"/>
          <w:kern w:val="2"/>
          <w:sz w:val="32"/>
          <w:szCs w:val="32"/>
          <w:lang w:val="en-US" w:eastAsia="zh-CN" w:bidi="ar-SA"/>
        </w:rPr>
        <w:t>万元，预算执行率为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%，项目绩效指标总体完成率为</w:t>
      </w:r>
      <w:r>
        <w:rPr>
          <w:rFonts w:hint="eastAsia" w:ascii="Times New Roman" w:hAnsi="Times New Roman" w:eastAsia="仿宋_GB2312" w:cs="Times New Roman"/>
          <w:kern w:val="2"/>
          <w:sz w:val="32"/>
          <w:szCs w:val="32"/>
          <w:lang w:val="en-US" w:eastAsia="zh-CN" w:bidi="ar-SA"/>
        </w:rPr>
        <w:t>100</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kern w:val="2"/>
          <w:sz w:val="32"/>
          <w:szCs w:val="32"/>
          <w:lang w:val="en-US" w:bidi="ar-SA"/>
        </w:rPr>
        <w:t>总体</w:t>
      </w:r>
      <w:r>
        <w:rPr>
          <w:rFonts w:hint="default" w:ascii="Times New Roman" w:hAnsi="Times New Roman" w:eastAsia="仿宋_GB2312" w:cs="Times New Roman"/>
          <w:kern w:val="2"/>
          <w:sz w:val="32"/>
          <w:szCs w:val="32"/>
          <w:lang w:val="en-US" w:eastAsia="zh-CN" w:bidi="ar-SA"/>
        </w:rPr>
        <w:t>偏差率为</w:t>
      </w:r>
      <w:r>
        <w:rPr>
          <w:rFonts w:hint="eastAsia" w:ascii="Times New Roman" w:hAnsi="Times New Roman" w:eastAsia="仿宋_GB2312" w:cs="Times New Roman"/>
          <w:kern w:val="2"/>
          <w:sz w:val="32"/>
          <w:szCs w:val="32"/>
          <w:lang w:val="en-US" w:eastAsia="zh-CN" w:bidi="ar-SA"/>
        </w:rPr>
        <w:t>0</w:t>
      </w:r>
      <w:r>
        <w:rPr>
          <w:rFonts w:hint="default"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无</w:t>
      </w:r>
      <w:r>
        <w:rPr>
          <w:rFonts w:hint="eastAsia" w:ascii="Times New Roman" w:hAnsi="Times New Roman" w:eastAsia="仿宋_GB2312" w:cs="Times New Roman"/>
          <w:kern w:val="2"/>
          <w:sz w:val="32"/>
          <w:szCs w:val="32"/>
          <w:lang w:val="en-US" w:eastAsia="zh-CN" w:bidi="ar-SA"/>
        </w:rPr>
        <w:t>偏差</w:t>
      </w:r>
      <w:r>
        <w:rPr>
          <w:rFonts w:hint="eastAsia" w:eastAsia="仿宋_GB2312" w:cs="Times New Roman"/>
          <w:kern w:val="2"/>
          <w:sz w:val="32"/>
          <w:szCs w:val="32"/>
          <w:lang w:val="en-US" w:eastAsia="zh-CN" w:bidi="ar-SA"/>
        </w:rPr>
        <w:t>。</w:t>
      </w:r>
    </w:p>
    <w:p w14:paraId="4EB2452E">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1E48C9FA">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E19D168">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D9A95C8">
      <w:pPr>
        <w:pStyle w:val="9"/>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30B3BE3B">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14:paraId="5FC1B6B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2B548AD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2FF27A29">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14:paraId="6EF2559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66F4E7E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0874248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99F0612">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4D835B09">
      <w:pPr>
        <w:pStyle w:val="11"/>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09F1FC40">
      <w:pPr>
        <w:pStyle w:val="11"/>
        <w:spacing w:after="0" w:line="560" w:lineRule="exact"/>
        <w:ind w:left="0" w:leftChars="0" w:firstLine="640"/>
        <w:rPr>
          <w:rFonts w:hint="eastAsia" w:ascii="Times New Roman" w:hAnsi="Times New Roman" w:eastAsia="仿宋_GB2312" w:cs="Times New Roman"/>
          <w:sz w:val="32"/>
          <w:szCs w:val="32"/>
          <w:lang w:eastAsia="zh-CN"/>
        </w:rPr>
      </w:pPr>
    </w:p>
    <w:p w14:paraId="64B0A069">
      <w:pPr>
        <w:rPr>
          <w:rFonts w:hint="default" w:ascii="Times New Roman" w:hAnsi="Times New Roman" w:cs="Times New Roma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D7E8A0-7F72-4409-ADA9-6344ADF149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0B15CAB-1E32-45F3-B0FF-90447518DBF3}"/>
  </w:font>
  <w:font w:name="华文中宋">
    <w:panose1 w:val="02010600040101010101"/>
    <w:charset w:val="86"/>
    <w:family w:val="auto"/>
    <w:pitch w:val="default"/>
    <w:sig w:usb0="00000287" w:usb1="080F0000" w:usb2="00000000" w:usb3="00000000" w:csb0="0004009F" w:csb1="DFD70000"/>
    <w:embedRegular r:id="rId3" w:fontKey="{35313538-4B48-476D-93C1-3AE89C675D6F}"/>
  </w:font>
  <w:font w:name="方正小标宋_GBK">
    <w:panose1 w:val="02000000000000000000"/>
    <w:charset w:val="86"/>
    <w:family w:val="script"/>
    <w:pitch w:val="default"/>
    <w:sig w:usb0="A00002BF" w:usb1="38CF7CFA" w:usb2="00082016" w:usb3="00000000" w:csb0="00040001" w:csb1="00000000"/>
    <w:embedRegular r:id="rId4" w:fontKey="{5AD8160E-DCFF-443A-950D-27786A824574}"/>
  </w:font>
  <w:font w:name="楷体_GB2312">
    <w:panose1 w:val="02010609030101010101"/>
    <w:charset w:val="86"/>
    <w:family w:val="auto"/>
    <w:pitch w:val="default"/>
    <w:sig w:usb0="00000001" w:usb1="080E0000" w:usb2="00000000" w:usb3="00000000" w:csb0="00040000" w:csb1="00000000"/>
    <w:embedRegular r:id="rId5" w:fontKey="{1CBF3AD2-190F-411F-A512-AAF5D5FC6B76}"/>
  </w:font>
  <w:font w:name="方正仿宋_GBK">
    <w:panose1 w:val="02000000000000000000"/>
    <w:charset w:val="86"/>
    <w:family w:val="auto"/>
    <w:pitch w:val="default"/>
    <w:sig w:usb0="A00002BF" w:usb1="38CF7CFA" w:usb2="00082016" w:usb3="00000000" w:csb0="00040001" w:csb1="00000000"/>
    <w:embedRegular r:id="rId6" w:fontKey="{42EBA8EA-EBE5-466B-B628-AF3271AA1291}"/>
  </w:font>
  <w:font w:name="楷体">
    <w:panose1 w:val="02010609060101010101"/>
    <w:charset w:val="86"/>
    <w:family w:val="modern"/>
    <w:pitch w:val="default"/>
    <w:sig w:usb0="800002BF" w:usb1="38CF7CFA" w:usb2="00000016" w:usb3="00000000" w:csb0="00040001" w:csb1="00000000"/>
    <w:embedRegular r:id="rId7" w:fontKey="{62CE34B3-F24E-471F-8B10-75B05EA615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2B58B980">
        <w:pPr>
          <w:pStyle w:val="6"/>
          <w:jc w:val="center"/>
        </w:pPr>
        <w:r>
          <w:fldChar w:fldCharType="begin"/>
        </w:r>
        <w:r>
          <w:instrText xml:space="preserve">PAGE   \* MERGEFORMAT</w:instrText>
        </w:r>
        <w:r>
          <w:fldChar w:fldCharType="separate"/>
        </w:r>
        <w:r>
          <w:rPr>
            <w:lang w:val="zh-CN"/>
          </w:rPr>
          <w:t>13</w:t>
        </w:r>
        <w:r>
          <w:fldChar w:fldCharType="end"/>
        </w:r>
      </w:p>
    </w:sdtContent>
  </w:sdt>
  <w:p w14:paraId="068D940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lvlText w:val="%1."/>
      <w:lvlJc w:val="left"/>
      <w:pPr>
        <w:tabs>
          <w:tab w:val="left" w:pos="312"/>
        </w:tabs>
      </w:p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3DCF60C9"/>
    <w:rsid w:val="4D790BB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Subject"/>
    <w:basedOn w:val="17"/>
    <w:next w:val="17"/>
    <w:link w:val="24"/>
    <w:qFormat/>
    <w:uiPriority w:val="0"/>
    <w:rPr>
      <w:b/>
      <w:bCs/>
    </w:rPr>
  </w:style>
  <w:style w:type="paragraph" w:customStyle="1" w:styleId="17">
    <w:name w:val="Comment Text"/>
    <w:basedOn w:val="1"/>
    <w:link w:val="23"/>
    <w:qFormat/>
    <w:uiPriority w:val="0"/>
    <w:pPr>
      <w:jc w:val="left"/>
    </w:p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7"/>
    <w:qFormat/>
    <w:uiPriority w:val="0"/>
    <w:rPr>
      <w:rFonts w:ascii="Times New Roman" w:hAnsi="Times New Roman" w:eastAsia="宋体" w:cs="Times New Roman"/>
      <w:kern w:val="2"/>
      <w:sz w:val="21"/>
      <w:szCs w:val="24"/>
    </w:rPr>
  </w:style>
  <w:style w:type="character" w:customStyle="1" w:styleId="24">
    <w:name w:val="批注主题 字符"/>
    <w:basedOn w:val="23"/>
    <w:link w:val="16"/>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eyJoZGlkIjoiZGYxMWQ5MDI3OTg0OWNiZjRmZmQ5NmExZWFiZmIwM2QiLCJ1c2VySWQiOiI0NTQwMTExNDUifQ==</vt:lpwstr>
  </property>
</Properties>
</file>

<file path=customXml/itemProps1.xml><?xml version="1.0" encoding="utf-8"?>
<ds:datastoreItem xmlns:ds="http://schemas.openxmlformats.org/officeDocument/2006/customXml" ds:itemID="{ffa57e21-3edf-412b-8880-ca755f5ceded}">
  <ds:schemaRefs/>
</ds:datastoreItem>
</file>

<file path=docProps/app.xml><?xml version="1.0" encoding="utf-8"?>
<Properties xmlns="http://schemas.openxmlformats.org/officeDocument/2006/extended-properties" xmlns:vt="http://schemas.openxmlformats.org/officeDocument/2006/docPropsVTypes">
  <Template>Normal</Template>
  <Pages>21</Pages>
  <Words>5350</Words>
  <Characters>5458</Characters>
  <Lines>58</Lines>
  <Paragraphs>16</Paragraphs>
  <TotalTime>90</TotalTime>
  <ScaleCrop>false</ScaleCrop>
  <LinksUpToDate>false</LinksUpToDate>
  <CharactersWithSpaces>5463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cp:lastPrinted>2025-04-16T02:50:00Z</cp:lastPrinted>
  <dcterms:modified xsi:type="dcterms:W3CDTF">2025-10-31T09:19:58Z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A075C2AEC1C54D1693797747003CB0A9_13</vt:lpwstr>
  </property>
  <property fmtid="{D5CDD505-2E9C-101B-9397-08002B2CF9AE}" pid="4" name="KSOTemplateDocerSaveRecord">
    <vt:lpwstr>eyJoZGlkIjoiMzEwNjkzMWMxZWMzNzU0NmUyNzQ2NGY3YzlmZjBhZDUiLCJ1c2VySWQiOiI0OTMxMTE3MjUifQ==</vt:lpwstr>
  </property>
</Properties>
</file>