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128024"/>
    <w:p w14:paraId="14E18769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6F8E395B">
      <w:pPr>
        <w:spacing w:line="540" w:lineRule="exact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545E7959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55D2D607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4BD9E41A">
      <w:pPr>
        <w:spacing w:line="540" w:lineRule="exact"/>
        <w:jc w:val="center"/>
        <w:rPr>
          <w:rFonts w:hint="eastAsia" w:ascii="Times New Roman" w:hAnsi="Times New Roman" w:eastAsia="方正小标宋_GBK" w:cs="Times New Roman"/>
          <w:kern w:val="0"/>
          <w:sz w:val="48"/>
          <w:szCs w:val="48"/>
          <w:lang w:val="en-US" w:eastAsia="zh-CN"/>
        </w:rPr>
      </w:pPr>
      <w:r>
        <w:rPr>
          <w:rFonts w:hint="eastAsia" w:ascii="Times New Roman" w:hAnsi="Times New Roman" w:eastAsia="方正小标宋_GBK" w:cs="Times New Roman"/>
          <w:kern w:val="0"/>
          <w:sz w:val="48"/>
          <w:szCs w:val="48"/>
          <w:lang w:val="en-US" w:eastAsia="zh-CN"/>
        </w:rPr>
        <w:t>地方专项，2024年其他项目类-托里县</w:t>
      </w:r>
    </w:p>
    <w:p w14:paraId="2F8A71A4">
      <w:pPr>
        <w:spacing w:line="540" w:lineRule="exact"/>
        <w:jc w:val="center"/>
        <w:rPr>
          <w:rFonts w:hint="default" w:ascii="Times New Roman" w:hAnsi="Times New Roman" w:eastAsia="方正小标宋_GBK" w:cs="Times New Roman"/>
          <w:kern w:val="0"/>
          <w:sz w:val="48"/>
          <w:szCs w:val="48"/>
        </w:rPr>
      </w:pPr>
      <w:r>
        <w:rPr>
          <w:rFonts w:hint="eastAsia" w:ascii="Times New Roman" w:hAnsi="Times New Roman" w:eastAsia="方正小标宋_GBK" w:cs="Times New Roman"/>
          <w:kern w:val="0"/>
          <w:sz w:val="48"/>
          <w:szCs w:val="48"/>
          <w:lang w:val="en-US" w:eastAsia="zh-CN"/>
        </w:rPr>
        <w:t>居民燃气终端销售价格补贴</w:t>
      </w:r>
      <w:r>
        <w:rPr>
          <w:rFonts w:hint="default" w:ascii="Times New Roman" w:hAnsi="Times New Roman" w:eastAsia="方正小标宋_GBK" w:cs="Times New Roman"/>
          <w:kern w:val="0"/>
          <w:sz w:val="48"/>
          <w:szCs w:val="48"/>
        </w:rPr>
        <w:t>项目</w:t>
      </w:r>
    </w:p>
    <w:p w14:paraId="3DC298E4">
      <w:pPr>
        <w:spacing w:line="540" w:lineRule="exact"/>
        <w:jc w:val="center"/>
        <w:rPr>
          <w:rFonts w:hint="default" w:ascii="Times New Roman" w:hAnsi="Times New Roman" w:eastAsia="方正小标宋_GBK" w:cs="Times New Roman"/>
          <w:kern w:val="0"/>
          <w:sz w:val="48"/>
          <w:szCs w:val="48"/>
        </w:rPr>
      </w:pPr>
      <w:r>
        <w:rPr>
          <w:rFonts w:hint="default" w:ascii="Times New Roman" w:hAnsi="Times New Roman" w:eastAsia="方正小标宋_GBK" w:cs="Times New Roman"/>
          <w:kern w:val="0"/>
          <w:sz w:val="48"/>
          <w:szCs w:val="48"/>
        </w:rPr>
        <w:t>支出绩效评价报告</w:t>
      </w:r>
    </w:p>
    <w:p w14:paraId="71DE1B6D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3F63BD6E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6"/>
          <w:szCs w:val="36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（202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年度）</w:t>
      </w:r>
    </w:p>
    <w:p w14:paraId="3AFE2477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22423618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25F5EC77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1FF0C692">
      <w:pPr>
        <w:pStyle w:val="9"/>
        <w:rPr>
          <w:rFonts w:hint="default" w:ascii="Times New Roman" w:hAnsi="Times New Roman" w:cs="Times New Roman"/>
        </w:rPr>
      </w:pPr>
    </w:p>
    <w:p w14:paraId="53E483CE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659BE5D2">
      <w:pPr>
        <w:spacing w:line="540" w:lineRule="exact"/>
        <w:jc w:val="left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60F40E07">
      <w:pPr>
        <w:spacing w:line="700" w:lineRule="exact"/>
        <w:ind w:firstLine="1440" w:firstLineChars="400"/>
        <w:jc w:val="left"/>
        <w:rPr>
          <w:rFonts w:hint="default" w:eastAsia="仿宋_GB2312" w:cs="Times New Roman"/>
          <w:kern w:val="0"/>
          <w:sz w:val="18"/>
          <w:szCs w:val="18"/>
          <w:lang w:eastAsia="zh-CN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项目名称</w:t>
      </w:r>
      <w:r>
        <w:rPr>
          <w:rFonts w:hint="default" w:eastAsia="仿宋_GB2312" w:cs="Times New Roman"/>
          <w:kern w:val="0"/>
          <w:sz w:val="36"/>
          <w:szCs w:val="36"/>
          <w:lang w:val="en-US" w:eastAsia="zh-CN"/>
        </w:rPr>
        <w:t>：</w:t>
      </w:r>
      <w:r>
        <w:rPr>
          <w:rFonts w:hint="eastAsia" w:eastAsia="仿宋_GB2312" w:cs="Times New Roman"/>
          <w:kern w:val="0"/>
          <w:sz w:val="36"/>
          <w:szCs w:val="36"/>
          <w:lang w:val="en-US" w:eastAsia="zh-CN"/>
        </w:rPr>
        <w:t>地方专项，2024年其他项目类-托里县居民燃气终端销售价格补贴</w:t>
      </w:r>
    </w:p>
    <w:p w14:paraId="409ABDD9">
      <w:pPr>
        <w:spacing w:line="700" w:lineRule="exact"/>
        <w:ind w:firstLine="1440" w:firstLineChars="400"/>
        <w:jc w:val="left"/>
        <w:rPr>
          <w:rFonts w:hint="eastAsia" w:ascii="Times New Roman" w:hAnsi="Times New Roman" w:eastAsia="仿宋_GB2312" w:cs="Times New Roman"/>
          <w:kern w:val="0"/>
          <w:sz w:val="36"/>
          <w:szCs w:val="36"/>
          <w:lang w:eastAsia="zh-CN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实施单位（公章）：</w:t>
      </w:r>
      <w:r>
        <w:rPr>
          <w:rFonts w:hint="eastAsia" w:eastAsia="仿宋_GB2312" w:cs="Times New Roman"/>
          <w:kern w:val="0"/>
          <w:sz w:val="36"/>
          <w:szCs w:val="36"/>
          <w:lang w:eastAsia="zh-CN"/>
        </w:rPr>
        <w:t>托里县发展和改革委员会</w:t>
      </w:r>
    </w:p>
    <w:p w14:paraId="5463C0CA">
      <w:pPr>
        <w:spacing w:line="700" w:lineRule="exact"/>
        <w:ind w:firstLine="1440" w:firstLineChars="400"/>
        <w:jc w:val="left"/>
        <w:rPr>
          <w:rFonts w:hint="default" w:ascii="Times New Roman" w:hAnsi="Times New Roman" w:eastAsia="仿宋_GB2312" w:cs="Times New Roman"/>
          <w:kern w:val="0"/>
          <w:sz w:val="36"/>
          <w:szCs w:val="36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主管部门（公章）：</w:t>
      </w:r>
      <w:r>
        <w:rPr>
          <w:rFonts w:hint="eastAsia" w:eastAsia="仿宋_GB2312" w:cs="Times New Roman"/>
          <w:kern w:val="0"/>
          <w:sz w:val="36"/>
          <w:szCs w:val="36"/>
          <w:lang w:val="en-US" w:eastAsia="zh-CN"/>
        </w:rPr>
        <w:t>托里县人民政府</w:t>
      </w:r>
    </w:p>
    <w:p w14:paraId="15B2E7A3">
      <w:pPr>
        <w:spacing w:line="700" w:lineRule="exact"/>
        <w:ind w:firstLine="1440" w:firstLineChars="400"/>
        <w:jc w:val="left"/>
        <w:rPr>
          <w:rFonts w:hint="eastAsia" w:ascii="Times New Roman" w:hAnsi="Times New Roman" w:eastAsia="仿宋_GB2312" w:cs="Times New Roman"/>
          <w:kern w:val="0"/>
          <w:sz w:val="36"/>
          <w:szCs w:val="36"/>
          <w:lang w:eastAsia="zh-CN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项目负责人（签章）：</w:t>
      </w:r>
      <w:r>
        <w:rPr>
          <w:rFonts w:hint="eastAsia" w:eastAsia="仿宋_GB2312" w:cs="Times New Roman"/>
          <w:kern w:val="0"/>
          <w:sz w:val="36"/>
          <w:szCs w:val="36"/>
          <w:lang w:eastAsia="zh-CN"/>
        </w:rPr>
        <w:t>刘翠霞</w:t>
      </w:r>
    </w:p>
    <w:p w14:paraId="0F352032">
      <w:pPr>
        <w:spacing w:line="700" w:lineRule="exact"/>
        <w:ind w:firstLine="1440" w:firstLineChars="400"/>
        <w:jc w:val="left"/>
        <w:rPr>
          <w:rFonts w:hint="default" w:ascii="Times New Roman" w:hAnsi="Times New Roman" w:eastAsia="仿宋_GB2312" w:cs="Times New Roman"/>
          <w:kern w:val="0"/>
          <w:sz w:val="36"/>
          <w:szCs w:val="36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填报时间：</w:t>
      </w:r>
      <w:r>
        <w:rPr>
          <w:rFonts w:hint="eastAsia" w:eastAsia="仿宋_GB2312" w:cs="Times New Roman"/>
          <w:kern w:val="0"/>
          <w:sz w:val="36"/>
          <w:szCs w:val="36"/>
          <w:lang w:val="en-US" w:eastAsia="zh-CN"/>
        </w:rPr>
        <w:t>2025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年</w:t>
      </w:r>
      <w:r>
        <w:rPr>
          <w:rFonts w:hint="eastAsia" w:eastAsia="仿宋_GB2312" w:cs="Times New Roman"/>
          <w:kern w:val="0"/>
          <w:sz w:val="36"/>
          <w:szCs w:val="36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月</w:t>
      </w:r>
      <w:r>
        <w:rPr>
          <w:rFonts w:hint="eastAsia" w:eastAsia="仿宋_GB2312" w:cs="Times New Roman"/>
          <w:kern w:val="0"/>
          <w:sz w:val="36"/>
          <w:szCs w:val="36"/>
          <w:lang w:val="en-US" w:eastAsia="zh-CN"/>
        </w:rPr>
        <w:t>17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日</w:t>
      </w:r>
    </w:p>
    <w:p w14:paraId="10BC616D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0BCCC307">
      <w:pPr>
        <w:spacing w:line="560" w:lineRule="exact"/>
        <w:rPr>
          <w:rFonts w:hint="default" w:ascii="Times New Roman" w:hAnsi="Times New Roman" w:eastAsia="黑体" w:cs="Times New Roman"/>
          <w:bCs/>
          <w:sz w:val="32"/>
          <w:szCs w:val="32"/>
        </w:rPr>
        <w:sectPr>
          <w:pgSz w:w="11906" w:h="16838"/>
          <w:pgMar w:top="1440" w:right="1558" w:bottom="1440" w:left="1800" w:header="851" w:footer="992" w:gutter="0"/>
          <w:cols w:space="425" w:num="1"/>
          <w:docGrid w:type="lines" w:linePitch="312" w:charSpace="0"/>
        </w:sectPr>
      </w:pPr>
      <w:bookmarkStart w:id="1" w:name="_GoBack"/>
      <w:bookmarkEnd w:id="1"/>
    </w:p>
    <w:p w14:paraId="281D3553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</w:rPr>
        <w:t>一、基本情况</w:t>
      </w:r>
    </w:p>
    <w:p w14:paraId="5AD2D414">
      <w:p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（一）项目概况</w:t>
      </w:r>
    </w:p>
    <w:p w14:paraId="250228E0">
      <w:pPr>
        <w:spacing w:line="560" w:lineRule="exact"/>
        <w:ind w:firstLine="643" w:firstLineChars="200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1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项目背景</w:t>
      </w:r>
    </w:p>
    <w:p w14:paraId="7D26F00C">
      <w:pPr>
        <w:spacing w:line="560" w:lineRule="exact"/>
        <w:ind w:firstLine="600" w:firstLineChars="200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为贯彻落实国家、自治区、地区天然气价格改革决策部署，促进托里县天然气行业健康创新发展，按照《行署2023年第五次常务会议纪要》(塔行阅</w:t>
      </w:r>
      <w:r>
        <w:rPr>
          <w:rFonts w:hint="eastAsia" w:eastAsia="仿宋_GB2312" w:cs="Times New Roman"/>
          <w:sz w:val="30"/>
          <w:szCs w:val="30"/>
          <w:highlight w:val="none"/>
          <w:lang w:val="en-US" w:eastAsia="zh-CN"/>
        </w:rPr>
        <w:t>[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2023]24号)，会议通过地区发展改革委提交的《关于拟调整塔城地区北五县(市)居民燃气终端销售价格的请示》。托里县根据地区发展改革委《关于拟调整塔城地区北五县(市)居民燃气终端销售价格的请示》(塔地发改价[2023]7号方)要求，我县按照方案二，暂不调整居民天然气销售价格，在塔城地区天然气利民工程完成前,实行财政补贴制度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。</w:t>
      </w:r>
    </w:p>
    <w:p w14:paraId="0420E490">
      <w:pPr>
        <w:pStyle w:val="9"/>
        <w:numPr>
          <w:ilvl w:val="0"/>
          <w:numId w:val="0"/>
        </w:numPr>
        <w:spacing w:before="0" w:after="0" w:line="560" w:lineRule="exact"/>
        <w:ind w:firstLine="643" w:firstLineChars="200"/>
        <w:jc w:val="both"/>
        <w:rPr>
          <w:rFonts w:hint="default" w:ascii="Times New Roman" w:hAnsi="Times New Roman" w:eastAsia="仿宋_GB2312" w:cs="Times New Roman"/>
          <w:kern w:val="2"/>
        </w:rPr>
      </w:pPr>
      <w:r>
        <w:rPr>
          <w:rFonts w:hint="default" w:ascii="Times New Roman" w:hAnsi="Times New Roman" w:eastAsia="仿宋_GB2312" w:cs="Times New Roman"/>
          <w:kern w:val="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kern w:val="2"/>
        </w:rPr>
        <w:t>项目主要内容：</w:t>
      </w:r>
    </w:p>
    <w:p w14:paraId="723937C5">
      <w:pPr>
        <w:spacing w:line="560" w:lineRule="exact"/>
        <w:ind w:firstLine="600" w:firstLineChars="200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项目主要内容：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我县按照方案二，暂不调整居民天然气销售价格，在塔城地区天然气利民工程完成前,实行财政补贴制度。我县2022年居民用气量21.66万方，居民户数2610户，价格上涨幅度0.29元每方，平均每户增加支出金额24.07元每年，预计增加财政支出金额6.28万元补给托里县超凡燃气有限责任公司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。</w:t>
      </w:r>
    </w:p>
    <w:p w14:paraId="0F8EEF5D">
      <w:pPr>
        <w:spacing w:line="560" w:lineRule="exact"/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项目实施情况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：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地方专项，2024年其他项目类-托里县居民燃气终端销售价格补贴项目，截止2024年12月31日，项目资金执行6.28万元，资金执行率100%，完成我县居民燃气终端销售价格补贴工作，使2022年居民用气量达到21.66万方。2022年居民用气户数2610户，达到促进塔城地区天然气行业健康持续发展的效益。</w:t>
      </w:r>
    </w:p>
    <w:p w14:paraId="3CE4B4D1">
      <w:pPr>
        <w:spacing w:line="560" w:lineRule="exact"/>
        <w:ind w:firstLine="643" w:firstLineChars="200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3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资金投入和使用情况</w:t>
      </w:r>
    </w:p>
    <w:p w14:paraId="06D2F2A6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（1）资金投入情况</w:t>
      </w:r>
    </w:p>
    <w:p w14:paraId="1E048CFC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FF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该项目年初预算数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6.28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万元，全年预算数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6.28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万元，该项目资金已全部落实到位，资金来源为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财政拨款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。</w:t>
      </w:r>
    </w:p>
    <w:p w14:paraId="30EFC79E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（2）资金使用情况</w:t>
      </w:r>
    </w:p>
    <w:p w14:paraId="5E9BBBA0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该项目年初预算数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6.28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万元，全年预算数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6.28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全年执行数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6.28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万元，预算执行率为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%，主要用于：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完成我县居民燃气终端销售价格补贴工作，达到促进塔城地区天然气行业健康持续发展的效益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。</w:t>
      </w:r>
    </w:p>
    <w:p w14:paraId="62CE121D">
      <w:p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（二）项目绩效目标</w:t>
      </w:r>
    </w:p>
    <w:p w14:paraId="204F5384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总体目标</w:t>
      </w:r>
    </w:p>
    <w:p w14:paraId="7432D2B5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地方专项，2024年其他项目类-托里县居民燃气终端销售价格补贴项目总资金6.28万元，用于我县2022年居民用气量21.66万方，居民户数2610户，价格上涨幅度0.29元每方，平均每户增加支出金额24.07元每年，给托里县超凡燃气有限责任公司的补助资金。该项目的完成可以促进塔城地区天然气行业健康持续发展，补贴企业满意度达到95%。</w:t>
      </w:r>
    </w:p>
    <w:p w14:paraId="1A7FB529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FF0000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阶段性目标</w:t>
      </w:r>
    </w:p>
    <w:p w14:paraId="426F7A65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地方专项，2024年其他项目类-托里县居民燃气终端销售价格补贴项目，截止2024年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月31日，项目资金执行6.28万元，资金执行率100%，完成我县居民燃气终端销售价格补贴工作，使2022年居民用气量达到21.66万方。2022年居民用气户数2610户，达到促进塔城地区天然气行业健康持续发展的效益。</w:t>
      </w:r>
    </w:p>
    <w:p w14:paraId="7EF49EBE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二、绩效评价工作开展情况</w:t>
      </w:r>
    </w:p>
    <w:p w14:paraId="3B30F5D3">
      <w:p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highlight w:val="none"/>
        </w:rPr>
        <w:t>（一）绩效评价目的、对象和范围</w:t>
      </w:r>
    </w:p>
    <w:p w14:paraId="41C50B69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1.绩效评价完整性</w:t>
      </w:r>
    </w:p>
    <w:p w14:paraId="3730FCC8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本项目预算绩效评价报告在编制过程中，严格遵循相关法规与标准，确保评价内容的全面性与准确性。报告涵盖了项目从预算编制、执行到完成的全过程，对项目的各项绩效指标进行了细致的梳理与评估。</w:t>
      </w:r>
    </w:p>
    <w:p w14:paraId="0DF17CA6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在评价指标体系的构建上，充分考虑了项目的性质、目标以及预期成果，选取了具有代表性和可衡量性的关键指标，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通过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社会效益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：塔城地区天然气行业健康持续发展，来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反映项目的绩效状况。</w:t>
      </w:r>
    </w:p>
    <w:p w14:paraId="538FEA5B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</w:t>
      </w:r>
    </w:p>
    <w:p w14:paraId="1F06D797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</w:t>
      </w:r>
    </w:p>
    <w:p w14:paraId="10181408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</w:t>
      </w:r>
    </w:p>
    <w:p w14:paraId="2BAA4E7E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绩效评价的目的</w:t>
      </w:r>
    </w:p>
    <w:p w14:paraId="5FA836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（1）评估项目实施效果</w:t>
      </w:r>
    </w:p>
    <w:p w14:paraId="5088A6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通过对项目预算执行情况及各项绩效目标达成程度的系统性分析，全面、客观地评估项目在预定周期内的实施效果，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通过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社会效</w:t>
      </w:r>
      <w:r>
        <w:rPr>
          <w:rFonts w:hint="default" w:eastAsia="仿宋_GB2312" w:cs="Times New Roman"/>
          <w:color w:val="auto"/>
          <w:sz w:val="32"/>
          <w:szCs w:val="32"/>
          <w:highlight w:val="none"/>
          <w:lang w:val="en-US" w:eastAsia="zh-CN"/>
        </w:rPr>
        <w:t>益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：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塔城地区天然气行业健康持续发展</w:t>
      </w:r>
      <w:r>
        <w:rPr>
          <w:rFonts w:hint="default" w:eastAsia="仿宋_GB2312" w:cs="Times New Roman"/>
          <w:color w:val="auto"/>
          <w:sz w:val="32"/>
          <w:szCs w:val="32"/>
          <w:highlight w:val="none"/>
          <w:lang w:val="en-US" w:eastAsia="zh-CN"/>
        </w:rPr>
        <w:t>，</w:t>
      </w:r>
      <w:r>
        <w:rPr>
          <w:rFonts w:hint="default" w:eastAsia="仿宋_GB2312" w:cs="Times New Roman"/>
          <w:color w:val="auto"/>
          <w:sz w:val="32"/>
          <w:szCs w:val="32"/>
          <w:highlight w:val="none"/>
          <w:lang w:eastAsia="zh-CN"/>
        </w:rPr>
        <w:t>为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项目后续的改进与优化提供科学依据。</w:t>
      </w:r>
    </w:p>
    <w:p w14:paraId="45611D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（2）提升资源利用效率</w:t>
      </w:r>
    </w:p>
    <w:p w14:paraId="3C41CE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</w:t>
      </w:r>
    </w:p>
    <w:p w14:paraId="4CD0CF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（3）强化项目管理责任</w:t>
      </w:r>
    </w:p>
    <w:p w14:paraId="7246FA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</w:t>
      </w:r>
    </w:p>
    <w:p w14:paraId="15A43C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（4）为决策提供支持</w:t>
      </w:r>
    </w:p>
    <w:p w14:paraId="2C7B94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</w:t>
      </w:r>
    </w:p>
    <w:p w14:paraId="5A856E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（5）促进项目持续改进</w:t>
      </w:r>
    </w:p>
    <w:p w14:paraId="519B23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</w:t>
      </w:r>
    </w:p>
    <w:p w14:paraId="2A3EF1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本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</w:t>
      </w:r>
    </w:p>
    <w:p w14:paraId="1771550A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绩效评价的对象</w:t>
      </w:r>
    </w:p>
    <w:p w14:paraId="178BCD6A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本项目预算绩效评价报告的评价对象是地方专项，2024年其他项目类-托里县居民燃气终端销售价格补贴及其预算执行情况。该项目由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托里县发展和改革委员会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负责实施，旨在完成我县居民燃气终端销售价格补贴工作，达到促进塔城地区天然气行业健康持续发展的效益。项目预算涵盖从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2024年1月1日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至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2024年8月31日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的全部资金投入与支出，涉及资金总额为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6.28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万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元。</w:t>
      </w:r>
    </w:p>
    <w:p w14:paraId="1A8D2019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4.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绩效评价的范围</w:t>
      </w:r>
    </w:p>
    <w:p w14:paraId="6D7FACDB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本项目预算绩效评价报告的评价范围广泛而全面，涵盖了从项目立项至评价时点期间的所有关键预算活动和财务流程。具体而言，评价范围包括但不限于以下几个方面：</w:t>
      </w:r>
    </w:p>
    <w:p w14:paraId="59AE5A64">
      <w:pPr>
        <w:pStyle w:val="9"/>
        <w:widowControl w:val="0"/>
        <w:numPr>
          <w:ilvl w:val="0"/>
          <w:numId w:val="1"/>
        </w:numPr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项目预算编制与执行：全面审视项目预算的编制依据、合理性、科学性以及实际执行情况，包括预算调整的原因和效果。</w:t>
      </w:r>
    </w:p>
    <w:p w14:paraId="191DADEF">
      <w:pPr>
        <w:pStyle w:val="9"/>
        <w:widowControl w:val="0"/>
        <w:numPr>
          <w:ilvl w:val="0"/>
          <w:numId w:val="1"/>
        </w:numPr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资金管理：深入分析项目资金的分配、使用和监管情况，确保资金使用的合规性、高效性和透明度。</w:t>
      </w:r>
    </w:p>
    <w:p w14:paraId="02FDBADA">
      <w:pPr>
        <w:pStyle w:val="9"/>
        <w:widowControl w:val="0"/>
        <w:numPr>
          <w:ilvl w:val="0"/>
          <w:numId w:val="1"/>
        </w:numPr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项目实施进度与产出：评估项目是否按照既定计划顺利推进，各项任务是否按时完成，以及项目产出的数量、质量和时效性是否符合预期。</w:t>
      </w:r>
    </w:p>
    <w:p w14:paraId="47E14F98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本项目预算绩效评价报告的评价范围广泛而全面，涵盖了从项目立项至评价时点期间的所有关键预算活动和财务流程。具体而言，评价范围包括但不限于以下几个方面：</w:t>
      </w:r>
    </w:p>
    <w:p w14:paraId="20F3E73B">
      <w:pPr>
        <w:pStyle w:val="9"/>
        <w:widowControl w:val="0"/>
        <w:numPr>
          <w:ilvl w:val="0"/>
          <w:numId w:val="1"/>
        </w:numPr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项目预算编制与执行：全面审视项目预算的编制依据、合理性、科学性以及实际执行情况，包括预算调整的原因和效果。</w:t>
      </w:r>
    </w:p>
    <w:p w14:paraId="6264723E">
      <w:pPr>
        <w:pStyle w:val="9"/>
        <w:widowControl w:val="0"/>
        <w:numPr>
          <w:ilvl w:val="0"/>
          <w:numId w:val="1"/>
        </w:numPr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资金管理：深入分析项目资金的分配、使用和监管情况，确保资金使用的合规性、高效性和透明度。</w:t>
      </w:r>
    </w:p>
    <w:p w14:paraId="7FC0AF9E">
      <w:pPr>
        <w:pStyle w:val="9"/>
        <w:widowControl w:val="0"/>
        <w:numPr>
          <w:ilvl w:val="0"/>
          <w:numId w:val="1"/>
        </w:numPr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项目实施进度与产出：评估项目是否按照既定计划顺利推进，各项任务是否按时完成，以及项目产出的数量、质量和时效性是否符合预期。</w:t>
      </w:r>
    </w:p>
    <w:p w14:paraId="0CA7FE9B">
      <w:pPr>
        <w:pStyle w:val="9"/>
        <w:widowControl w:val="0"/>
        <w:numPr>
          <w:ilvl w:val="0"/>
          <w:numId w:val="1"/>
        </w:numPr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社会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效益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影响：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可以使清洁能源替代加速，实现环境治理协同效应，促进塔城地区天然气行业健康持续发展。</w:t>
      </w:r>
    </w:p>
    <w:p w14:paraId="6B56B1DF">
      <w:pPr>
        <w:spacing w:line="560" w:lineRule="exact"/>
        <w:ind w:firstLine="643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highlight w:val="none"/>
        </w:rPr>
        <w:t>（二）绩效评价原则、评价指标体系（详情见表1）、评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价方法、评价标准。</w:t>
      </w:r>
    </w:p>
    <w:p w14:paraId="753A71F6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1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</w:rPr>
        <w:t>绩效评价原则</w:t>
      </w:r>
    </w:p>
    <w:p w14:paraId="10FF642E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本次项目绩效评价遵循以下基本原则：</w:t>
      </w:r>
    </w:p>
    <w:p w14:paraId="2C4E385B">
      <w:pPr>
        <w:pStyle w:val="9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（1）科学公正。绩效评价应当运用科学合理的方法，按照规范的程序，对项目绩效进行客观、公正的反映。</w:t>
      </w:r>
    </w:p>
    <w:p w14:paraId="208B0F1C">
      <w:pPr>
        <w:pStyle w:val="9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</w:p>
    <w:p w14:paraId="69BDCD69">
      <w:pPr>
        <w:pStyle w:val="9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（3）激励约束。绩效评价结果应与预算安排、政策调整、改进管理实质性挂钩，体现奖优罚劣和激励相容导向，有效要安排、低效要压减、无效要问责。</w:t>
      </w:r>
    </w:p>
    <w:p w14:paraId="64D93B23">
      <w:pPr>
        <w:pStyle w:val="9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（4）公开透明。绩效评价结果应依法依规公开，并自觉接受社会监督。</w:t>
      </w:r>
    </w:p>
    <w:p w14:paraId="3FC04C8D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2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</w:rPr>
        <w:t>评价指标体系</w:t>
      </w:r>
    </w:p>
    <w:p w14:paraId="48427F83">
      <w:pPr>
        <w:spacing w:line="560" w:lineRule="exact"/>
        <w:ind w:firstLine="708" w:firstLineChars="200"/>
        <w:rPr>
          <w:rFonts w:hint="default" w:ascii="Times New Roman" w:hAnsi="Times New Roman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绩效评价框架是开展绩效评价的核心。绩效评价框架包括评价准则、关键评价问题、评价指标、数据来源、数据收集方法等。指标体系建立过程如下：</w:t>
      </w:r>
    </w:p>
    <w:p w14:paraId="2253C2EC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（1）确定评价指标</w:t>
      </w:r>
    </w:p>
    <w:p w14:paraId="6A417300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</w:p>
    <w:p w14:paraId="4BA9AEA1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（2）确定权重</w:t>
      </w:r>
    </w:p>
    <w:p w14:paraId="3DD20E7B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FF0000"/>
          <w:spacing w:val="17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确定各个指标相对于项目总体绩效的权重分值。在绩效评价指标体系中，项目决策权重为20分，项目过程权重为20分，项目产出权重为40分，项目效益权重为20分。</w:t>
      </w:r>
    </w:p>
    <w:p w14:paraId="217C5B80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（3）确定指标标准值</w:t>
      </w:r>
    </w:p>
    <w:p w14:paraId="77E5BDE9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指标标准值是绩效评价指标的尺度，既要反映同类项目的先进水平，又要符合项目的实际绩效水平。具体采用计划标准等确定此次绩效评价指标标准值。</w:t>
      </w:r>
    </w:p>
    <w:p w14:paraId="79C9B293">
      <w:pPr>
        <w:pStyle w:val="9"/>
        <w:spacing w:before="0" w:after="0" w:line="560" w:lineRule="exact"/>
        <w:ind w:firstLine="708" w:firstLineChars="200"/>
        <w:jc w:val="both"/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  <w:kern w:val="2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  <w:kern w:val="2"/>
        </w:rPr>
        <w:t>绩效评价总分值100分，根据综合评分结果，90（含）-100分为优、80（含）-90分为良、60（含）-80分为中、60分以下为差。</w:t>
      </w:r>
    </w:p>
    <w:p w14:paraId="1BFB98AC">
      <w:pPr>
        <w:pStyle w:val="9"/>
        <w:widowControl w:val="0"/>
        <w:spacing w:before="0" w:after="0" w:line="560" w:lineRule="exact"/>
        <w:ind w:firstLine="708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</w:rPr>
        <w:t>具体评价指标体系详情见附件1</w:t>
      </w:r>
    </w:p>
    <w:p w14:paraId="45E4858E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3</w:t>
      </w: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</w:rPr>
        <w:t>绩效评价方法</w:t>
      </w:r>
    </w:p>
    <w:p w14:paraId="69578060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绩效评价从项目决策、项目过程、项目产出、项目效益四个维度进行评价。评价对象为项目目标实施情况，  评价核心为资金的支出完成情况和项目的产出效益。</w:t>
      </w:r>
    </w:p>
    <w:p w14:paraId="2D41FC33">
      <w:pPr>
        <w:spacing w:line="560" w:lineRule="exact"/>
        <w:ind w:firstLine="708" w:firstLineChars="200"/>
        <w:rPr>
          <w:rFonts w:hint="eastAsia" w:ascii="Times New Roman" w:hAnsi="Times New Roman" w:eastAsia="仿宋_GB2312" w:cs="Times New Roman"/>
          <w:color w:val="000000"/>
          <w:spacing w:val="17"/>
          <w:sz w:val="32"/>
          <w:szCs w:val="32"/>
          <w:highlight w:val="green"/>
          <w:lang w:eastAsia="zh-CN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本次评价指标中，既有定性指标又有定量指标，各类指标因考核内容不同和客观标准不同存在较大差异，因此核定具体指标时采用了不同方法，具体评价方法如下：</w:t>
      </w:r>
    </w:p>
    <w:p w14:paraId="121FA066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eastAsia" w:ascii="Times New Roman" w:hAnsi="Times New Roman" w:eastAsia="仿宋_GB2312" w:cs="Times New Roman"/>
          <w:b w:val="0"/>
          <w:bCs w:val="0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（</w:t>
      </w:r>
      <w:r>
        <w:rPr>
          <w:rFonts w:hint="eastAsia" w:ascii="Times New Roman" w:hAnsi="Times New Roman" w:eastAsia="仿宋_GB2312" w:cs="Times New Roman"/>
          <w:b w:val="0"/>
          <w:bCs w:val="0"/>
          <w:lang w:eastAsia="zh-CN"/>
        </w:rPr>
        <w:t>一</w:t>
      </w:r>
      <w:r>
        <w:rPr>
          <w:rFonts w:hint="default" w:ascii="Times New Roman" w:hAnsi="Times New Roman" w:eastAsia="仿宋_GB2312" w:cs="Times New Roman"/>
          <w:b w:val="0"/>
          <w:bCs w:val="0"/>
        </w:rPr>
        <w:t>）因素分析法。是指综合分析影响绩效目标实现、实施效果的内外部因素的方法。</w:t>
      </w:r>
      <w:r>
        <w:rPr>
          <w:rFonts w:hint="eastAsia" w:ascii="Times New Roman" w:hAnsi="Times New Roman" w:eastAsia="仿宋_GB2312" w:cs="Times New Roman"/>
          <w:b w:val="0"/>
          <w:bCs w:val="0"/>
          <w:lang w:eastAsia="zh-CN"/>
        </w:rPr>
        <w:t>可以系统整合各类因素，为战略决策提供科学依据。</w:t>
      </w:r>
    </w:p>
    <w:p w14:paraId="4F8B02DA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eastAsia" w:ascii="Times New Roman" w:hAnsi="Times New Roman" w:eastAsia="仿宋_GB2312" w:cs="Times New Roman"/>
          <w:color w:val="000000"/>
          <w:spacing w:val="17"/>
          <w:sz w:val="32"/>
          <w:szCs w:val="32"/>
          <w:highlight w:val="yellow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（</w:t>
      </w:r>
      <w:r>
        <w:rPr>
          <w:rFonts w:hint="eastAsia" w:ascii="Times New Roman" w:hAnsi="Times New Roman" w:eastAsia="仿宋_GB2312" w:cs="Times New Roman"/>
          <w:b w:val="0"/>
          <w:bCs w:val="0"/>
          <w:lang w:eastAsia="zh-CN"/>
        </w:rPr>
        <w:t>二</w:t>
      </w:r>
      <w:r>
        <w:rPr>
          <w:rFonts w:hint="default" w:ascii="Times New Roman" w:hAnsi="Times New Roman" w:eastAsia="仿宋_GB2312" w:cs="Times New Roman"/>
          <w:b w:val="0"/>
          <w:bCs w:val="0"/>
        </w:rPr>
        <w:t>）最低成本法。是指在绩效目标确定的前提下，成本最小者为优的方法。</w:t>
      </w:r>
      <w:r>
        <w:rPr>
          <w:rFonts w:hint="eastAsia" w:ascii="Times New Roman" w:hAnsi="Times New Roman" w:eastAsia="仿宋_GB2312" w:cs="Times New Roman"/>
          <w:b w:val="0"/>
          <w:bCs w:val="0"/>
          <w:lang w:eastAsia="zh-CN"/>
        </w:rPr>
        <w:t>可以在有限的资源下，实现效率的最大化，强化成本控制与预算约束。</w:t>
      </w:r>
    </w:p>
    <w:p w14:paraId="66AE60E5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4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</w:rPr>
        <w:t>评价标准</w:t>
      </w:r>
    </w:p>
    <w:p w14:paraId="1FBD4591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绩效评价标准通常包括计划标准、行业标准、历史标准等，用于对绩效指标完成情况进行比较、分析、评价。本次评价主要采用了</w:t>
      </w:r>
      <w:r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  <w:t>计划</w:t>
      </w:r>
      <w:r>
        <w:rPr>
          <w:rFonts w:hint="default" w:ascii="Times New Roman" w:hAnsi="Times New Roman" w:eastAsia="仿宋_GB2312" w:cs="Times New Roman"/>
          <w:b w:val="0"/>
          <w:bCs w:val="0"/>
        </w:rPr>
        <w:t>标准。</w:t>
      </w:r>
    </w:p>
    <w:p w14:paraId="73A7CA8F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  <w:t>我单位</w:t>
      </w:r>
      <w:r>
        <w:rPr>
          <w:rFonts w:hint="eastAsia" w:ascii="Times New Roman" w:hAnsi="Times New Roman" w:eastAsia="仿宋_GB2312" w:cs="Times New Roman"/>
          <w:b w:val="0"/>
          <w:bCs w:val="0"/>
          <w:lang w:eastAsia="zh-CN"/>
        </w:rPr>
        <w:t>通过提前计划进行资源分配，来控制成本，并在实施操作中将实际不断与计划目标对齐</w:t>
      </w:r>
      <w:r>
        <w:rPr>
          <w:rFonts w:hint="default" w:ascii="Times New Roman" w:hAnsi="Times New Roman" w:eastAsia="仿宋_GB2312" w:cs="Times New Roman"/>
          <w:b w:val="0"/>
          <w:bCs w:val="0"/>
        </w:rPr>
        <w:t>。</w:t>
      </w:r>
    </w:p>
    <w:p w14:paraId="0BD35093">
      <w:pPr>
        <w:pStyle w:val="9"/>
        <w:numPr>
          <w:ilvl w:val="0"/>
          <w:numId w:val="2"/>
        </w:numPr>
        <w:spacing w:before="0" w:after="0" w:line="560" w:lineRule="exact"/>
        <w:ind w:firstLine="711" w:firstLineChars="200"/>
        <w:jc w:val="both"/>
        <w:rPr>
          <w:rFonts w:hint="default" w:ascii="Times New Roman" w:hAnsi="Times New Roman" w:eastAsia="楷体" w:cs="Times New Roman"/>
          <w:color w:val="000000"/>
          <w:spacing w:val="17"/>
        </w:rPr>
      </w:pPr>
      <w:r>
        <w:rPr>
          <w:rFonts w:hint="default" w:ascii="Times New Roman" w:hAnsi="Times New Roman" w:eastAsia="楷体" w:cs="Times New Roman"/>
          <w:color w:val="000000"/>
          <w:spacing w:val="17"/>
        </w:rPr>
        <w:t>绩效评价工作过程</w:t>
      </w:r>
    </w:p>
    <w:p w14:paraId="43F190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前期准备与规划</w:t>
      </w:r>
    </w:p>
    <w:p w14:paraId="577B04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在项目绩效评价工作启动之初，成立了专门的评价工作小组，小组成员由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主要负责人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、项目管理专业人员及相关领域技术骨干组成，确保从多角度、全方位对项目绩效进行评价。同时，明确了评价工作的目标、范围、重点及时间安排，制定了详细的工作计划，为评价工作的顺利开展奠定了坚实基础。</w:t>
      </w:r>
    </w:p>
    <w:p w14:paraId="059632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）指标体系构建</w:t>
      </w:r>
    </w:p>
    <w:p w14:paraId="49DDAE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依据项目的性质、目标以及预期成果，构建了科学合理的绩效评价指标体系。该指标体系涵盖了</w:t>
      </w: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highlight w:val="none"/>
        </w:rPr>
        <w:t>项目决策、项目过程、项目产出、项目效益四个维度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，选取了具有代表性和可衡量性的关键指标，并为每个指标设定了明确的评价标准与权重，确保评价结果能够全面、准确地反映项目的绩效状况。</w:t>
      </w:r>
    </w:p>
    <w:p w14:paraId="7F7F3E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）数据收集与整理</w:t>
      </w:r>
    </w:p>
    <w:p w14:paraId="1CAEB9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广泛收集与项目相关的各类数据，包括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财务凭证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、项目文档、业务数据、用户反馈等。在数据收集过程中，注重数据的质量与完整性，对缺失或异常的数据进行了合理的处理和补充。随后，对收集到的数据进行了系统的整理与分类，为后续的数据分析提供了有力支持。</w:t>
      </w:r>
    </w:p>
    <w:p w14:paraId="52A15E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）数据分析与评估</w:t>
      </w:r>
    </w:p>
    <w:p w14:paraId="482110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</w:t>
      </w:r>
    </w:p>
    <w:p w14:paraId="3739D4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）报告撰写与反馈</w:t>
      </w:r>
    </w:p>
    <w:p w14:paraId="254AF4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</w:t>
      </w:r>
    </w:p>
    <w:p w14:paraId="575F56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）后续跟踪与改进</w:t>
      </w:r>
    </w:p>
    <w:p w14:paraId="7EA819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 w14:paraId="3FE844D6">
      <w:pPr>
        <w:numPr>
          <w:ilvl w:val="0"/>
          <w:numId w:val="3"/>
        </w:num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综合评价情况及评价结论（附相关评分表）</w:t>
      </w:r>
    </w:p>
    <w:p w14:paraId="622A309D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highlight w:val="none"/>
          <w:lang w:val="en-US" w:eastAsia="zh-CN"/>
        </w:rPr>
      </w:pPr>
      <w:r>
        <w:rPr>
          <w:rFonts w:hint="default" w:ascii="Times New Roman" w:hAnsi="Times New Roman" w:eastAsia="楷体_GB2312" w:cs="Times New Roman"/>
          <w:highlight w:val="none"/>
          <w:lang w:eastAsia="zh-CN"/>
        </w:rPr>
        <w:t>（</w:t>
      </w:r>
      <w:r>
        <w:rPr>
          <w:rFonts w:hint="default" w:ascii="Times New Roman" w:hAnsi="Times New Roman" w:eastAsia="楷体_GB2312" w:cs="Times New Roman"/>
          <w:highlight w:val="none"/>
          <w:lang w:val="en-US" w:eastAsia="zh-CN"/>
        </w:rPr>
        <w:t>一</w:t>
      </w:r>
      <w:r>
        <w:rPr>
          <w:rFonts w:hint="default" w:ascii="Times New Roman" w:hAnsi="Times New Roman" w:eastAsia="楷体_GB2312" w:cs="Times New Roman"/>
          <w:highlight w:val="none"/>
          <w:lang w:eastAsia="zh-CN"/>
        </w:rPr>
        <w:t>）</w:t>
      </w:r>
      <w:r>
        <w:rPr>
          <w:rFonts w:hint="default" w:ascii="Times New Roman" w:hAnsi="Times New Roman" w:eastAsia="楷体_GB2312" w:cs="Times New Roman"/>
          <w:highlight w:val="none"/>
          <w:lang w:val="en-US" w:eastAsia="zh-CN"/>
        </w:rPr>
        <w:t>评价情况</w:t>
      </w:r>
    </w:p>
    <w:p w14:paraId="71F14BC4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本项目的综合评价基于对项目各方面绩效的深入分析与评估。从项目目标的达成情况来看，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地方专项，2024年其他项目类-托里县居民燃气终端销售价格补贴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在2022年居民用气量、2022年居民用气户数等方面表现出色，达到了预期的标准与要求。同时，项目也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对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托里县超凡燃气有限责任公司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进行了销售补贴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使2022年居民用气量达到21.66万方。2022年居民用气户数2610户，达到促进塔城地区天然气行业健康持续发展的效益。</w:t>
      </w:r>
    </w:p>
    <w:p w14:paraId="36B234D0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在项目管理方面，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托里县发展和改革委员会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通过有效的规划、组织与协调，项目得以顺利实施，并在预算与时间上保持了良好的控制。</w:t>
      </w:r>
    </w:p>
    <w:p w14:paraId="3921E7B6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从项目效益的角度来看，本项目不仅实现了预期的社会效益方面产生了积极的影响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确保了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塔城地区天然气行业健康持续发展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为项目的利益相关者带来了实实在在的利益。</w:t>
      </w:r>
    </w:p>
    <w:p w14:paraId="03D9AD3D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default" w:ascii="Times New Roman" w:hAnsi="Times New Roman" w:cs="Times New Roman"/>
          <w:color w:val="auto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综上所述，地方专项，2024年其他项目类-托里县居民燃气终端销售价格补贴在绩效评价中表现出色，达到了项目的预期目标，并在多个方面取得了显著的成效。</w:t>
      </w:r>
    </w:p>
    <w:p w14:paraId="24086975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lang w:val="en-US" w:eastAsia="zh-CN"/>
        </w:rPr>
      </w:pPr>
      <w:r>
        <w:rPr>
          <w:rFonts w:hint="default" w:ascii="Times New Roman" w:hAnsi="Times New Roman" w:eastAsia="楷体_GB2312" w:cs="Times New Roman"/>
          <w:lang w:eastAsia="zh-CN"/>
        </w:rPr>
        <w:t>（</w:t>
      </w:r>
      <w:r>
        <w:rPr>
          <w:rFonts w:hint="default" w:ascii="Times New Roman" w:hAnsi="Times New Roman" w:eastAsia="楷体_GB2312" w:cs="Times New Roman"/>
          <w:lang w:val="en-US" w:eastAsia="zh-CN"/>
        </w:rPr>
        <w:t>二</w:t>
      </w:r>
      <w:r>
        <w:rPr>
          <w:rFonts w:hint="default" w:ascii="Times New Roman" w:hAnsi="Times New Roman" w:eastAsia="楷体_GB2312" w:cs="Times New Roman"/>
          <w:lang w:eastAsia="zh-CN"/>
        </w:rPr>
        <w:t>）</w:t>
      </w:r>
      <w:r>
        <w:rPr>
          <w:rFonts w:hint="default" w:ascii="Times New Roman" w:hAnsi="Times New Roman" w:eastAsia="楷体_GB2312" w:cs="Times New Roman"/>
          <w:lang w:val="en-US" w:eastAsia="zh-CN"/>
        </w:rPr>
        <w:t>评价结论</w:t>
      </w:r>
    </w:p>
    <w:p w14:paraId="705539CA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运用绩效评价组制定的评价指标体系以及财政部《项目支出绩效评价管理办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 xml:space="preserve">法》（财预〔2020〕10号）文件的评分标准，通过数据采集、问卷调查及访谈等方式，对本项目进行客观评价，最终评分结果：总得分为 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分，属于“优”。其中，项目决策类指标权重为20分，得分为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 xml:space="preserve">分，得分率为 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%。项目过程类指标权重为20分，得分为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 xml:space="preserve">分，得分率为 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%。项目产出类指标权重为40分，得分为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40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分，得分率为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%。项目效益类指标权重为20分，得分为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分，得分率为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%。具体打分情况详见：附件1综合评分表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  <w:lang w:eastAsia="zh-CN"/>
        </w:rPr>
        <w:t>。</w:t>
      </w:r>
    </w:p>
    <w:p w14:paraId="02CBDA3B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textAlignment w:val="auto"/>
        <w:rPr>
          <w:rFonts w:hint="default" w:ascii="Times New Roman" w:hAnsi="Times New Roman" w:eastAsia="仿宋_GB2312" w:cs="Times New Roman"/>
          <w:sz w:val="21"/>
          <w:szCs w:val="21"/>
          <w:highlight w:val="none"/>
        </w:rPr>
      </w:pPr>
      <w:r>
        <w:rPr>
          <w:rFonts w:hint="default" w:ascii="Times New Roman" w:hAnsi="Times New Roman" w:eastAsia="仿宋_GB2312" w:cs="Times New Roman"/>
          <w:sz w:val="21"/>
          <w:szCs w:val="21"/>
          <w:highlight w:val="none"/>
        </w:rPr>
        <w:t>表1综合评分表</w:t>
      </w:r>
    </w:p>
    <w:tbl>
      <w:tblPr>
        <w:tblStyle w:val="12"/>
        <w:tblW w:w="4998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7"/>
        <w:gridCol w:w="1927"/>
        <w:gridCol w:w="2023"/>
        <w:gridCol w:w="2023"/>
      </w:tblGrid>
      <w:tr w14:paraId="6BF25A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  <w:jc w:val="center"/>
        </w:trPr>
        <w:tc>
          <w:tcPr>
            <w:tcW w:w="15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EBEBE"/>
            <w:vAlign w:val="center"/>
          </w:tcPr>
          <w:p w14:paraId="7382D5E9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highlight w:val="none"/>
              </w:rPr>
              <w:t>一级指标</w:t>
            </w:r>
          </w:p>
        </w:tc>
        <w:tc>
          <w:tcPr>
            <w:tcW w:w="10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/>
            <w:vAlign w:val="center"/>
          </w:tcPr>
          <w:p w14:paraId="08DD7B7D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highlight w:val="none"/>
              </w:rPr>
              <w:t>权重分</w:t>
            </w:r>
          </w:p>
        </w:tc>
        <w:tc>
          <w:tcPr>
            <w:tcW w:w="11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/>
            <w:vAlign w:val="center"/>
          </w:tcPr>
          <w:p w14:paraId="2B010168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11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/>
            <w:vAlign w:val="center"/>
          </w:tcPr>
          <w:p w14:paraId="58B0AA59">
            <w:pPr>
              <w:jc w:val="center"/>
              <w:rPr>
                <w:rFonts w:hint="eastAsia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得分率</w:t>
            </w:r>
          </w:p>
        </w:tc>
      </w:tr>
      <w:tr w14:paraId="1BB7F5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4824EA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</w:rPr>
              <w:t>项目决策</w:t>
            </w:r>
          </w:p>
        </w:tc>
        <w:tc>
          <w:tcPr>
            <w:tcW w:w="10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8E773F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49708C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F35F6E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100%</w:t>
            </w:r>
          </w:p>
        </w:tc>
      </w:tr>
      <w:tr w14:paraId="2FCE45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26891B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</w:rPr>
              <w:t>项目过程</w:t>
            </w:r>
          </w:p>
        </w:tc>
        <w:tc>
          <w:tcPr>
            <w:tcW w:w="10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690550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96B772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200F58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100%</w:t>
            </w:r>
          </w:p>
        </w:tc>
      </w:tr>
      <w:tr w14:paraId="5ECCDE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7479B0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</w:rPr>
              <w:t>项目产出</w:t>
            </w:r>
          </w:p>
        </w:tc>
        <w:tc>
          <w:tcPr>
            <w:tcW w:w="10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38898F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40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6D446D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40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DFC1E2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100%</w:t>
            </w:r>
          </w:p>
        </w:tc>
      </w:tr>
      <w:tr w14:paraId="025452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F7057A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</w:rPr>
              <w:t>项目效益</w:t>
            </w:r>
          </w:p>
        </w:tc>
        <w:tc>
          <w:tcPr>
            <w:tcW w:w="10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80DD42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1DE4A8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EF1D50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100%</w:t>
            </w:r>
          </w:p>
        </w:tc>
      </w:tr>
      <w:tr w14:paraId="66E839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17CE08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0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AD047F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100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6E549F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100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007362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100%</w:t>
            </w:r>
          </w:p>
        </w:tc>
      </w:tr>
    </w:tbl>
    <w:p w14:paraId="6D513D25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四、绩效评价指标分析</w:t>
      </w:r>
    </w:p>
    <w:p w14:paraId="137D6574">
      <w:pPr>
        <w:pStyle w:val="9"/>
        <w:spacing w:before="0" w:after="0" w:line="560" w:lineRule="exact"/>
        <w:ind w:firstLine="643" w:firstLineChars="200"/>
        <w:jc w:val="both"/>
        <w:rPr>
          <w:rFonts w:hint="default" w:ascii="Times New Roman" w:hAnsi="Times New Roman" w:eastAsia="楷体_GB2312" w:cs="Times New Roman"/>
          <w:highlight w:val="none"/>
        </w:rPr>
      </w:pPr>
      <w:r>
        <w:rPr>
          <w:rFonts w:hint="default" w:ascii="Times New Roman" w:hAnsi="Times New Roman" w:eastAsia="楷体_GB2312" w:cs="Times New Roman"/>
          <w:highlight w:val="none"/>
        </w:rPr>
        <w:t>（一）项目决策情况</w:t>
      </w:r>
    </w:p>
    <w:p w14:paraId="1D263CD2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项目决策类指标包括项目立项、绩效目标和资金投入三方面的内容，由6个三级指标构成，权重分值为20分，实际得分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分，得分率为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%。</w:t>
      </w:r>
    </w:p>
    <w:p w14:paraId="59AA1D26">
      <w:pPr>
        <w:pStyle w:val="2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  <w:t>1.项目立项</w:t>
      </w:r>
    </w:p>
    <w:p w14:paraId="5B82C7BC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（1）立项依据充分性</w:t>
      </w:r>
    </w:p>
    <w:p w14:paraId="1F1D3292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</w:t>
      </w:r>
    </w:p>
    <w:p w14:paraId="2971BB8F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（2）立项程序规范性</w:t>
      </w:r>
    </w:p>
    <w:p w14:paraId="587E07F1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项目申请、设立过程符合相关要求，严格按照审批流程准备符合要求的文件、材料；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根据决算依据编制工作计划和经费预算，经过与部门项目分管领导沟通、筛选确定经费预算计划，确定最终预算方案。项目的审批文件、材料符合相关要求，项目事前经过必要的可行性研究、专家论证、风险评估、绩效评估、集体决策，保障了程序的规范性。</w:t>
      </w:r>
    </w:p>
    <w:p w14:paraId="4FA1CD05">
      <w:pPr>
        <w:pStyle w:val="2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2.绩效目标</w:t>
      </w:r>
    </w:p>
    <w:p w14:paraId="2162B6D1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（1）绩效目标合理性</w:t>
      </w:r>
    </w:p>
    <w:p w14:paraId="52EFBDCE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/>
        </w:rPr>
        <w:t>年初结合实际工作内容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设定绩效目标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/>
        </w:rPr>
        <w:t>，绩效目标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</w:t>
      </w:r>
    </w:p>
    <w:p w14:paraId="03CF3269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（2）绩效指标明确性</w:t>
      </w:r>
    </w:p>
    <w:p w14:paraId="4BC47FDC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项目设置了明确的预期产出效益和效果，将绩效目标细化分解为具体的绩效指标，绩效目标与项目目标任务数相对应，绩效目标设定的绩效指标清晰、细化、可衡量。</w:t>
      </w:r>
    </w:p>
    <w:p w14:paraId="0F521D2C">
      <w:pPr>
        <w:pStyle w:val="2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3.资金投入</w:t>
      </w:r>
    </w:p>
    <w:p w14:paraId="0EE455A1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（1）预算编制科学性</w:t>
      </w:r>
    </w:p>
    <w:p w14:paraId="05DC8D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</w:t>
      </w:r>
    </w:p>
    <w:p w14:paraId="7BAD3F05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在预算编制过程中，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还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</w:t>
      </w:r>
    </w:p>
    <w:p w14:paraId="3FE7FC2B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（2）资金分配合理性</w:t>
      </w:r>
    </w:p>
    <w:p w14:paraId="4D9876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</w:t>
      </w:r>
    </w:p>
    <w:p w14:paraId="403308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</w:t>
      </w:r>
    </w:p>
    <w:p w14:paraId="723F1A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</w:p>
    <w:p w14:paraId="616FF0C6">
      <w:pPr>
        <w:pStyle w:val="9"/>
        <w:numPr>
          <w:ilvl w:val="0"/>
          <w:numId w:val="4"/>
        </w:numPr>
        <w:spacing w:before="0" w:after="0" w:line="560" w:lineRule="exact"/>
        <w:ind w:firstLine="643" w:firstLineChars="200"/>
        <w:jc w:val="both"/>
        <w:rPr>
          <w:rFonts w:hint="default" w:ascii="Times New Roman" w:hAnsi="Times New Roman" w:eastAsia="楷体" w:cs="Times New Roman"/>
          <w:highlight w:val="none"/>
        </w:rPr>
      </w:pPr>
      <w:r>
        <w:rPr>
          <w:rFonts w:hint="default" w:ascii="Times New Roman" w:hAnsi="Times New Roman" w:eastAsia="楷体" w:cs="Times New Roman"/>
          <w:highlight w:val="none"/>
        </w:rPr>
        <w:t>项目过程情况</w:t>
      </w:r>
    </w:p>
    <w:p w14:paraId="19A64CDF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项目过程类指标包括资金管理和组织实施两方面的内容，由5个三级指标构成，权重分值为20分，实际得分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分，得分率为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%。</w:t>
      </w:r>
    </w:p>
    <w:p w14:paraId="206730D9">
      <w:pPr>
        <w:pStyle w:val="2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  <w:t>1.资金管理</w:t>
      </w:r>
    </w:p>
    <w:p w14:paraId="20F5A989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（1）资金到位率</w:t>
      </w:r>
    </w:p>
    <w:p w14:paraId="220FA18D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本项目总投资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6.28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万元，财政资金及时足额到位，到位率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%，预算资金按计划进度执行。</w:t>
      </w:r>
    </w:p>
    <w:p w14:paraId="4E7C43F1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（2）预算执行率</w:t>
      </w:r>
    </w:p>
    <w:p w14:paraId="316E4403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预算编制较为详细，项目资金支出总体能够按照预算执行，预算资金支出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6.28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万元，预算执行率为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%。</w:t>
      </w:r>
    </w:p>
    <w:p w14:paraId="118EF1EA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（3）资金使用合规性</w:t>
      </w:r>
    </w:p>
    <w:p w14:paraId="3B029E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本项目的资金使用严格遵循了国家相关法律法规与财务制度，确保了资金的合规性与安全性。在资金使用过程中，我们建立了完善的财务管理体系，对资金的流动进行了全程监控与记录。</w:t>
      </w:r>
    </w:p>
    <w:p w14:paraId="039FAA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</w:t>
      </w:r>
    </w:p>
    <w:p w14:paraId="57CEFF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</w:t>
      </w:r>
    </w:p>
    <w:p w14:paraId="20059007">
      <w:pPr>
        <w:pStyle w:val="2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  <w:t>2.组织实施</w:t>
      </w:r>
    </w:p>
    <w:p w14:paraId="725BF65E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（1）管理制度健全性</w:t>
      </w:r>
    </w:p>
    <w:p w14:paraId="59B20F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本项目拥有一套完善、健全的管理制度体系，为项目的成功实施提供了坚实的制度保障。项目管理制度的制定紧密结合了项目的特点与实际情况，涵盖了项目的策划、组织、实施、监控与收尾等各个环节。</w:t>
      </w:r>
    </w:p>
    <w:p w14:paraId="42CBE8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在制度设计上，我们注重了制度的科学性与可操作性，确保制度能够切实指导项目的执行与管理。</w:t>
      </w:r>
    </w:p>
    <w:p w14:paraId="2DB05B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</w:t>
      </w:r>
    </w:p>
    <w:p w14:paraId="1987D6F8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综上所述，本项目的管理制度是健全的、有效的，既符合项目的实际情况，又满足了项目管理的需要。管理制度的健全性为项目的成功实施提供了有力的保障，也为项目的绩效评价奠定了坚实的基础。</w:t>
      </w:r>
    </w:p>
    <w:p w14:paraId="6DB006B9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（2）制度执行有效性</w:t>
      </w:r>
    </w:p>
    <w:p w14:paraId="7DE5F3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本项目在执行过程中，管理制度得到了全面、有效的落实，为确保项目的顺利实施与目标实现提供了坚实的保障。项目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单位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重视制度执行的重要性，通过明确责任分工、制定详细执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行计划、加强监督考核等措施，确保了各项管理制度能够得到有效执行。</w:t>
      </w:r>
    </w:p>
    <w:p w14:paraId="3A80BD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在具体执行过程中，项目团队成员严格按照制度要求进行操作。同时，我们还建立了有效的沟通机制与反馈机制，确保项目信息的及时传递与问题的及时解决，进一步提高了制度执行的效率与效果。</w:t>
      </w:r>
    </w:p>
    <w:p w14:paraId="49711E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综上所述，本项目的管理制度在执行过程中表现出了高度的有效性，既确保了项目的顺利进行，又实现了项目目标的有效达成。</w:t>
      </w:r>
    </w:p>
    <w:p w14:paraId="1D2186D0">
      <w:pPr>
        <w:pStyle w:val="10"/>
        <w:numPr>
          <w:ilvl w:val="0"/>
          <w:numId w:val="4"/>
        </w:numPr>
        <w:spacing w:line="560" w:lineRule="exact"/>
        <w:ind w:firstLine="643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项目产出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情况</w:t>
      </w:r>
    </w:p>
    <w:p w14:paraId="247306CD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项目产出类指标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包括产出数量、产出质量、产出时效、产出成本四方面的内容，由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个三级指标构成，权重分为40分，实际得分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40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分，得分率为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%。具体产出指标完成情况如下：</w:t>
      </w:r>
    </w:p>
    <w:p w14:paraId="30929F57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begin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instrText xml:space="preserve"> = 1 \* GB3 </w:instrTex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separate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①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end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数量指标：</w:t>
      </w:r>
    </w:p>
    <w:p w14:paraId="6045F398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指标1：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2022年居民用气量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，指标值：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&gt;=21.66万方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，实际完成值：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21.66万方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，指标完成率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%，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无偏差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 w14:paraId="7824CD24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begin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instrText xml:space="preserve"> = 2 \* GB3 </w:instrTex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separate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②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end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质量指标：</w:t>
      </w:r>
    </w:p>
    <w:p w14:paraId="3B528F83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指标1：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2022年居民用气户数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，指标值：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&gt;=2610户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，实际完成值：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2610户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，指标完成率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%，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无偏差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 w14:paraId="7E25F21B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指标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居民燃气终端销售价格补贴企业个数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，指标值：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&gt;=1个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，实际完成值：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1个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，指标完成率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%，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无偏差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 w14:paraId="3BB5A7C5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begin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instrText xml:space="preserve"> = 3 \* GB3 </w:instrTex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separate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③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end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时效指标：</w:t>
      </w:r>
    </w:p>
    <w:p w14:paraId="2847FD40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指标1：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居民燃气终端销售价格补贴完成时间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，指标值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2024年12月25日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，实际完成值：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2024年8月31日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，指标完成率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%，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无偏差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 w14:paraId="5CA8FD04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begin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instrText xml:space="preserve"> = 4 \* GB3 </w:instrTex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separate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④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end"/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经济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成本指标：</w:t>
      </w:r>
    </w:p>
    <w:p w14:paraId="71B75567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指标1：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2022年居民燃气终端销售价格上张幅度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，指标值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：&lt;=0.29元/方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，实际完成值：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0.29元/方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，指标完成率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%，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无偏差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 w14:paraId="174094E2">
      <w:pPr>
        <w:pStyle w:val="10"/>
        <w:numPr>
          <w:ilvl w:val="0"/>
          <w:numId w:val="4"/>
        </w:numPr>
        <w:spacing w:line="560" w:lineRule="exact"/>
        <w:ind w:firstLine="643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项目效益情况</w:t>
      </w:r>
    </w:p>
    <w:p w14:paraId="62C7B872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项目效益类指标包括项目实施效益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和满意度两方面的内容，由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个三级指标构成，权重分为20分，实际得分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分，得分率为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%。具体效益指标及满意度指标完成情况如下：</w:t>
      </w:r>
    </w:p>
    <w:p w14:paraId="62718293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1.实施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社会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效益</w:t>
      </w:r>
    </w:p>
    <w:p w14:paraId="75FB8360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①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经济效益指标：</w:t>
      </w:r>
    </w:p>
    <w:p w14:paraId="3AFC57D0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指标1：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塔城地区天然气行业健康持续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发展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，指标值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：持续发展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，实际完成值：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持续发展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，指标完成率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%，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无偏差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 w14:paraId="1C4C71BD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2.满意度</w:t>
      </w:r>
    </w:p>
    <w:p w14:paraId="1A07BB2D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指标1：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补贴企业满意度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，指标值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：&gt;=95%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，实际完成值：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95%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，指标完成率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无偏差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。</w:t>
      </w:r>
    </w:p>
    <w:p w14:paraId="7CB4C5B1">
      <w:p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sz w:val="32"/>
          <w:szCs w:val="32"/>
          <w:highlight w:val="none"/>
          <w:lang w:val="en-US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highlight w:val="none"/>
          <w:lang w:val="en-US" w:eastAsia="zh-CN"/>
        </w:rPr>
        <w:t>（五）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highlight w:val="none"/>
          <w:lang w:val="en-US"/>
        </w:rPr>
        <w:t>预算执行进度与绩效指标总体完成率偏差</w:t>
      </w:r>
    </w:p>
    <w:p w14:paraId="4EF78BEB">
      <w:pPr>
        <w:shd w:val="clear" w:color="auto" w:fill="auto"/>
        <w:spacing w:line="600" w:lineRule="exact"/>
        <w:ind w:firstLine="640" w:firstLineChars="200"/>
        <w:outlineLvl w:val="0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地方专项，2024年其他项目类-托里县居民燃气终端销售价格补贴项目年初预算6.28万元，全年预算6.28万元，实际支出6.28万元，预算执行率为100%，项目绩效指标总体完成率为100%，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/>
        </w:rPr>
        <w:t>总体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偏差率为0%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。</w:t>
      </w:r>
    </w:p>
    <w:p w14:paraId="0B642BB9">
      <w:pPr>
        <w:spacing w:line="560" w:lineRule="exact"/>
        <w:ind w:firstLine="640" w:firstLineChars="200"/>
        <w:rPr>
          <w:rStyle w:val="19"/>
          <w:rFonts w:hint="default" w:ascii="Times New Roman" w:hAnsi="Times New Roman" w:cs="Times New Roman"/>
          <w:color w:val="auto"/>
        </w:rPr>
      </w:pPr>
      <w:r>
        <w:rPr>
          <w:rFonts w:hint="eastAsia" w:eastAsia="黑体" w:cs="Times New Roman"/>
          <w:sz w:val="32"/>
          <w:szCs w:val="32"/>
          <w:lang w:val="en-US" w:eastAsia="zh-CN"/>
        </w:rPr>
        <w:t>五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黑体" w:cs="Times New Roman"/>
          <w:sz w:val="32"/>
          <w:szCs w:val="32"/>
        </w:rPr>
        <w:t>主要经验及做法、存在的问题及原因分析</w:t>
      </w:r>
    </w:p>
    <w:p w14:paraId="6E824C63">
      <w:pPr>
        <w:spacing w:line="560" w:lineRule="exact"/>
        <w:ind w:firstLine="627" w:firstLineChars="200"/>
        <w:rPr>
          <w:rFonts w:hint="default" w:ascii="Times New Roman" w:hAnsi="Times New Roman" w:eastAsia="楷体" w:cs="Times New Roman"/>
          <w:b/>
          <w:spacing w:val="-4"/>
          <w:sz w:val="32"/>
          <w:szCs w:val="32"/>
        </w:rPr>
      </w:pPr>
      <w:r>
        <w:rPr>
          <w:rFonts w:hint="default" w:ascii="Times New Roman" w:hAnsi="Times New Roman" w:eastAsia="楷体" w:cs="Times New Roman"/>
          <w:b/>
          <w:spacing w:val="-4"/>
          <w:sz w:val="32"/>
          <w:szCs w:val="32"/>
        </w:rPr>
        <w:t>（一）主要经验及做法</w:t>
      </w:r>
    </w:p>
    <w:p w14:paraId="553D962B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为确保项目顺利进行，提前做好项目规划，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深入调研企业实际用气成本、居民用书数量，结合本地财政情况，明确补贴标准，精准补贴方案制定，保障居民基本生活用气需求。</w:t>
      </w:r>
    </w:p>
    <w:p w14:paraId="4796673F">
      <w:pPr>
        <w:pStyle w:val="9"/>
        <w:spacing w:before="0" w:after="0" w:line="56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b w:val="0"/>
          <w:bCs w:val="0"/>
          <w:kern w:val="2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</w:rPr>
        <w:t>严格坚持先做事、后验收、再拨付的原则，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lang w:eastAsia="zh-CN"/>
        </w:rPr>
        <w:t>杜绝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</w:rPr>
        <w:t>了资金被挤占和挪用现象的发生，跟踪检查到位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</w:r>
    </w:p>
    <w:p w14:paraId="27690CA9">
      <w:pPr>
        <w:keepNext/>
        <w:keepLines/>
        <w:numPr>
          <w:ilvl w:val="0"/>
          <w:numId w:val="5"/>
        </w:num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存在的问题及原因分析</w:t>
      </w:r>
    </w:p>
    <w:p w14:paraId="6C2C5D7D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1.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天然气价格受国际市场波动影响，补贴额度可能持续攀升。未来随着环保政策推进和能源结构调整，未来天然气需求可能进一步增长，补贴资金压力可能增加。</w:t>
      </w:r>
    </w:p>
    <w:p w14:paraId="2A9819E2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.相关绩效管理方面专业知识的系统性学习有待加强。各项指标的设置要进一步优化、完善，主要在细化、量化上改进。在绩效自评过程中，由于部分人员缺乏相关绩效管理专业知识，自评价工作还存在自我审定的局限性，影响评价质量。</w:t>
      </w:r>
    </w:p>
    <w:p w14:paraId="13A2565D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六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黑体" w:cs="Times New Roman"/>
          <w:sz w:val="32"/>
          <w:szCs w:val="32"/>
        </w:rPr>
        <w:t>有关建议</w:t>
      </w:r>
    </w:p>
    <w:p w14:paraId="03C4BC96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1.对居民用气保持适度的差异化补贴，并且积极拓宽气源渠道，加强与上游企业合作，争取更多合同气量。同时推广清洁能源替代，探寻气、电、氢多能互补模式，降低企业用气的成本。</w:t>
      </w:r>
    </w:p>
    <w:p w14:paraId="5B51785F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.多进行有关绩效管理工作方面的培训。积极组织第三方开展绩效管理工作培训，进一步夯实业务基础，提高我单位绩效人员水平。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并且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专门设定对绩效工作人员定职、定岗、定责等相关制度措施，进一步提升我单位绩效管理工作业务水平，扎实做好绩效管理工作。</w:t>
      </w:r>
    </w:p>
    <w:p w14:paraId="50BAB7FD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3.进一步规范项目建设的程序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</w:r>
    </w:p>
    <w:p w14:paraId="02E2ECA7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4.进一步完善项目评价过程中有关数据和资料的收集、整理、审核及分析。项目启动时同步做好档案的归纳与整理，及时整理、收集、汇总，健全档案资料。项目后续管理有待进一步加强和跟踪</w:t>
      </w:r>
      <w:r>
        <w:rPr>
          <w:rFonts w:hint="default" w:ascii="Times New Roman" w:hAnsi="Times New Roman" w:eastAsia="仿宋_GB2312" w:cs="Times New Roman"/>
          <w:sz w:val="36"/>
          <w:szCs w:val="32"/>
        </w:rPr>
        <w:t>。</w:t>
      </w:r>
    </w:p>
    <w:p w14:paraId="02E0BE10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5.进一步加强对绩效管理工作的组织领导，提高对预算绩效管理工作重要性的认识，总结经验查找问题，抓紧研究制定更全面更完善的绩效评价管理办法，加大全局对全面实施预算绩效管理和绩效管理工作的学习力度，让“花钱必问效，无效必问责”的理念深入工作每个环节。</w:t>
      </w:r>
    </w:p>
    <w:p w14:paraId="4AFFCCD5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eastAsia="黑体" w:cs="Times New Roman"/>
          <w:sz w:val="32"/>
          <w:szCs w:val="32"/>
          <w:lang w:val="en-US" w:eastAsia="zh-CN"/>
        </w:rPr>
        <w:t>七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黑体" w:cs="Times New Roman"/>
          <w:sz w:val="32"/>
          <w:szCs w:val="32"/>
        </w:rPr>
        <w:t>其他需要说</w:t>
      </w:r>
      <w:bookmarkStart w:id="0" w:name="page8"/>
      <w:bookmarkEnd w:id="0"/>
      <w:r>
        <w:rPr>
          <w:rFonts w:hint="default" w:ascii="Times New Roman" w:hAnsi="Times New Roman" w:eastAsia="黑体" w:cs="Times New Roman"/>
          <w:sz w:val="32"/>
          <w:szCs w:val="32"/>
        </w:rPr>
        <w:t>明的问题</w:t>
      </w:r>
    </w:p>
    <w:p w14:paraId="6E8A83B3">
      <w:pPr>
        <w:pStyle w:val="11"/>
        <w:spacing w:after="0" w:line="560" w:lineRule="exact"/>
        <w:ind w:left="0" w:leftChars="0" w:firstLine="64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本项目无其他需说明的问题。</w:t>
      </w:r>
    </w:p>
    <w:p w14:paraId="002AEF92">
      <w:pPr>
        <w:pStyle w:val="11"/>
        <w:spacing w:after="0" w:line="560" w:lineRule="exact"/>
        <w:ind w:left="0" w:leftChars="0" w:firstLine="64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</w:p>
    <w:p w14:paraId="344487CD">
      <w:pPr>
        <w:pStyle w:val="11"/>
        <w:spacing w:after="0" w:line="560" w:lineRule="exact"/>
        <w:ind w:left="0" w:leftChars="0" w:firstLine="64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</w:p>
    <w:p w14:paraId="2EFC0625">
      <w:pPr>
        <w:pStyle w:val="11"/>
        <w:spacing w:after="0" w:line="560" w:lineRule="exact"/>
        <w:ind w:left="0" w:leftChars="0" w:firstLine="64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</w:p>
    <w:p w14:paraId="308CF02D">
      <w:pPr>
        <w:pStyle w:val="11"/>
        <w:spacing w:after="0" w:line="560" w:lineRule="exact"/>
        <w:ind w:left="0" w:leftChars="0" w:firstLine="643" w:firstLineChars="200"/>
        <w:rPr>
          <w:rFonts w:hint="eastAsia" w:ascii="Times New Roman" w:hAnsi="Times New Roman" w:eastAsia="仿宋_GB2312" w:cs="Times New Roman"/>
          <w:b/>
          <w:bCs/>
          <w:color w:val="FF0000"/>
          <w:sz w:val="32"/>
          <w:szCs w:val="32"/>
          <w:lang w:eastAsia="zh-CN"/>
        </w:rPr>
      </w:pPr>
    </w:p>
    <w:p w14:paraId="5598F988">
      <w:pPr>
        <w:pStyle w:val="11"/>
        <w:spacing w:after="0" w:line="560" w:lineRule="exact"/>
        <w:ind w:left="0" w:leftChars="0" w:firstLine="640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3C43E711">
      <w:pPr>
        <w:spacing w:line="600" w:lineRule="exact"/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sectPr>
          <w:footerReference r:id="rId3" w:type="default"/>
          <w:pgSz w:w="11906" w:h="16838"/>
          <w:pgMar w:top="1440" w:right="1558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 w14:paraId="4F5A2B1C">
      <w:pPr>
        <w:rPr>
          <w:rFonts w:hint="eastAsia" w:cs="Times New Roman"/>
          <w:lang w:val="en-US" w:eastAsia="zh-CN"/>
        </w:rPr>
      </w:pPr>
    </w:p>
    <w:sectPr>
      <w:pgSz w:w="16838" w:h="11906" w:orient="landscape"/>
      <w:pgMar w:top="1800" w:right="1440" w:bottom="1558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B7B6B62-7E24-44DC-8A0C-DDFC824BBD2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420C1623-D900-414A-A183-312C56452AA8}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  <w:embedRegular r:id="rId3" w:fontKey="{C4674AC1-E5B8-480E-B3B4-ECBDFBD9FB1E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4" w:fontKey="{E68FD73B-066A-4488-AB67-0786A62F1379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E406B1EA-AE76-4D9E-8AE0-1C712E2D3FD2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6" w:fontKey="{97F15120-9570-4FCC-A978-6F3FFCC0A013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F05BE4FD-7692-4870-BBD3-FA26D127AF9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468962"/>
    </w:sdtPr>
    <w:sdtContent>
      <w:p w14:paraId="64230DD8">
        <w:pPr>
          <w:pStyle w:val="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13</w:t>
        </w:r>
        <w:r>
          <w:fldChar w:fldCharType="end"/>
        </w:r>
      </w:p>
    </w:sdtContent>
  </w:sdt>
  <w:p w14:paraId="45288B83"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singleLevel"/>
    <w:tmpl w:val="B5E306E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BF205925"/>
    <w:multiLevelType w:val="singleLevel"/>
    <w:tmpl w:val="BF20592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CF092B84"/>
    <w:multiLevelType w:val="singleLevel"/>
    <w:tmpl w:val="CF092B84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0053208E"/>
    <w:multiLevelType w:val="singleLevel"/>
    <w:tmpl w:val="0053208E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59ADCABA"/>
    <w:multiLevelType w:val="singleLevel"/>
    <w:tmpl w:val="59ADCABA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NotTrackMove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diOGM5NzlhN2JhOTc3OTljZTBmY2FhN2MzNTk3ODEifQ=="/>
  </w:docVars>
  <w:rsids>
    <w:rsidRoot w:val="00000000"/>
    <w:rsid w:val="2C11372E"/>
  </w:rsids>
  <m:mathPr>
    <m:mathFont m:val="Cambria Math"/>
    <m:brkBin m:val="before"/>
    <m:brkBinSub m:val="--"/>
    <m:smallFrac m:val="0"/>
    <m:dispDef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99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4">
    <w:name w:val="Body Text Indent"/>
    <w:basedOn w:val="1"/>
    <w:qFormat/>
    <w:uiPriority w:val="0"/>
    <w:pPr>
      <w:spacing w:after="120"/>
      <w:ind w:left="420" w:leftChars="200"/>
    </w:pPr>
    <w:rPr>
      <w:rFonts w:ascii="Calibri" w:hAnsi="Calibri"/>
    </w:rPr>
  </w:style>
  <w:style w:type="paragraph" w:styleId="5">
    <w:name w:val="Balloon Text"/>
    <w:basedOn w:val="1"/>
    <w:link w:val="21"/>
    <w:qFormat/>
    <w:uiPriority w:val="0"/>
    <w:rPr>
      <w:sz w:val="18"/>
      <w:szCs w:val="18"/>
    </w:rPr>
  </w:style>
  <w:style w:type="paragraph" w:styleId="6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7">
    <w:name w:val="header"/>
    <w:basedOn w:val="1"/>
    <w:link w:val="2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paragraph" w:styleId="9">
    <w:name w:val="Title"/>
    <w:basedOn w:val="1"/>
    <w:next w:val="1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10">
    <w:name w:val="Body Text First Indent"/>
    <w:basedOn w:val="3"/>
    <w:qFormat/>
    <w:uiPriority w:val="0"/>
    <w:pPr>
      <w:spacing w:after="0"/>
      <w:ind w:firstLine="200" w:firstLineChars="200"/>
    </w:pPr>
  </w:style>
  <w:style w:type="paragraph" w:styleId="11">
    <w:name w:val="Body Text First Indent 2"/>
    <w:basedOn w:val="4"/>
    <w:qFormat/>
    <w:uiPriority w:val="0"/>
    <w:pPr>
      <w:ind w:firstLine="420" w:firstLineChars="200"/>
    </w:pPr>
  </w:style>
  <w:style w:type="table" w:styleId="13">
    <w:name w:val="Table Grid"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5">
    <w:name w:val="Strong"/>
    <w:basedOn w:val="14"/>
    <w:qFormat/>
    <w:uiPriority w:val="0"/>
    <w:rPr>
      <w:b/>
      <w:bCs/>
    </w:rPr>
  </w:style>
  <w:style w:type="paragraph" w:customStyle="1" w:styleId="16">
    <w:name w:val="Comment Text"/>
    <w:basedOn w:val="1"/>
    <w:link w:val="23"/>
    <w:qFormat/>
    <w:uiPriority w:val="0"/>
    <w:pPr>
      <w:jc w:val="left"/>
    </w:pPr>
  </w:style>
  <w:style w:type="paragraph" w:customStyle="1" w:styleId="17">
    <w:name w:val="Comment Subject"/>
    <w:basedOn w:val="16"/>
    <w:next w:val="16"/>
    <w:link w:val="24"/>
    <w:qFormat/>
    <w:uiPriority w:val="0"/>
    <w:rPr>
      <w:b/>
      <w:bCs/>
    </w:rPr>
  </w:style>
  <w:style w:type="character" w:customStyle="1" w:styleId="18">
    <w:name w:val="Comment Reference"/>
    <w:basedOn w:val="14"/>
    <w:qFormat/>
    <w:uiPriority w:val="0"/>
    <w:rPr>
      <w:sz w:val="21"/>
      <w:szCs w:val="21"/>
    </w:rPr>
  </w:style>
  <w:style w:type="character" w:customStyle="1" w:styleId="19">
    <w:name w:val="fontstyle01"/>
    <w:qFormat/>
    <w:uiPriority w:val="0"/>
    <w:rPr>
      <w:rFonts w:ascii="仿宋_GB2312" w:hAnsi="仿宋_GB2312" w:eastAsia="仿宋_GB2312" w:cs="仿宋_GB2312"/>
      <w:color w:val="000000"/>
      <w:sz w:val="32"/>
      <w:szCs w:val="32"/>
    </w:rPr>
  </w:style>
  <w:style w:type="paragraph" w:customStyle="1" w:styleId="20">
    <w:name w:val="闻政-正文段落文字"/>
    <w:basedOn w:val="1"/>
    <w:qFormat/>
    <w:uiPriority w:val="3"/>
    <w:pPr>
      <w:spacing w:line="500" w:lineRule="exact"/>
      <w:ind w:firstLine="200"/>
    </w:pPr>
    <w:rPr>
      <w:kern w:val="0"/>
      <w:szCs w:val="28"/>
    </w:rPr>
  </w:style>
  <w:style w:type="character" w:customStyle="1" w:styleId="21">
    <w:name w:val="批注框文本 字符"/>
    <w:basedOn w:val="14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2">
    <w:name w:val="页眉 字符"/>
    <w:basedOn w:val="14"/>
    <w:link w:val="7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3">
    <w:name w:val="批注文字 字符"/>
    <w:basedOn w:val="14"/>
    <w:link w:val="16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4">
    <w:name w:val="批注主题 字符"/>
    <w:basedOn w:val="23"/>
    <w:link w:val="17"/>
    <w:qFormat/>
    <w:uiPriority w:val="0"/>
    <w:rPr>
      <w:rFonts w:ascii="Times New Roman" w:hAnsi="Times New Roman" w:eastAsia="宋体" w:cs="Times New Roman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A075C2AEC1C54D1693797747003CB0A9_13</vt:lpwstr>
  </property>
  <property fmtid="{D5CDD505-2E9C-101B-9397-08002B2CF9AE}" pid="4" name="KSOTemplateDocerSaveRecord">
    <vt:lpwstr>eyJoZGlkIjoiMjBlODNhOTExZmNiMzFhOWI1ODBjZmM3MmFkMGQxNDQiLCJ1c2VySWQiOiIyNDQ5Nzg2OTUifQ==</vt:lpwstr>
  </property>
</Properties>
</file>

<file path=customXml/itemProps1.xml><?xml version="1.0" encoding="utf-8"?>
<ds:datastoreItem xmlns:ds="http://schemas.openxmlformats.org/officeDocument/2006/customXml" ds:itemID="{33b13a45-6134-47b3-8fc4-c519a6c4a48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22</Pages>
  <Words>9830</Words>
  <Characters>10234</Characters>
  <Lines>58</Lines>
  <Paragraphs>16</Paragraphs>
  <TotalTime>234</TotalTime>
  <ScaleCrop>false</ScaleCrop>
  <LinksUpToDate>false</LinksUpToDate>
  <CharactersWithSpaces>10239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2023-03-08T13:13:00Z</dcterms:created>
  <dc:creator>审核人</dc:creator>
  <cp:lastModifiedBy>来财&amp;十个勤天</cp:lastModifiedBy>
  <dcterms:modified xsi:type="dcterms:W3CDTF">2025-10-31T07:16:26Z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A075C2AEC1C54D1693797747003CB0A9_13</vt:lpwstr>
  </property>
  <property fmtid="{D5CDD505-2E9C-101B-9397-08002B2CF9AE}" pid="4" name="KSOTemplateDocerSaveRecord">
    <vt:lpwstr>eyJoZGlkIjoiZTEwMTFjZmI3NWUwMGRmYWEyNzFiMzQ2OTlkZWE5ODAiLCJ1c2VySWQiOiIzNzI2MDMzNTYifQ==</vt:lpwstr>
  </property>
</Properties>
</file>