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9DB9F"/>
    <w:p w14:paraId="23D73EDF">
      <w:pPr>
        <w:spacing w:line="540" w:lineRule="exact"/>
        <w:jc w:val="center"/>
        <w:rPr>
          <w:rFonts w:hint="default" w:ascii="Times New Roman" w:hAnsi="Times New Roman" w:eastAsia="华文中宋" w:cs="Times New Roman"/>
          <w:b/>
          <w:kern w:val="0"/>
          <w:sz w:val="52"/>
          <w:szCs w:val="52"/>
        </w:rPr>
      </w:pPr>
    </w:p>
    <w:p w14:paraId="4CF8BEA8">
      <w:pPr>
        <w:spacing w:line="540" w:lineRule="exact"/>
        <w:rPr>
          <w:rFonts w:hint="default" w:ascii="Times New Roman" w:hAnsi="Times New Roman" w:eastAsia="华文中宋" w:cs="Times New Roman"/>
          <w:b/>
          <w:kern w:val="0"/>
          <w:sz w:val="52"/>
          <w:szCs w:val="52"/>
        </w:rPr>
      </w:pPr>
    </w:p>
    <w:p w14:paraId="667DA958">
      <w:pPr>
        <w:spacing w:line="540" w:lineRule="exact"/>
        <w:jc w:val="center"/>
        <w:rPr>
          <w:rFonts w:hint="default" w:ascii="Times New Roman" w:hAnsi="Times New Roman" w:eastAsia="华文中宋" w:cs="Times New Roman"/>
          <w:b/>
          <w:kern w:val="0"/>
          <w:sz w:val="52"/>
          <w:szCs w:val="52"/>
        </w:rPr>
      </w:pPr>
    </w:p>
    <w:p w14:paraId="7E8EA290">
      <w:pPr>
        <w:spacing w:line="540" w:lineRule="exact"/>
        <w:jc w:val="center"/>
        <w:rPr>
          <w:rFonts w:hint="default" w:ascii="Times New Roman" w:hAnsi="Times New Roman" w:eastAsia="华文中宋" w:cs="Times New Roman"/>
          <w:b/>
          <w:kern w:val="0"/>
          <w:sz w:val="52"/>
          <w:szCs w:val="52"/>
        </w:rPr>
      </w:pPr>
    </w:p>
    <w:p w14:paraId="3A737995">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rPr>
        <w:t>托里县应急管理局2023年安全生产预防和应急救援能力建设补助资金煤矿及非煤矿山重大灾害风险防控项目</w:t>
      </w:r>
      <w:r>
        <w:rPr>
          <w:rFonts w:hint="default" w:ascii="Times New Roman" w:hAnsi="Times New Roman" w:eastAsia="方正小标宋_GBK" w:cs="Times New Roman"/>
          <w:kern w:val="0"/>
          <w:sz w:val="48"/>
          <w:szCs w:val="48"/>
        </w:rPr>
        <w:t>项目支出绩效评价报告</w:t>
      </w:r>
    </w:p>
    <w:p w14:paraId="321D8A95">
      <w:pPr>
        <w:spacing w:line="540" w:lineRule="exact"/>
        <w:jc w:val="center"/>
        <w:rPr>
          <w:rFonts w:hint="default" w:ascii="Times New Roman" w:hAnsi="Times New Roman" w:eastAsia="华文中宋" w:cs="Times New Roman"/>
          <w:b/>
          <w:kern w:val="0"/>
          <w:sz w:val="52"/>
          <w:szCs w:val="52"/>
        </w:rPr>
      </w:pPr>
    </w:p>
    <w:p w14:paraId="4EF542D0">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0DD7994C">
      <w:pPr>
        <w:spacing w:line="540" w:lineRule="exact"/>
        <w:jc w:val="center"/>
        <w:rPr>
          <w:rFonts w:hint="default" w:ascii="Times New Roman" w:hAnsi="Times New Roman" w:eastAsia="仿宋_GB2312" w:cs="Times New Roman"/>
          <w:kern w:val="0"/>
          <w:sz w:val="30"/>
          <w:szCs w:val="30"/>
        </w:rPr>
      </w:pPr>
    </w:p>
    <w:p w14:paraId="3746DCDD">
      <w:pPr>
        <w:spacing w:line="540" w:lineRule="exact"/>
        <w:jc w:val="center"/>
        <w:rPr>
          <w:rFonts w:hint="default" w:ascii="Times New Roman" w:hAnsi="Times New Roman" w:eastAsia="仿宋_GB2312" w:cs="Times New Roman"/>
          <w:kern w:val="0"/>
          <w:sz w:val="30"/>
          <w:szCs w:val="30"/>
        </w:rPr>
      </w:pPr>
    </w:p>
    <w:p w14:paraId="555DCE17">
      <w:pPr>
        <w:spacing w:line="540" w:lineRule="exact"/>
        <w:jc w:val="center"/>
        <w:rPr>
          <w:rFonts w:hint="default" w:ascii="Times New Roman" w:hAnsi="Times New Roman" w:eastAsia="仿宋_GB2312" w:cs="Times New Roman"/>
          <w:kern w:val="0"/>
          <w:sz w:val="30"/>
          <w:szCs w:val="30"/>
        </w:rPr>
      </w:pPr>
    </w:p>
    <w:p w14:paraId="7F2ED830">
      <w:pPr>
        <w:spacing w:line="540" w:lineRule="exact"/>
        <w:jc w:val="center"/>
        <w:rPr>
          <w:rFonts w:hint="default" w:ascii="Times New Roman" w:hAnsi="Times New Roman" w:eastAsia="仿宋_GB2312" w:cs="Times New Roman"/>
          <w:kern w:val="0"/>
          <w:sz w:val="30"/>
          <w:szCs w:val="30"/>
        </w:rPr>
      </w:pPr>
      <w:bookmarkStart w:id="1" w:name="_GoBack"/>
      <w:bookmarkEnd w:id="1"/>
    </w:p>
    <w:p w14:paraId="0456A3F3">
      <w:pPr>
        <w:spacing w:line="540" w:lineRule="exact"/>
        <w:rPr>
          <w:rFonts w:hint="default" w:ascii="Times New Roman" w:hAnsi="Times New Roman" w:eastAsia="仿宋_GB2312" w:cs="Times New Roman"/>
          <w:kern w:val="0"/>
          <w:sz w:val="30"/>
          <w:szCs w:val="30"/>
        </w:rPr>
      </w:pPr>
    </w:p>
    <w:p w14:paraId="1F17A8AA">
      <w:pPr>
        <w:spacing w:line="700" w:lineRule="exact"/>
        <w:ind w:firstLine="1440" w:firstLineChars="400"/>
        <w:jc w:val="left"/>
        <w:rPr>
          <w:rFonts w:hint="eastAsia"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rPr>
        <w:t>托里县应急管理局2023年安全生产预防和应急救援能力建设补助资金煤矿及非煤矿山重大灾害风险防控项目</w:t>
      </w:r>
    </w:p>
    <w:p w14:paraId="3B2855C4">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托里县应急管理局</w:t>
      </w:r>
    </w:p>
    <w:p w14:paraId="31F3D201">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托里县人民政府</w:t>
      </w:r>
    </w:p>
    <w:p w14:paraId="3C2AF52E">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卢银全</w:t>
      </w:r>
    </w:p>
    <w:p w14:paraId="7C8FFA60">
      <w:pPr>
        <w:spacing w:line="700" w:lineRule="exact"/>
        <w:ind w:firstLine="1440" w:firstLineChars="400"/>
        <w:jc w:val="left"/>
        <w:rPr>
          <w:rFonts w:hint="default"/>
          <w:lang w:val="en-US" w:eastAsia="zh-CN"/>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22</w:t>
      </w:r>
      <w:r>
        <w:rPr>
          <w:rFonts w:hint="default" w:ascii="Times New Roman" w:hAnsi="Times New Roman" w:eastAsia="仿宋_GB2312" w:cs="Times New Roman"/>
          <w:kern w:val="0"/>
          <w:sz w:val="36"/>
          <w:szCs w:val="36"/>
        </w:rPr>
        <w:t>日</w:t>
      </w:r>
    </w:p>
    <w:p w14:paraId="2514F1B5">
      <w:pPr>
        <w:tabs>
          <w:tab w:val="right" w:pos="8548"/>
        </w:tabs>
        <w:bidi w:val="0"/>
        <w:jc w:val="left"/>
        <w:rPr>
          <w:rFonts w:hint="default"/>
          <w:lang w:val="en-US" w:eastAsia="zh-CN"/>
        </w:rPr>
        <w:sectPr>
          <w:pgSz w:w="11906" w:h="16838"/>
          <w:pgMar w:top="1440" w:right="1558" w:bottom="1440" w:left="1800" w:header="851" w:footer="992" w:gutter="0"/>
          <w:cols w:space="425" w:num="1"/>
          <w:docGrid w:type="lines" w:linePitch="312" w:charSpace="0"/>
        </w:sectPr>
      </w:pPr>
    </w:p>
    <w:p w14:paraId="44ACA340">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509FB9B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771773E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7261689">
      <w:pPr>
        <w:pStyle w:val="9"/>
        <w:numPr>
          <w:ilvl w:val="0"/>
          <w:numId w:val="0"/>
        </w:numPr>
        <w:spacing w:before="0" w:after="0" w:line="560" w:lineRule="exact"/>
        <w:ind w:firstLine="640" w:firstLineChars="200"/>
        <w:jc w:val="both"/>
        <w:rPr>
          <w:rFonts w:hint="eastAsia" w:ascii="宋体" w:hAnsi="宋体" w:eastAsia="宋体" w:cs="宋体"/>
          <w:i w:val="0"/>
          <w:iCs w:val="0"/>
          <w:caps w:val="0"/>
          <w:color w:val="333333"/>
          <w:spacing w:val="0"/>
          <w:sz w:val="14"/>
          <w:szCs w:val="14"/>
          <w:shd w:val="clear" w:color="auto" w:fill="FFFFFF"/>
        </w:rPr>
      </w:pPr>
      <w:r>
        <w:rPr>
          <w:rFonts w:hint="eastAsia" w:ascii="Times New Roman" w:hAnsi="Times New Roman" w:eastAsia="仿宋_GB2312" w:cs="Times New Roman"/>
          <w:b w:val="0"/>
          <w:bCs w:val="0"/>
          <w:kern w:val="2"/>
          <w:sz w:val="32"/>
          <w:szCs w:val="32"/>
          <w:lang w:val="en-US" w:eastAsia="zh-CN" w:bidi="ar-SA"/>
        </w:rPr>
        <w:t>我单位2023年煤矿及重点非煤矿山重大灾害风险防控支出；中央补助资金盈余支持我单位建设纳入全国性系统的重大违法行为智能识别分析系统，应急处置视频智能通讯系统和智能视频辅助监管监察系统等。请切实加强资金管理，提高资金使用效益</w:t>
      </w:r>
      <w:r>
        <w:rPr>
          <w:rFonts w:hint="eastAsia" w:ascii="宋体" w:hAnsi="宋体" w:eastAsia="宋体" w:cs="宋体"/>
          <w:i w:val="0"/>
          <w:iCs w:val="0"/>
          <w:caps w:val="0"/>
          <w:color w:val="333333"/>
          <w:spacing w:val="0"/>
          <w:sz w:val="14"/>
          <w:szCs w:val="14"/>
          <w:shd w:val="clear" w:color="auto" w:fill="FFFFFF"/>
        </w:rPr>
        <w:t>。</w:t>
      </w:r>
    </w:p>
    <w:p w14:paraId="669030C1">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47081190">
      <w:pPr>
        <w:spacing w:line="560" w:lineRule="exact"/>
        <w:ind w:firstLine="600" w:firstLineChars="200"/>
        <w:rPr>
          <w:rFonts w:hint="default" w:ascii="Times New Roman" w:hAnsi="Times New Roman" w:eastAsia="黑体" w:cs="Times New Roman"/>
          <w:highlight w:val="yellow"/>
          <w:lang w:eastAsia="zh-CN"/>
        </w:rPr>
      </w:pPr>
      <w:r>
        <w:rPr>
          <w:rFonts w:hint="eastAsia" w:ascii="Times New Roman" w:hAnsi="Times New Roman" w:eastAsia="仿宋_GB2312" w:cs="Times New Roman"/>
          <w:sz w:val="30"/>
          <w:szCs w:val="30"/>
          <w:highlight w:val="none"/>
          <w:lang w:val="en-US" w:eastAsia="zh-CN"/>
        </w:rPr>
        <w:t>严格按照《自治区财政资金使用跟踪反馈管理暂行办法》（新财预【2016】113号）规定，加强资金使用监督管理。严格规定范围，标准和程序使用资金，加快预算执行进度，高度资金使用的规范性，安全性和有效性，并及时报送财政资金使用情况。到位数93万元，年初预算93万元。用于托里县招金北疆矿业有限公司62万元和西部黄金克拉玛依哈图金矿有限责任公司31万元。</w:t>
      </w:r>
    </w:p>
    <w:p w14:paraId="4BA046CE">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highlight w:val="none"/>
        </w:rPr>
        <w:t>项目实施情况：</w:t>
      </w:r>
      <w:r>
        <w:rPr>
          <w:rFonts w:hint="eastAsia" w:eastAsia="仿宋_GB2312" w:cs="Times New Roman"/>
          <w:sz w:val="32"/>
          <w:szCs w:val="32"/>
          <w:highlight w:val="none"/>
          <w:lang w:eastAsia="zh-CN"/>
        </w:rPr>
        <w:t>本项目于</w:t>
      </w:r>
      <w:r>
        <w:rPr>
          <w:rFonts w:hint="eastAsia" w:eastAsia="仿宋_GB2312" w:cs="Times New Roman"/>
          <w:sz w:val="32"/>
          <w:szCs w:val="32"/>
          <w:highlight w:val="none"/>
          <w:lang w:val="en-US" w:eastAsia="zh-CN"/>
        </w:rPr>
        <w:t>2024年1月开始实施，截止2024年12月，全年已支付93万元，用于支付托里县招金北疆矿业有限公司购买2个系统62万元和西部黄金克拉玛依哈图金矿有限责任公司购买1个系统 31万元，该项目已实施完成，各项任务指标全部完成</w:t>
      </w:r>
      <w:r>
        <w:rPr>
          <w:rFonts w:hint="default" w:ascii="Times New Roman" w:hAnsi="Times New Roman" w:eastAsia="仿宋_GB2312" w:cs="Times New Roman"/>
          <w:sz w:val="32"/>
          <w:szCs w:val="32"/>
        </w:rPr>
        <w:t>。</w:t>
      </w:r>
    </w:p>
    <w:p w14:paraId="52011F53">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113524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4456FDD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93</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93</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1EEC52E5">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3004D43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93</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93</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93</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支付托里县招金北疆矿业有限公司购买2个系统62万元，西部黄金克拉玛依哈图金矿有限责任公司购买1个系统31万元</w:t>
      </w:r>
      <w:r>
        <w:rPr>
          <w:rFonts w:hint="default" w:ascii="Times New Roman" w:hAnsi="Times New Roman" w:eastAsia="仿宋_GB2312" w:cs="Times New Roman"/>
          <w:color w:val="auto"/>
          <w:sz w:val="32"/>
          <w:szCs w:val="32"/>
          <w:highlight w:val="none"/>
          <w:lang w:val="en-US" w:eastAsia="zh-CN"/>
        </w:rPr>
        <w:t>。</w:t>
      </w:r>
    </w:p>
    <w:p w14:paraId="12D6C33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7E2E6DC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0F490B1">
      <w:pPr>
        <w:spacing w:line="560" w:lineRule="exact"/>
        <w:ind w:firstLine="640" w:firstLineChars="200"/>
        <w:rPr>
          <w:rFonts w:hint="default" w:ascii="Times New Roman" w:hAnsi="Times New Roman" w:eastAsia="黑体" w:cs="Times New Roman"/>
          <w:b w:val="0"/>
          <w:bCs/>
          <w:lang w:eastAsia="zh-CN"/>
        </w:rPr>
      </w:pPr>
      <w:r>
        <w:rPr>
          <w:rFonts w:hint="eastAsia" w:ascii="Times New Roman" w:hAnsi="Times New Roman" w:eastAsia="仿宋_GB2312" w:cs="Times New Roman"/>
          <w:sz w:val="32"/>
          <w:szCs w:val="32"/>
        </w:rPr>
        <w:t>年初预算总数93万元。用于托里县招金北疆矿业有限公司购买2个系统62万元和西部黄金克拉玛依哈图金矿有限责任公司购买1个系统31万元，正常运转，提高项目的审查详实性和效益性，增强项目的监督工作针对性和有效性。有效提高矿山安全风险防控水平，服务指标对象满意度达到90%。</w:t>
      </w:r>
    </w:p>
    <w:p w14:paraId="6E5E3016">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0EFDC6D7">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支持建设纳入全国性系统的AI视频智能辅助监管监察系统，露天煤矿，边坡高度超过150米金属非金属露天矿山和堆置高度超过150米的排土场边坡监控和联网，煤矿瓦斯，水火，冲击地压，顶板等重大风险监控和联网，重点煤矿井下精准定位子系统等，提升矿山数字化，智能化安全生产预防和监管水平。</w:t>
      </w:r>
    </w:p>
    <w:p w14:paraId="3E17C270">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年初预算总数93万元。用于托里县招金北疆矿业有限公司购买2个系统62万元和西部黄金克拉玛依哈图金矿有限责任公司购买1个系统31万元，正常运转，提高项目的审查详实性和效益性，增强项目的监督工作针对性和有效性。有效提高矿山安全风险防控水平，服务指标对象满意度达到90%。</w:t>
      </w:r>
    </w:p>
    <w:p w14:paraId="4B468784">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14DE98F6">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3A80E2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0F7387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C0366C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指标</w:t>
      </w:r>
      <w:r>
        <w:rPr>
          <w:rFonts w:hint="default" w:ascii="Times New Roman" w:hAnsi="Times New Roman" w:eastAsia="仿宋_GB2312" w:cs="Times New Roman"/>
          <w:sz w:val="32"/>
          <w:szCs w:val="32"/>
          <w:highlight w:val="none"/>
          <w:lang w:val="en-US" w:eastAsia="zh-CN"/>
        </w:rPr>
        <w:t>，力求全方位反映项目的绩效状况。同时，对于每个指标的评价标准和数据来源均进行了明确说明，确保评价结果的客观性和可追溯性。</w:t>
      </w:r>
    </w:p>
    <w:p w14:paraId="0AEE2C5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2D1BDF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3CEDCB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8CB4DA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5AABD0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2AE56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通过对项目预算执行情况及各项绩效目标达成程度的系统性分析，全面、客观地评估项目在预定周期内的实施效果，包括社会效益指标，为项目后续的改进与优化提供科学依据。</w:t>
      </w:r>
    </w:p>
    <w:p w14:paraId="636025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46DA23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F19AD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7089B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376F7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29343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CFB7B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29BAE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161C5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3A443C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38F92C7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本项目预算绩效评价报告的评价对象是2023年安全生产预防和应急救援能力建设补助资金煤矿及非煤矿山重大灾害风险防控项目及其预算执行情况。该项目由托里县应急管理局负责实施，旨在</w:t>
      </w:r>
      <w:r>
        <w:rPr>
          <w:rFonts w:hint="default" w:ascii="Times New Roman" w:hAnsi="Times New Roman" w:eastAsia="仿宋_GB2312" w:cs="Times New Roman"/>
          <w:b w:val="0"/>
          <w:bCs w:val="0"/>
          <w:highlight w:val="none"/>
          <w:lang w:eastAsia="zh-CN"/>
        </w:rPr>
        <w:t>支持建设纳入全国性系统的AI视频智能辅助监管监察系统，露天煤矿，边坡高度超过150米金属非金属露天矿山和堆置高度超过150米的排土场边坡监控和联网，煤矿瓦斯，水火，冲击地压，顶板等重大风险监控和联网，重点煤矿井下精准定位子系统等，提升矿山数字化，智能化安全生产预防和监管水平</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2024年12月25日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93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1432527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639865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EADC1C7">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5FAC951">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5E76C011">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1C65FBA">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影响：考察项目对社会方面的综合影响。</w:t>
      </w:r>
    </w:p>
    <w:p w14:paraId="2E8DCD75">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69483A4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37D2314C">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4460189C">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72167EF0">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141CCBD">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31A7B0E1">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4253AD7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310566A5">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DABC40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05031D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D7028C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030125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2818AD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5C2A2DF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1F08CA9">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5246BD43">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798C003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C07907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638EFED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w:t>
      </w:r>
      <w:r>
        <w:rPr>
          <w:rFonts w:hint="eastAsia" w:eastAsia="仿宋_GB2312" w:cs="Times New Roman"/>
          <w:color w:val="000000"/>
          <w:spacing w:val="17"/>
          <w:sz w:val="32"/>
          <w:szCs w:val="32"/>
          <w:lang w:eastAsia="zh-CN"/>
        </w:rPr>
        <w:t>比较</w:t>
      </w:r>
      <w:r>
        <w:rPr>
          <w:rFonts w:hint="default" w:ascii="Times New Roman" w:hAnsi="Times New Roman" w:eastAsia="仿宋_GB2312" w:cs="Times New Roman"/>
          <w:color w:val="000000"/>
          <w:spacing w:val="17"/>
          <w:sz w:val="32"/>
          <w:szCs w:val="32"/>
        </w:rPr>
        <w:t>法，</w:t>
      </w:r>
      <w:r>
        <w:rPr>
          <w:rFonts w:hint="eastAsia" w:eastAsia="仿宋_GB2312" w:cs="Times New Roman"/>
          <w:color w:val="000000"/>
          <w:spacing w:val="17"/>
          <w:sz w:val="32"/>
          <w:szCs w:val="32"/>
          <w:lang w:eastAsia="zh-CN"/>
        </w:rPr>
        <w:t>公众判断法，</w:t>
      </w:r>
      <w:r>
        <w:rPr>
          <w:rFonts w:hint="default" w:ascii="Times New Roman" w:hAnsi="Times New Roman" w:eastAsia="仿宋_GB2312" w:cs="Times New Roman"/>
          <w:color w:val="000000"/>
          <w:spacing w:val="17"/>
          <w:sz w:val="32"/>
          <w:szCs w:val="32"/>
        </w:rPr>
        <w:t>具体评价方法如下：</w:t>
      </w:r>
    </w:p>
    <w:p w14:paraId="66C4CDD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w:t>
      </w:r>
      <w:r>
        <w:rPr>
          <w:rFonts w:hint="eastAsia" w:eastAsia="仿宋_GB2312" w:cs="Times New Roman"/>
          <w:color w:val="000000"/>
          <w:spacing w:val="17"/>
          <w:sz w:val="32"/>
          <w:szCs w:val="32"/>
          <w:highlight w:val="none"/>
          <w:lang w:eastAsia="zh-CN"/>
        </w:rPr>
        <w:t>比较法：通过整理本项目相关资料和数据，评价数量指标的完成情况；通过分析项目的实施情况与绩效目标实现情况，评价项目实施的效果；通过分析项目资金使用情况及生产的效果，评价预算资金分配的合理性</w:t>
      </w:r>
      <w:r>
        <w:rPr>
          <w:rFonts w:hint="default" w:ascii="Times New Roman" w:hAnsi="Times New Roman" w:eastAsia="仿宋_GB2312" w:cs="Times New Roman"/>
          <w:color w:val="000000"/>
          <w:spacing w:val="17"/>
          <w:sz w:val="32"/>
          <w:szCs w:val="32"/>
          <w:highlight w:val="none"/>
        </w:rPr>
        <w:t xml:space="preserve">。 </w:t>
      </w:r>
    </w:p>
    <w:p w14:paraId="5AFB490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）公众评判法</w:t>
      </w:r>
      <w:r>
        <w:rPr>
          <w:rFonts w:hint="eastAsia" w:eastAsia="仿宋_GB2312" w:cs="Times New Roman"/>
          <w:color w:val="000000"/>
          <w:spacing w:val="17"/>
          <w:sz w:val="32"/>
          <w:szCs w:val="32"/>
          <w:highlight w:val="none"/>
          <w:lang w:eastAsia="zh-CN"/>
        </w:rPr>
        <w:t>：评价组采用实地访谈，远程访谈相结合方式，对本项目的实施情况进行充分调研，了解掌握资金分配、资金管理、资金使用、制度建设、制度执行情况</w:t>
      </w: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采用问卷调查方式，对受益对象开展满意度调查，进行综合评价。</w:t>
      </w:r>
    </w:p>
    <w:p w14:paraId="4F475D9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0EB5AF9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w:t>
      </w:r>
      <w:r>
        <w:rPr>
          <w:rFonts w:hint="default" w:ascii="Times New Roman" w:hAnsi="Times New Roman" w:eastAsia="仿宋_GB2312" w:cs="Times New Roman"/>
          <w:b w:val="0"/>
          <w:bCs w:val="0"/>
          <w:highlight w:val="none"/>
        </w:rPr>
        <w:t>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2B39DEF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计划标准。通过对绩效指标完成情况已预先制定目标、计划、预算、定额等为评价标准，量化对目标值进行比较，分析、评价，对完成绩效目标进行考核，方便快键得到真实有效的评价结果</w:t>
      </w:r>
      <w:r>
        <w:rPr>
          <w:rFonts w:hint="default" w:ascii="Times New Roman" w:hAnsi="Times New Roman" w:eastAsia="仿宋_GB2312" w:cs="Times New Roman"/>
          <w:b w:val="0"/>
          <w:bCs w:val="0"/>
          <w:highlight w:val="none"/>
        </w:rPr>
        <w:t>。</w:t>
      </w:r>
    </w:p>
    <w:p w14:paraId="4D1AB49D">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47EECF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1EA168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、项目管理人员及相关领域技术骨干组成，确保从多角度、全方位对项目绩效进行评价。同时，明确了评价工作的目标、范围、重点及时间安排，制定了详细的工作计划，为评价工作的顺利开展奠定了坚实基础。</w:t>
      </w:r>
    </w:p>
    <w:p w14:paraId="44878B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355CDD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51C2F5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39828E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144B3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55ECC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3383C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6B8E2A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CBBFA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07A2BA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34160AF">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6EE485B3">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40FB36B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2023年安全生产预防和应急救援能力建设补助资金煤矿及非煤矿山重大灾害风险防控项目</w:t>
      </w:r>
      <w:r>
        <w:rPr>
          <w:rFonts w:hint="default" w:ascii="Times New Roman" w:hAnsi="Times New Roman" w:eastAsia="仿宋_GB2312" w:cs="Times New Roman"/>
          <w:sz w:val="32"/>
          <w:szCs w:val="32"/>
          <w:highlight w:val="none"/>
          <w:lang w:val="en-US" w:eastAsia="zh-CN"/>
        </w:rPr>
        <w:t>在</w:t>
      </w:r>
      <w:r>
        <w:rPr>
          <w:rFonts w:hint="eastAsia" w:eastAsia="仿宋_GB2312" w:cs="Times New Roman"/>
          <w:sz w:val="32"/>
          <w:szCs w:val="32"/>
          <w:highlight w:val="none"/>
          <w:lang w:val="en-US" w:eastAsia="zh-CN"/>
        </w:rPr>
        <w:t>购买</w:t>
      </w:r>
      <w:r>
        <w:rPr>
          <w:rFonts w:hint="default" w:ascii="Times New Roman" w:hAnsi="Times New Roman" w:eastAsia="仿宋_GB2312" w:cs="Times New Roman"/>
          <w:sz w:val="32"/>
          <w:szCs w:val="32"/>
          <w:highlight w:val="none"/>
          <w:lang w:val="en-US" w:eastAsia="zh-CN"/>
        </w:rPr>
        <w:t>AI视频智能辅助监管监察系统</w:t>
      </w:r>
      <w:r>
        <w:rPr>
          <w:rFonts w:hint="eastAsia" w:eastAsia="仿宋_GB2312" w:cs="Times New Roman"/>
          <w:sz w:val="32"/>
          <w:szCs w:val="32"/>
          <w:highlight w:val="none"/>
          <w:lang w:val="en-US" w:eastAsia="zh-CN"/>
        </w:rPr>
        <w:t>、提升矿山数字化，智能化安全生产预防和监管水平</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sz w:val="32"/>
          <w:szCs w:val="32"/>
          <w:highlight w:val="none"/>
          <w:lang w:val="en-US" w:eastAsia="zh-CN"/>
        </w:rPr>
        <w:t>购买</w:t>
      </w:r>
      <w:r>
        <w:rPr>
          <w:rFonts w:hint="default" w:ascii="Times New Roman" w:hAnsi="Times New Roman" w:eastAsia="仿宋_GB2312" w:cs="Times New Roman"/>
          <w:sz w:val="32"/>
          <w:szCs w:val="32"/>
          <w:highlight w:val="none"/>
          <w:lang w:val="en-US" w:eastAsia="zh-CN"/>
        </w:rPr>
        <w:t>AI视频智能辅助监管监察系统</w:t>
      </w:r>
      <w:r>
        <w:rPr>
          <w:rFonts w:hint="eastAsia" w:eastAsia="仿宋_GB2312" w:cs="Times New Roman"/>
          <w:sz w:val="32"/>
          <w:szCs w:val="32"/>
          <w:highlight w:val="none"/>
          <w:lang w:val="en-US" w:eastAsia="zh-CN"/>
        </w:rPr>
        <w:t>后的使用</w:t>
      </w:r>
      <w:r>
        <w:rPr>
          <w:rFonts w:hint="eastAsia" w:eastAsia="仿宋_GB2312" w:cs="Times New Roman"/>
          <w:color w:val="auto"/>
          <w:sz w:val="32"/>
          <w:szCs w:val="32"/>
          <w:highlight w:val="none"/>
          <w:lang w:eastAsia="zh-CN"/>
        </w:rPr>
        <w:t>中</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提升矿山数字化、</w:t>
      </w:r>
      <w:r>
        <w:rPr>
          <w:rFonts w:hint="eastAsia" w:eastAsia="仿宋_GB2312" w:cs="Times New Roman"/>
          <w:sz w:val="32"/>
          <w:szCs w:val="32"/>
          <w:highlight w:val="none"/>
          <w:lang w:eastAsia="zh-CN"/>
        </w:rPr>
        <w:t>提高矿山安全风险防范水平</w:t>
      </w:r>
      <w:r>
        <w:rPr>
          <w:rFonts w:hint="default" w:ascii="Times New Roman" w:hAnsi="Times New Roman" w:eastAsia="仿宋_GB2312" w:cs="Times New Roman"/>
          <w:sz w:val="32"/>
          <w:szCs w:val="32"/>
          <w:highlight w:val="none"/>
        </w:rPr>
        <w:t>等。</w:t>
      </w:r>
    </w:p>
    <w:p w14:paraId="42783615">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托里县应急管理局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03392A7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从项目效益的角度来看，本项目不仅实现了预期的社会效益方面产生了积极的影响。具体而言，[具体效益1]、[具体效益2]等方面的提升，为项目的利益相关者带来了实实在在的利益。</w:t>
      </w:r>
    </w:p>
    <w:p w14:paraId="478E4270">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eastAsia="zh-CN"/>
        </w:rPr>
        <w:t>托里县应急管理局</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72C9527D">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129DE89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0D4235EF">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67E81D3D">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641745B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56C7F43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1095F00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4CFF960E">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7C6AB873">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58FF0C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1F56B37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D6C5EF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F5BD988">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5F804E8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8401AA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1C6418F9">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2F9F1C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6854581">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77AC89E8">
        <w:tblPrEx>
          <w:tblCellMar>
            <w:top w:w="0" w:type="dxa"/>
            <w:left w:w="108" w:type="dxa"/>
            <w:bottom w:w="0" w:type="dxa"/>
            <w:right w:w="108" w:type="dxa"/>
          </w:tblCellMar>
        </w:tblPrEx>
        <w:trPr>
          <w:trHeight w:val="323"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03CF3E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0670B17F">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291ABE6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714A14AC">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5D4C0246">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22E912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04879E0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A99DE3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B8DC1D6">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2683DB40">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09B3F18">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099" w:type="pct"/>
            <w:tcBorders>
              <w:top w:val="nil"/>
              <w:left w:val="nil"/>
              <w:bottom w:val="single" w:color="auto" w:sz="4" w:space="0"/>
              <w:right w:val="single" w:color="auto" w:sz="4" w:space="0"/>
            </w:tcBorders>
            <w:shd w:val="clear" w:color="auto" w:fill="auto"/>
            <w:vAlign w:val="center"/>
          </w:tcPr>
          <w:p w14:paraId="528517B5">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2032DB5C">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52251F59">
            <w:pPr>
              <w:jc w:val="center"/>
              <w:rPr>
                <w:rFonts w:hint="default" w:ascii="Times New Roman" w:hAnsi="Times New Roman" w:eastAsia="仿宋_GB2312" w:cs="Times New Roman"/>
                <w:b/>
                <w:bCs/>
                <w:color w:val="000000"/>
                <w:sz w:val="21"/>
                <w:szCs w:val="21"/>
                <w:highlight w:val="none"/>
              </w:rPr>
            </w:pPr>
            <w:r>
              <w:rPr>
                <w:rFonts w:hint="eastAsia" w:eastAsia="仿宋_GB2312" w:cs="Times New Roman"/>
                <w:color w:val="000000"/>
                <w:sz w:val="21"/>
                <w:szCs w:val="21"/>
                <w:highlight w:val="none"/>
                <w:lang w:val="en-US" w:eastAsia="zh-CN"/>
              </w:rPr>
              <w:t>100%</w:t>
            </w:r>
          </w:p>
        </w:tc>
      </w:tr>
    </w:tbl>
    <w:p w14:paraId="395A75B3">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54A6843">
      <w:pPr>
        <w:pStyle w:val="9"/>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A1B10A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AE3B0E8">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2367FEA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E410ED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FF5B4E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71C38E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31B19C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40C83F9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106404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24EB81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6FD5DAD8">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3F34AD5E">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A25382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15B88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F1C3B3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A959B0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02F23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489EE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B52F0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C18673C">
      <w:pPr>
        <w:pStyle w:val="9"/>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5544F0E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087B60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6547EDE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F02972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93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B25729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1FE036E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93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6045A6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A3889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010155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61231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CC8A6A0">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22C922D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5AE3CC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895D3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07666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3DEAA1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3E4FCF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385E9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05CE37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685D9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33704A7E">
      <w:pPr>
        <w:pStyle w:val="10"/>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5360832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w:t>
      </w:r>
      <w:r>
        <w:rPr>
          <w:rFonts w:hint="default" w:ascii="Times New Roman" w:hAnsi="Times New Roman" w:eastAsia="仿宋_GB2312" w:cs="Times New Roman"/>
          <w:sz w:val="32"/>
          <w:szCs w:val="32"/>
          <w:highlight w:val="none"/>
          <w:lang w:val="en-US" w:eastAsia="zh-CN"/>
        </w:rPr>
        <w:t>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1371462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281A8B5">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指标1：购买AI视频智能辅助监管监察系统 ，指标值：&gt;=3个 ，实际完成值： &gt;=3个，指标完成率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5DE8C8A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0A1128C6">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指标1：验收通过率 ，指标值：=100% ，实际完成值：=100%，指标完成率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30E8B56D">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：联网在线率 ，指标值：=100% ，实际完成值：=100%，指标完成率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AD246A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1FD82A6C">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项目完成时间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2024年12月25日</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2024年12月25日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199F002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2936200B">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：托里县招金北疆矿业有限公司购买2个系统，指标值：&lt;=62万元，实际完成值：&lt;=62万元，指标完成率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，无偏差。</w:t>
      </w:r>
    </w:p>
    <w:p w14:paraId="11702F37">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：西部黄金克拉玛依哈图金矿有限责任公司购买1个系统，指标值：&lt;=31万元，实际完成值：&lt;=31万元，指标完成率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，无偏差。</w:t>
      </w:r>
    </w:p>
    <w:p w14:paraId="4AD68F81">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645B2DE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w:t>
      </w:r>
      <w:r>
        <w:rPr>
          <w:rFonts w:hint="default" w:ascii="Times New Roman" w:hAnsi="Times New Roman" w:eastAsia="仿宋_GB2312" w:cs="Times New Roman"/>
          <w:sz w:val="32"/>
          <w:szCs w:val="32"/>
          <w:highlight w:val="none"/>
          <w:lang w:val="en-US" w:eastAsia="zh-CN"/>
        </w:rPr>
        <w:t>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w:t>
      </w:r>
      <w:r>
        <w:rPr>
          <w:rFonts w:hint="default" w:ascii="Times New Roman" w:hAnsi="Times New Roman" w:eastAsia="仿宋_GB2312" w:cs="Times New Roman"/>
          <w:sz w:val="32"/>
          <w:szCs w:val="32"/>
          <w:lang w:val="en-US" w:eastAsia="zh-CN"/>
        </w:rPr>
        <w:t>标完成情况如下：</w:t>
      </w:r>
    </w:p>
    <w:p w14:paraId="6AB40AAE">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r>
        <w:rPr>
          <w:rFonts w:hint="eastAsia" w:eastAsia="仿宋_GB2312" w:cs="Times New Roman"/>
          <w:sz w:val="32"/>
          <w:szCs w:val="32"/>
          <w:highlight w:val="none"/>
          <w:lang w:val="en-US" w:eastAsia="zh-CN"/>
        </w:rPr>
        <w:t>：</w:t>
      </w:r>
    </w:p>
    <w:p w14:paraId="0A75F17C">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社会效益指标：</w:t>
      </w:r>
    </w:p>
    <w:p w14:paraId="0BDA1DBD">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指标1：矿山安全风险防控水平，指标值：有效提高，实际完成值：有效提高，指标完成率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，无偏差</w:t>
      </w:r>
      <w:r>
        <w:rPr>
          <w:rFonts w:hint="eastAsia" w:ascii="Times New Roman" w:hAnsi="Times New Roman" w:eastAsia="仿宋_GB2312" w:cs="Times New Roman"/>
          <w:sz w:val="32"/>
          <w:szCs w:val="32"/>
          <w:highlight w:val="none"/>
          <w:lang w:eastAsia="zh-CN"/>
        </w:rPr>
        <w:t>。</w:t>
      </w:r>
    </w:p>
    <w:p w14:paraId="48E8184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7148D9E">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指标1：服务指标对象满意度，指标值：&gt;=90%，实际完成值：&gt;=90%，指标完成率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，无偏差</w:t>
      </w:r>
      <w:r>
        <w:rPr>
          <w:rFonts w:hint="eastAsia" w:ascii="Times New Roman" w:hAnsi="Times New Roman" w:eastAsia="仿宋_GB2312" w:cs="Times New Roman"/>
          <w:sz w:val="32"/>
          <w:szCs w:val="32"/>
          <w:highlight w:val="none"/>
          <w:lang w:eastAsia="zh-CN"/>
        </w:rPr>
        <w:t>。</w:t>
      </w:r>
    </w:p>
    <w:p w14:paraId="492F0CA8">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08A0E030">
      <w:pPr>
        <w:pStyle w:val="20"/>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托里县应急管理局2023年安全生产预防和应急救援能力建设补助资金煤矿及非煤矿山重大灾害风险防控项目</w:t>
      </w:r>
      <w:r>
        <w:rPr>
          <w:rFonts w:hint="default" w:ascii="Times New Roman" w:hAnsi="Times New Roman" w:eastAsia="仿宋_GB2312" w:cs="Times New Roman"/>
          <w:kern w:val="2"/>
          <w:sz w:val="32"/>
          <w:szCs w:val="32"/>
          <w:highlight w:val="none"/>
          <w:lang w:val="en-US" w:eastAsia="zh-CN" w:bidi="ar-SA"/>
        </w:rPr>
        <w:t>项目年初预算</w:t>
      </w:r>
      <w:r>
        <w:rPr>
          <w:rFonts w:hint="eastAsia" w:ascii="Times New Roman" w:hAnsi="Times New Roman" w:eastAsia="仿宋_GB2312" w:cs="Times New Roman"/>
          <w:kern w:val="2"/>
          <w:sz w:val="32"/>
          <w:szCs w:val="32"/>
          <w:highlight w:val="none"/>
          <w:lang w:val="en-US" w:eastAsia="zh-CN" w:bidi="ar-SA"/>
        </w:rPr>
        <w:t>93</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93</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93</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14:paraId="0DAE15B7">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2A99F890">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492AB3A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844A8A9">
      <w:pPr>
        <w:pStyle w:val="9"/>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F42BEAB">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36F109E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27C538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7BDEC065">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15B8C01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D964BC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1F9C996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750952E">
      <w:pPr>
        <w:shd w:val="clear" w:color="auto"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63ACB98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162E56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BBBB3A4">
      <w:pPr>
        <w:pStyle w:val="11"/>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3464C0A1">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21CF9FE2">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24D93A7B">
      <w:pPr>
        <w:rPr>
          <w:rFonts w:hint="default" w:ascii="Times New Roman" w:hAnsi="Times New Roman" w:cs="Times New Roman"/>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80D847-C1F5-4CC7-9778-3E41F84A57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221D5A26-70CD-43AD-B8EE-1AC7698BBB8E}"/>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embedRegular r:id="rId3" w:fontKey="{18D14443-D3F0-4B1C-B4A3-FE7987DEDA5C}"/>
  </w:font>
  <w:font w:name="方正小标宋_GBK">
    <w:panose1 w:val="02000000000000000000"/>
    <w:charset w:val="86"/>
    <w:family w:val="script"/>
    <w:pitch w:val="default"/>
    <w:sig w:usb0="A00002BF" w:usb1="38CF7CFA" w:usb2="00082016" w:usb3="00000000" w:csb0="00040001" w:csb1="00000000"/>
    <w:embedRegular r:id="rId4" w:fontKey="{3EA4656B-7167-427B-AB4C-C47F6BD05BCC}"/>
  </w:font>
  <w:font w:name="楷体_GB2312">
    <w:altName w:val="楷体"/>
    <w:panose1 w:val="00000000000000000000"/>
    <w:charset w:val="86"/>
    <w:family w:val="auto"/>
    <w:pitch w:val="default"/>
    <w:sig w:usb0="00000000" w:usb1="00000000" w:usb2="00000000" w:usb3="00000000" w:csb0="00040000" w:csb1="00000000"/>
    <w:embedRegular r:id="rId5" w:fontKey="{5F02D25E-0B91-4C2A-80B5-DAE1DAA0C55F}"/>
  </w:font>
  <w:font w:name="楷体">
    <w:panose1 w:val="02010609060101010101"/>
    <w:charset w:val="86"/>
    <w:family w:val="auto"/>
    <w:pitch w:val="default"/>
    <w:sig w:usb0="800002BF" w:usb1="38CF7CFA" w:usb2="00000016" w:usb3="00000000" w:csb0="00040001" w:csb1="00000000"/>
    <w:embedRegular r:id="rId6" w:fontKey="{D64AEABB-FC40-46B2-829D-45664D8DA9E9}"/>
  </w:font>
  <w:font w:name="方正仿宋_GBK">
    <w:altName w:val="微软雅黑"/>
    <w:panose1 w:val="02000000000000000000"/>
    <w:charset w:val="86"/>
    <w:family w:val="auto"/>
    <w:pitch w:val="default"/>
    <w:sig w:usb0="00000000" w:usb1="00000000" w:usb2="00082016" w:usb3="00000000" w:csb0="00040001" w:csb1="00000000"/>
    <w:embedRegular r:id="rId7" w:fontKey="{16157777-335E-4F48-AEB9-0B913CB2F96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D4228BC">
        <w:pPr>
          <w:pStyle w:val="6"/>
          <w:jc w:val="center"/>
        </w:pPr>
        <w:r>
          <w:fldChar w:fldCharType="begin"/>
        </w:r>
        <w:r>
          <w:instrText xml:space="preserve">PAGE   \* MERGEFORMAT</w:instrText>
        </w:r>
        <w:r>
          <w:fldChar w:fldCharType="separate"/>
        </w:r>
        <w:r>
          <w:rPr>
            <w:lang w:val="zh-CN"/>
          </w:rPr>
          <w:t>13</w:t>
        </w:r>
        <w:r>
          <w:fldChar w:fldCharType="end"/>
        </w:r>
      </w:p>
    </w:sdtContent>
  </w:sdt>
  <w:p w14:paraId="4756A474">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4DAF20F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FDB1CD2F8B89466AA06F15B7C91973CE</vt:lpwstr>
  </property>
  <property fmtid="{D5CDD505-2E9C-101B-9397-08002B2CF9AE}" pid="4" name="KSOTemplateDocerSaveRecord">
    <vt:lpwstr>eyJoZGlkIjoiOGI1YWE4ZDcyNDU4ZThhMDk5ZTlkYTk5NGQ1MmYwOWQiLCJ1c2VySWQiOiI5NDAwOTc2NTUifQ==</vt:lpwstr>
  </property>
</Properties>
</file>

<file path=customXml/itemProps1.xml><?xml version="1.0" encoding="utf-8"?>
<ds:datastoreItem xmlns:ds="http://schemas.openxmlformats.org/officeDocument/2006/customXml" ds:itemID="{38b67250-9528-471e-9c97-270b00290bda}">
  <ds:schemaRefs/>
</ds:datastoreItem>
</file>

<file path=docProps/app.xml><?xml version="1.0" encoding="utf-8"?>
<Properties xmlns="http://schemas.openxmlformats.org/officeDocument/2006/extended-properties" xmlns:vt="http://schemas.openxmlformats.org/officeDocument/2006/docPropsVTypes">
  <Template>Normal</Template>
  <Pages>21</Pages>
  <Words>8544</Words>
  <Characters>8778</Characters>
  <Lines>58</Lines>
  <Paragraphs>16</Paragraphs>
  <TotalTime>2</TotalTime>
  <ScaleCrop>false</ScaleCrop>
  <LinksUpToDate>false</LinksUpToDate>
  <CharactersWithSpaces>8796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2025-10-31T08:25:05Z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FDB1CD2F8B89466AA06F15B7C91973CE</vt:lpwstr>
  </property>
  <property fmtid="{D5CDD505-2E9C-101B-9397-08002B2CF9AE}" pid="4" name="KSOTemplateDocerSaveRecord">
    <vt:lpwstr>eyJoZGlkIjoiZjZjY2YzNDY3YWM4YThjNjdkZTk2MDAwYjE2OGQzNDQiLCJ1c2VySWQiOiIzNzI2MDMzNTYifQ==</vt:lpwstr>
  </property>
</Properties>
</file>