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6D5CE">
      <w:pPr>
        <w:shd w:val="clear"/>
        <w:rPr>
          <w:color w:val="auto"/>
          <w:highlight w:val="none"/>
        </w:rPr>
      </w:pPr>
    </w:p>
    <w:p w14:paraId="7FF737AB">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华文中宋" w:cs="Times New Roman"/>
          <w:b/>
          <w:color w:val="auto"/>
          <w:kern w:val="0"/>
          <w:sz w:val="52"/>
          <w:szCs w:val="52"/>
          <w:highlight w:val="none"/>
        </w:rPr>
      </w:pPr>
    </w:p>
    <w:p w14:paraId="3BE6EDEB">
      <w:pPr>
        <w:pageBreakBefore w:val="0"/>
        <w:shd w:val="clear"/>
        <w:kinsoku/>
        <w:wordWrap/>
        <w:overflowPunct/>
        <w:topLinePunct w:val="0"/>
        <w:autoSpaceDE/>
        <w:autoSpaceDN/>
        <w:bidi w:val="0"/>
        <w:adjustRightInd/>
        <w:snapToGrid/>
        <w:spacing w:line="600" w:lineRule="exact"/>
        <w:jc w:val="center"/>
        <w:textAlignment w:val="auto"/>
        <w:rPr>
          <w:rFonts w:hint="eastAsia" w:ascii="方正公文小标宋" w:hAnsi="方正公文小标宋" w:eastAsia="方正公文小标宋" w:cs="方正公文小标宋"/>
          <w:color w:val="auto"/>
          <w:kern w:val="0"/>
          <w:sz w:val="48"/>
          <w:szCs w:val="48"/>
          <w:highlight w:val="none"/>
        </w:rPr>
      </w:pPr>
      <w:r>
        <w:rPr>
          <w:rFonts w:hint="eastAsia" w:ascii="方正公文小标宋" w:hAnsi="方正公文小标宋" w:eastAsia="方正公文小标宋" w:cs="方正公文小标宋"/>
          <w:color w:val="auto"/>
          <w:kern w:val="0"/>
          <w:sz w:val="48"/>
          <w:szCs w:val="48"/>
          <w:highlight w:val="none"/>
          <w:lang w:val="en-US" w:eastAsia="zh-CN"/>
        </w:rPr>
        <w:t>托里县化工产业园区基础设施建设相关规划及报告编制</w:t>
      </w:r>
      <w:r>
        <w:rPr>
          <w:rFonts w:hint="eastAsia" w:ascii="方正公文小标宋" w:hAnsi="方正公文小标宋" w:eastAsia="方正公文小标宋" w:cs="方正公文小标宋"/>
          <w:color w:val="auto"/>
          <w:kern w:val="0"/>
          <w:sz w:val="48"/>
          <w:szCs w:val="48"/>
          <w:highlight w:val="none"/>
        </w:rPr>
        <w:t>项目支出绩效评价报告</w:t>
      </w:r>
    </w:p>
    <w:p w14:paraId="11142A82">
      <w:pPr>
        <w:pageBreakBefore w:val="0"/>
        <w:shd w:val="clear"/>
        <w:kinsoku/>
        <w:wordWrap/>
        <w:overflowPunct/>
        <w:topLinePunct w:val="0"/>
        <w:autoSpaceDE/>
        <w:autoSpaceDN/>
        <w:bidi w:val="0"/>
        <w:adjustRightInd/>
        <w:snapToGrid/>
        <w:spacing w:line="600" w:lineRule="exact"/>
        <w:jc w:val="center"/>
        <w:textAlignment w:val="auto"/>
        <w:rPr>
          <w:rFonts w:hint="default" w:ascii="Times New Roman" w:hAnsi="Times New Roman" w:eastAsia="华文中宋" w:cs="Times New Roman"/>
          <w:b/>
          <w:color w:val="auto"/>
          <w:kern w:val="0"/>
          <w:sz w:val="52"/>
          <w:szCs w:val="52"/>
          <w:highlight w:val="none"/>
        </w:rPr>
      </w:pPr>
    </w:p>
    <w:p w14:paraId="5418DF7E">
      <w:pPr>
        <w:pageBreakBefore w:val="0"/>
        <w:shd w:val="clear"/>
        <w:kinsoku/>
        <w:wordWrap/>
        <w:overflowPunct/>
        <w:topLinePunct w:val="0"/>
        <w:autoSpaceDE/>
        <w:autoSpaceDN/>
        <w:bidi w:val="0"/>
        <w:adjustRightInd/>
        <w:snapToGrid/>
        <w:spacing w:line="600" w:lineRule="exact"/>
        <w:jc w:val="center"/>
        <w:textAlignment w:val="auto"/>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14:paraId="24D79653">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0"/>
          <w:szCs w:val="30"/>
          <w:highlight w:val="none"/>
        </w:rPr>
      </w:pPr>
    </w:p>
    <w:p w14:paraId="11D033B5">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0"/>
          <w:szCs w:val="30"/>
          <w:highlight w:val="none"/>
        </w:rPr>
      </w:pPr>
    </w:p>
    <w:p w14:paraId="79068CCE">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0"/>
          <w:szCs w:val="30"/>
          <w:highlight w:val="none"/>
        </w:rPr>
      </w:pPr>
    </w:p>
    <w:p w14:paraId="63FFC03F">
      <w:pPr>
        <w:pStyle w:val="9"/>
        <w:pageBreakBefore w:val="0"/>
        <w:shd w:val="clear"/>
        <w:kinsoku/>
        <w:wordWrap/>
        <w:overflowPunct/>
        <w:topLinePunct w:val="0"/>
        <w:autoSpaceDE/>
        <w:autoSpaceDN/>
        <w:bidi w:val="0"/>
        <w:adjustRightInd/>
        <w:snapToGrid/>
        <w:spacing w:before="0" w:after="0" w:line="600" w:lineRule="exact"/>
        <w:jc w:val="both"/>
        <w:textAlignment w:val="auto"/>
        <w:rPr>
          <w:rFonts w:hint="default" w:ascii="Times New Roman" w:hAnsi="Times New Roman" w:cs="Times New Roman"/>
          <w:color w:val="auto"/>
          <w:highlight w:val="none"/>
        </w:rPr>
      </w:pPr>
    </w:p>
    <w:p w14:paraId="62972E76">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0"/>
          <w:szCs w:val="30"/>
          <w:highlight w:val="none"/>
        </w:rPr>
      </w:pPr>
    </w:p>
    <w:p w14:paraId="6DFC0CE6">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0"/>
          <w:szCs w:val="30"/>
          <w:highlight w:val="none"/>
        </w:rPr>
      </w:pPr>
    </w:p>
    <w:p w14:paraId="341EC8B9">
      <w:pPr>
        <w:pageBreakBefore w:val="0"/>
        <w:shd w:val="clear"/>
        <w:kinsoku/>
        <w:wordWrap/>
        <w:overflowPunct/>
        <w:topLinePunct w:val="0"/>
        <w:autoSpaceDE/>
        <w:autoSpaceDN/>
        <w:bidi w:val="0"/>
        <w:adjustRightInd/>
        <w:snapToGrid/>
        <w:spacing w:line="600" w:lineRule="exact"/>
        <w:ind w:firstLine="1440" w:firstLineChars="400"/>
        <w:jc w:val="both"/>
        <w:textAlignment w:val="auto"/>
        <w:rPr>
          <w:rFonts w:hint="default"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项目名称：</w:t>
      </w:r>
      <w:r>
        <w:rPr>
          <w:rFonts w:hint="eastAsia" w:eastAsia="仿宋_GB2312" w:cs="Times New Roman"/>
          <w:color w:val="auto"/>
          <w:kern w:val="0"/>
          <w:sz w:val="36"/>
          <w:szCs w:val="36"/>
          <w:highlight w:val="none"/>
          <w:lang w:val="en-US" w:eastAsia="zh-CN"/>
        </w:rPr>
        <w:t>托里县化工产业园区基础设施建设相关规划及报告编制</w:t>
      </w:r>
    </w:p>
    <w:p w14:paraId="465D8A9B">
      <w:pPr>
        <w:pageBreakBefore w:val="0"/>
        <w:shd w:val="clear"/>
        <w:kinsoku/>
        <w:wordWrap/>
        <w:overflowPunct/>
        <w:topLinePunct w:val="0"/>
        <w:autoSpaceDE/>
        <w:autoSpaceDN/>
        <w:bidi w:val="0"/>
        <w:adjustRightInd/>
        <w:snapToGrid/>
        <w:spacing w:line="600" w:lineRule="exact"/>
        <w:ind w:firstLine="1440" w:firstLineChars="400"/>
        <w:jc w:val="both"/>
        <w:textAlignment w:val="auto"/>
        <w:rPr>
          <w:rFonts w:hint="eastAsia"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实施单位（公章）：</w:t>
      </w:r>
      <w:r>
        <w:rPr>
          <w:rFonts w:hint="eastAsia" w:eastAsia="仿宋_GB2312" w:cs="Times New Roman"/>
          <w:color w:val="auto"/>
          <w:kern w:val="0"/>
          <w:sz w:val="36"/>
          <w:szCs w:val="36"/>
          <w:highlight w:val="none"/>
          <w:lang w:val="en-US" w:eastAsia="zh-CN"/>
        </w:rPr>
        <w:t>托里工业园区（金港区）管理委员会</w:t>
      </w:r>
    </w:p>
    <w:p w14:paraId="2CEA121B">
      <w:pPr>
        <w:pageBreakBefore w:val="0"/>
        <w:shd w:val="clear"/>
        <w:kinsoku/>
        <w:wordWrap/>
        <w:overflowPunct/>
        <w:topLinePunct w:val="0"/>
        <w:autoSpaceDE/>
        <w:autoSpaceDN/>
        <w:bidi w:val="0"/>
        <w:adjustRightInd/>
        <w:snapToGrid/>
        <w:spacing w:line="600" w:lineRule="exact"/>
        <w:ind w:firstLine="1440" w:firstLineChars="400"/>
        <w:jc w:val="both"/>
        <w:textAlignment w:val="auto"/>
        <w:rPr>
          <w:rFonts w:hint="eastAsia"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主管部门（公章）：</w:t>
      </w:r>
      <w:r>
        <w:rPr>
          <w:rFonts w:hint="eastAsia" w:eastAsia="仿宋_GB2312" w:cs="Times New Roman"/>
          <w:color w:val="auto"/>
          <w:kern w:val="0"/>
          <w:sz w:val="36"/>
          <w:szCs w:val="36"/>
          <w:highlight w:val="none"/>
          <w:lang w:val="en-US" w:eastAsia="zh-CN"/>
        </w:rPr>
        <w:t>托里县人民政府</w:t>
      </w:r>
    </w:p>
    <w:p w14:paraId="441BD8B5">
      <w:pPr>
        <w:pageBreakBefore w:val="0"/>
        <w:shd w:val="clear"/>
        <w:kinsoku/>
        <w:wordWrap/>
        <w:overflowPunct/>
        <w:topLinePunct w:val="0"/>
        <w:autoSpaceDE/>
        <w:autoSpaceDN/>
        <w:bidi w:val="0"/>
        <w:adjustRightInd/>
        <w:snapToGrid/>
        <w:spacing w:line="600" w:lineRule="exact"/>
        <w:ind w:firstLine="1440" w:firstLineChars="400"/>
        <w:jc w:val="both"/>
        <w:textAlignment w:val="auto"/>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val="en-US" w:eastAsia="zh-CN"/>
        </w:rPr>
        <w:t>汤伟</w:t>
      </w:r>
    </w:p>
    <w:p w14:paraId="6D097E72">
      <w:pPr>
        <w:pageBreakBefore w:val="0"/>
        <w:shd w:val="clear"/>
        <w:kinsoku/>
        <w:wordWrap/>
        <w:overflowPunct/>
        <w:topLinePunct w:val="0"/>
        <w:autoSpaceDE/>
        <w:autoSpaceDN/>
        <w:bidi w:val="0"/>
        <w:adjustRightInd/>
        <w:snapToGrid/>
        <w:spacing w:line="600" w:lineRule="exact"/>
        <w:ind w:firstLine="1440" w:firstLineChars="400"/>
        <w:jc w:val="both"/>
        <w:textAlignment w:val="auto"/>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2024</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3</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18</w:t>
      </w:r>
      <w:r>
        <w:rPr>
          <w:rFonts w:hint="default" w:ascii="Times New Roman" w:hAnsi="Times New Roman" w:eastAsia="仿宋_GB2312" w:cs="Times New Roman"/>
          <w:color w:val="auto"/>
          <w:kern w:val="0"/>
          <w:sz w:val="36"/>
          <w:szCs w:val="36"/>
          <w:highlight w:val="none"/>
        </w:rPr>
        <w:t>日</w:t>
      </w:r>
    </w:p>
    <w:p w14:paraId="26008368">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kern w:val="0"/>
          <w:sz w:val="30"/>
          <w:szCs w:val="30"/>
          <w:highlight w:val="none"/>
        </w:rPr>
      </w:pPr>
    </w:p>
    <w:p w14:paraId="7C5A5C93">
      <w:pPr>
        <w:pageBreakBefore w:val="0"/>
        <w:shd w:val="clear"/>
        <w:kinsoku/>
        <w:wordWrap/>
        <w:overflowPunct/>
        <w:topLinePunct w:val="0"/>
        <w:autoSpaceDE/>
        <w:autoSpaceDN/>
        <w:bidi w:val="0"/>
        <w:adjustRightInd/>
        <w:snapToGrid/>
        <w:spacing w:line="600" w:lineRule="exact"/>
        <w:jc w:val="both"/>
        <w:textAlignment w:val="auto"/>
        <w:rPr>
          <w:rStyle w:val="15"/>
          <w:rFonts w:hint="default" w:ascii="Times New Roman" w:hAnsi="Times New Roman" w:eastAsia="黑体" w:cs="Times New Roman"/>
          <w:b w:val="0"/>
          <w:color w:val="auto"/>
          <w:spacing w:val="-4"/>
          <w:sz w:val="32"/>
          <w:szCs w:val="32"/>
          <w:highlight w:val="none"/>
        </w:rPr>
      </w:pPr>
    </w:p>
    <w:p w14:paraId="001442E3">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14:paraId="608930FF">
      <w:pPr>
        <w:pageBreakBefore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14:paraId="055178EC">
      <w:pPr>
        <w:pageBreakBefore w:val="0"/>
        <w:shd w:val="clear"/>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14:paraId="387BF505">
      <w:pPr>
        <w:pageBreakBefore w:val="0"/>
        <w:shd w:val="clear"/>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b/>
          <w:bCs/>
          <w:color w:val="auto"/>
          <w:sz w:val="32"/>
          <w:szCs w:val="32"/>
          <w:highlight w:val="none"/>
        </w:rPr>
      </w:pPr>
      <w:bookmarkStart w:id="0" w:name="OLE_LINK1"/>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14:paraId="0B7D6B79">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9"/>
          <w:rFonts w:hint="eastAsia" w:ascii="仿宋_GB2312" w:hAnsi="仿宋_GB2312" w:eastAsia="仿宋_GB2312" w:cs="仿宋_GB2312"/>
          <w:color w:val="auto"/>
          <w:sz w:val="32"/>
          <w:szCs w:val="32"/>
          <w:highlight w:val="none"/>
        </w:rPr>
        <w:t>为高起点谋划、高质量发展</w:t>
      </w:r>
      <w:r>
        <w:rPr>
          <w:rStyle w:val="19"/>
          <w:rFonts w:hint="eastAsia" w:ascii="仿宋_GB2312" w:hAnsi="仿宋_GB2312" w:eastAsia="仿宋_GB2312" w:cs="仿宋_GB2312"/>
          <w:color w:val="auto"/>
          <w:sz w:val="32"/>
          <w:szCs w:val="32"/>
          <w:highlight w:val="none"/>
          <w:lang w:eastAsia="zh-CN"/>
        </w:rPr>
        <w:t>新能源</w:t>
      </w:r>
      <w:r>
        <w:rPr>
          <w:rStyle w:val="19"/>
          <w:rFonts w:hint="eastAsia" w:ascii="仿宋_GB2312" w:hAnsi="仿宋_GB2312" w:eastAsia="仿宋_GB2312" w:cs="仿宋_GB2312"/>
          <w:color w:val="auto"/>
          <w:sz w:val="32"/>
          <w:szCs w:val="32"/>
          <w:highlight w:val="none"/>
        </w:rPr>
        <w:t>产业，优化</w:t>
      </w:r>
      <w:r>
        <w:rPr>
          <w:rStyle w:val="19"/>
          <w:rFonts w:hint="eastAsia" w:ascii="仿宋_GB2312" w:hAnsi="仿宋_GB2312" w:eastAsia="仿宋_GB2312" w:cs="仿宋_GB2312"/>
          <w:color w:val="auto"/>
          <w:sz w:val="32"/>
          <w:szCs w:val="32"/>
          <w:highlight w:val="none"/>
          <w:lang w:val="en-US" w:eastAsia="zh-CN"/>
        </w:rPr>
        <w:t>托里县</w:t>
      </w:r>
      <w:r>
        <w:rPr>
          <w:rStyle w:val="19"/>
          <w:rFonts w:hint="eastAsia" w:ascii="仿宋_GB2312" w:hAnsi="仿宋_GB2312" w:eastAsia="仿宋_GB2312" w:cs="仿宋_GB2312"/>
          <w:color w:val="auto"/>
          <w:sz w:val="32"/>
          <w:szCs w:val="32"/>
          <w:highlight w:val="none"/>
        </w:rPr>
        <w:t>产业</w:t>
      </w:r>
      <w:r>
        <w:rPr>
          <w:rStyle w:val="19"/>
          <w:rFonts w:hint="eastAsia" w:ascii="仿宋_GB2312" w:hAnsi="仿宋_GB2312" w:eastAsia="仿宋_GB2312" w:cs="仿宋_GB2312"/>
          <w:color w:val="auto"/>
          <w:sz w:val="32"/>
          <w:szCs w:val="32"/>
          <w:highlight w:val="none"/>
          <w:lang w:val="en-US" w:eastAsia="zh-CN"/>
        </w:rPr>
        <w:t>发展结构</w:t>
      </w:r>
      <w:r>
        <w:rPr>
          <w:rStyle w:val="19"/>
          <w:rFonts w:hint="eastAsia" w:ascii="仿宋_GB2312" w:hAnsi="仿宋_GB2312" w:eastAsia="仿宋_GB2312" w:cs="仿宋_GB2312"/>
          <w:color w:val="auto"/>
          <w:sz w:val="32"/>
          <w:szCs w:val="32"/>
          <w:highlight w:val="none"/>
        </w:rPr>
        <w:t>，明确</w:t>
      </w:r>
      <w:r>
        <w:rPr>
          <w:rStyle w:val="19"/>
          <w:rFonts w:hint="eastAsia" w:ascii="仿宋_GB2312" w:hAnsi="仿宋_GB2312" w:eastAsia="仿宋_GB2312" w:cs="仿宋_GB2312"/>
          <w:color w:val="auto"/>
          <w:sz w:val="32"/>
          <w:szCs w:val="32"/>
          <w:highlight w:val="none"/>
          <w:lang w:eastAsia="zh-CN"/>
        </w:rPr>
        <w:t>新能源</w:t>
      </w:r>
      <w:r>
        <w:rPr>
          <w:rStyle w:val="19"/>
          <w:rFonts w:hint="eastAsia" w:ascii="仿宋_GB2312" w:hAnsi="仿宋_GB2312" w:eastAsia="仿宋_GB2312" w:cs="仿宋_GB2312"/>
          <w:color w:val="auto"/>
          <w:sz w:val="32"/>
          <w:szCs w:val="32"/>
          <w:highlight w:val="none"/>
          <w:lang w:val="en-US" w:eastAsia="zh-CN"/>
        </w:rPr>
        <w:t>产业发展</w:t>
      </w:r>
      <w:r>
        <w:rPr>
          <w:rStyle w:val="19"/>
          <w:rFonts w:hint="eastAsia" w:ascii="仿宋_GB2312" w:hAnsi="仿宋_GB2312" w:eastAsia="仿宋_GB2312" w:cs="仿宋_GB2312"/>
          <w:color w:val="auto"/>
          <w:sz w:val="32"/>
          <w:szCs w:val="32"/>
          <w:highlight w:val="none"/>
        </w:rPr>
        <w:t>方向，谋划发展路径，促进我</w:t>
      </w:r>
      <w:r>
        <w:rPr>
          <w:rStyle w:val="19"/>
          <w:rFonts w:hint="eastAsia" w:ascii="仿宋_GB2312" w:hAnsi="仿宋_GB2312" w:eastAsia="仿宋_GB2312" w:cs="仿宋_GB2312"/>
          <w:color w:val="auto"/>
          <w:sz w:val="32"/>
          <w:szCs w:val="32"/>
          <w:highlight w:val="none"/>
          <w:lang w:val="en-US" w:eastAsia="zh-CN"/>
        </w:rPr>
        <w:t>县产业</w:t>
      </w:r>
      <w:r>
        <w:rPr>
          <w:rStyle w:val="19"/>
          <w:rFonts w:hint="eastAsia" w:ascii="仿宋_GB2312" w:hAnsi="仿宋_GB2312" w:eastAsia="仿宋_GB2312" w:cs="仿宋_GB2312"/>
          <w:color w:val="auto"/>
          <w:sz w:val="32"/>
          <w:szCs w:val="32"/>
          <w:highlight w:val="none"/>
        </w:rPr>
        <w:t>结构转型，加快新旧动能转换</w:t>
      </w:r>
      <w:r>
        <w:rPr>
          <w:rStyle w:val="19"/>
          <w:rFonts w:hint="eastAsia" w:ascii="仿宋_GB2312" w:hAnsi="仿宋_GB2312" w:eastAsia="仿宋_GB2312" w:cs="仿宋_GB2312"/>
          <w:color w:val="auto"/>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2023年5月4日经托里县人民政府批复在托里县铁厂沟镇成立</w:t>
      </w:r>
      <w:r>
        <w:rPr>
          <w:rFonts w:hint="eastAsia" w:ascii="仿宋_GB2312" w:hAnsi="仿宋_GB2312" w:eastAsia="仿宋_GB2312" w:cs="仿宋_GB2312"/>
          <w:color w:val="auto"/>
          <w:sz w:val="32"/>
          <w:szCs w:val="32"/>
          <w:highlight w:val="none"/>
          <w:lang w:val="en-US" w:eastAsia="zh-CN"/>
        </w:rPr>
        <w:t>托里县化工产业园区（规划面积1361亩），</w:t>
      </w:r>
      <w:r>
        <w:rPr>
          <w:rStyle w:val="19"/>
          <w:rFonts w:hint="eastAsia" w:ascii="仿宋_GB2312" w:hAnsi="仿宋_GB2312" w:eastAsia="仿宋_GB2312" w:cs="仿宋_GB2312"/>
          <w:b w:val="0"/>
          <w:i w:val="0"/>
          <w:color w:val="auto"/>
          <w:sz w:val="32"/>
          <w:szCs w:val="32"/>
          <w:highlight w:val="none"/>
          <w:lang w:val="en-US" w:eastAsia="zh-CN"/>
        </w:rPr>
        <w:t>在化工产业园区内布局绿氢产业下游衍生工业企业，</w:t>
      </w:r>
      <w:r>
        <w:rPr>
          <w:rFonts w:hint="eastAsia" w:ascii="仿宋_GB2312" w:hAnsi="仿宋_GB2312" w:eastAsia="仿宋_GB2312" w:cs="仿宋_GB2312"/>
          <w:color w:val="auto"/>
          <w:sz w:val="32"/>
          <w:szCs w:val="32"/>
          <w:highlight w:val="none"/>
          <w:lang w:val="en-US" w:eastAsia="zh-CN"/>
        </w:rPr>
        <w:t>实现托里县新能源产业链延伸，提升绿色循环经济发展水平。</w:t>
      </w:r>
    </w:p>
    <w:p w14:paraId="7E49ADDE">
      <w:pPr>
        <w:pStyle w:val="9"/>
        <w:pageBreakBefore w:val="0"/>
        <w:numPr>
          <w:ilvl w:val="0"/>
          <w:numId w:val="0"/>
        </w:numPr>
        <w:shd w:val="clear"/>
        <w:kinsoku/>
        <w:wordWrap/>
        <w:overflowPunct/>
        <w:topLinePunct w:val="0"/>
        <w:autoSpaceDE/>
        <w:autoSpaceDN/>
        <w:bidi w:val="0"/>
        <w:adjustRightInd/>
        <w:snapToGrid/>
        <w:spacing w:before="0" w:after="0" w:line="600" w:lineRule="exact"/>
        <w:ind w:firstLine="643" w:firstLineChars="200"/>
        <w:jc w:val="both"/>
        <w:textAlignment w:val="auto"/>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14:paraId="2489DECF">
      <w:pPr>
        <w:pageBreakBefore w:val="0"/>
        <w:shd w:val="clear"/>
        <w:kinsoku/>
        <w:wordWrap/>
        <w:overflowPunct/>
        <w:topLinePunct w:val="0"/>
        <w:autoSpaceDE/>
        <w:autoSpaceDN/>
        <w:bidi w:val="0"/>
        <w:adjustRightInd/>
        <w:snapToGrid/>
        <w:spacing w:line="600" w:lineRule="exact"/>
        <w:ind w:firstLine="60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default" w:ascii="Times New Roman" w:hAnsi="Times New Roman" w:eastAsia="仿宋_GB2312" w:cs="Times New Roman"/>
          <w:color w:val="auto"/>
          <w:sz w:val="30"/>
          <w:szCs w:val="30"/>
          <w:highlight w:val="none"/>
          <w:lang w:val="en-US" w:eastAsia="zh-CN"/>
        </w:rPr>
        <w:t>项目主要内容：</w:t>
      </w:r>
      <w:r>
        <w:rPr>
          <w:rStyle w:val="15"/>
          <w:rFonts w:hint="eastAsia" w:ascii="仿宋_GB2312" w:hAnsi="仿宋_GB2312" w:eastAsia="仿宋_GB2312" w:cs="仿宋_GB2312"/>
          <w:b w:val="0"/>
          <w:bCs/>
          <w:color w:val="auto"/>
          <w:spacing w:val="-4"/>
          <w:sz w:val="32"/>
          <w:szCs w:val="32"/>
          <w:highlight w:val="none"/>
          <w:lang w:val="en-US" w:eastAsia="zh-CN"/>
        </w:rPr>
        <w:t>按照化工园区认定工作编制总体规划、总规环评、安全发展规划、产业发展规划等14个规划及专项报告。</w:t>
      </w:r>
    </w:p>
    <w:p w14:paraId="51E3198D">
      <w:pPr>
        <w:pageBreakBefore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项目实施情况：</w:t>
      </w:r>
      <w:r>
        <w:rPr>
          <w:rFonts w:hint="eastAsia" w:eastAsia="仿宋_GB2312" w:cs="Times New Roman"/>
          <w:color w:val="auto"/>
          <w:sz w:val="32"/>
          <w:szCs w:val="32"/>
          <w:highlight w:val="none"/>
          <w:lang w:val="en-US" w:eastAsia="zh-CN"/>
        </w:rPr>
        <w:t>目前</w:t>
      </w:r>
      <w:r>
        <w:rPr>
          <w:rStyle w:val="15"/>
          <w:rFonts w:hint="eastAsia" w:ascii="仿宋_GB2312" w:hAnsi="仿宋_GB2312" w:eastAsia="仿宋_GB2312" w:cs="仿宋_GB2312"/>
          <w:b w:val="0"/>
          <w:bCs/>
          <w:color w:val="auto"/>
          <w:spacing w:val="-4"/>
          <w:sz w:val="32"/>
          <w:szCs w:val="32"/>
          <w:highlight w:val="none"/>
          <w:lang w:val="en-US" w:eastAsia="zh-CN"/>
        </w:rPr>
        <w:t>总体规划、总规环评一通过专家评审并取得相关批复，其他专项报告已完成总体编制进度的70%</w:t>
      </w:r>
      <w:r>
        <w:rPr>
          <w:rStyle w:val="15"/>
          <w:rFonts w:hint="default" w:ascii="Times New Roman" w:hAnsi="Times New Roman" w:eastAsia="黑体" w:cs="Times New Roman"/>
          <w:b w:val="0"/>
          <w:bCs/>
          <w:color w:val="auto"/>
          <w:spacing w:val="-4"/>
          <w:sz w:val="32"/>
          <w:szCs w:val="32"/>
          <w:highlight w:val="none"/>
          <w:lang w:eastAsia="zh-CN"/>
        </w:rPr>
        <w:t>。</w:t>
      </w:r>
    </w:p>
    <w:p w14:paraId="0BD1A6D3">
      <w:pPr>
        <w:pageBreakBefore w:val="0"/>
        <w:shd w:val="clear"/>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14:paraId="3B31D140">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7A8B61F0">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35.8</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35.8</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财政划拨</w:t>
      </w:r>
      <w:r>
        <w:rPr>
          <w:rFonts w:hint="default" w:ascii="Times New Roman" w:hAnsi="Times New Roman" w:eastAsia="仿宋_GB2312" w:cs="Times New Roman"/>
          <w:color w:val="auto"/>
          <w:sz w:val="32"/>
          <w:szCs w:val="32"/>
          <w:highlight w:val="none"/>
          <w:lang w:val="en-US" w:eastAsia="zh-CN"/>
        </w:rPr>
        <w:t>。</w:t>
      </w:r>
    </w:p>
    <w:p w14:paraId="724786B0">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31E318FB">
      <w:pPr>
        <w:pageBreakBefore w:val="0"/>
        <w:shd w:val="clear"/>
        <w:kinsoku/>
        <w:wordWrap/>
        <w:overflowPunct/>
        <w:topLinePunct w:val="0"/>
        <w:autoSpaceDE/>
        <w:autoSpaceDN/>
        <w:bidi w:val="0"/>
        <w:adjustRightInd/>
        <w:snapToGrid/>
        <w:spacing w:line="600" w:lineRule="exact"/>
        <w:ind w:firstLine="1280" w:firstLineChars="4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35.8</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38.8</w:t>
      </w:r>
      <w:r>
        <w:rPr>
          <w:rFonts w:hint="default" w:ascii="Times New Roman" w:hAnsi="Times New Roman" w:eastAsia="仿宋_GB2312" w:cs="Times New Roman"/>
          <w:color w:val="auto"/>
          <w:sz w:val="32"/>
          <w:szCs w:val="32"/>
          <w:highlight w:val="none"/>
          <w:lang w:val="en-US" w:eastAsia="zh-CN"/>
        </w:rPr>
        <w:t>万元，全年执行数</w:t>
      </w:r>
      <w:r>
        <w:rPr>
          <w:rFonts w:hint="eastAsia" w:eastAsia="仿宋_GB2312" w:cs="Times New Roman"/>
          <w:color w:val="auto"/>
          <w:sz w:val="32"/>
          <w:szCs w:val="32"/>
          <w:highlight w:val="none"/>
          <w:lang w:val="en-US" w:eastAsia="zh-CN"/>
        </w:rPr>
        <w:t>35.8</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w:t>
      </w:r>
      <w:r>
        <w:rPr>
          <w:rFonts w:hint="eastAsia" w:eastAsia="仿宋_GB2312" w:cs="Times New Roman"/>
          <w:color w:val="auto"/>
          <w:kern w:val="0"/>
          <w:sz w:val="32"/>
          <w:szCs w:val="32"/>
          <w:highlight w:val="none"/>
          <w:lang w:val="en-US" w:eastAsia="zh-CN"/>
        </w:rPr>
        <w:t>托里县化工产业园区基础设施建设相关规划及报告编制费用</w:t>
      </w:r>
      <w:r>
        <w:rPr>
          <w:rFonts w:hint="default" w:ascii="Times New Roman" w:hAnsi="Times New Roman" w:eastAsia="仿宋_GB2312" w:cs="Times New Roman"/>
          <w:color w:val="auto"/>
          <w:sz w:val="32"/>
          <w:szCs w:val="32"/>
          <w:highlight w:val="none"/>
          <w:lang w:val="en-US" w:eastAsia="zh-CN"/>
        </w:rPr>
        <w:t>。</w:t>
      </w:r>
      <w:bookmarkEnd w:id="0"/>
    </w:p>
    <w:p w14:paraId="31355991">
      <w:pPr>
        <w:pageBreakBefore w:val="0"/>
        <w:shd w:val="clear"/>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14:paraId="205357C7">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1" w:name="OLE_LINK2"/>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根据托里县化工产业园区划定的1361亩区域面积进行总体规划、规划环评、安全风险评估、选址安全评估、安全发展规划、产业发展规划、事故废水分析报告、危险货物运输风险论证报告、化工园区认定评估报告、“禁限控目录”、水资源论证报告、入园项目评估制度、挥发性有机物管理办法、应急救援预案等14项专项规划及报告编制。</w:t>
      </w:r>
    </w:p>
    <w:p w14:paraId="7986CBBE">
      <w:pPr>
        <w:pageBreakBefore w:val="0"/>
        <w:shd w:val="clea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阶段性目标</w:t>
      </w:r>
      <w:r>
        <w:rPr>
          <w:rFonts w:hint="eastAsia" w:ascii="仿宋_GB2312" w:hAnsi="仿宋_GB2312" w:eastAsia="仿宋_GB2312" w:cs="仿宋_GB2312"/>
          <w:color w:val="auto"/>
          <w:sz w:val="32"/>
          <w:szCs w:val="32"/>
          <w:highlight w:val="none"/>
          <w:lang w:val="en-US" w:eastAsia="zh-CN"/>
        </w:rPr>
        <w:t>目前</w:t>
      </w:r>
      <w:r>
        <w:rPr>
          <w:rStyle w:val="15"/>
          <w:rFonts w:hint="eastAsia" w:ascii="仿宋_GB2312" w:hAnsi="仿宋_GB2312" w:eastAsia="仿宋_GB2312" w:cs="仿宋_GB2312"/>
          <w:b w:val="0"/>
          <w:bCs/>
          <w:color w:val="auto"/>
          <w:spacing w:val="-4"/>
          <w:sz w:val="32"/>
          <w:szCs w:val="32"/>
          <w:highlight w:val="none"/>
          <w:lang w:val="en-US" w:eastAsia="zh-CN"/>
        </w:rPr>
        <w:t>总体规划、总规环评一通过专家评审并取得相关批复，其他专项报告已完成总体编制进度的70%</w:t>
      </w:r>
      <w:r>
        <w:rPr>
          <w:rStyle w:val="15"/>
          <w:rFonts w:hint="eastAsia" w:ascii="仿宋_GB2312" w:hAnsi="仿宋_GB2312" w:eastAsia="仿宋_GB2312" w:cs="仿宋_GB2312"/>
          <w:b w:val="0"/>
          <w:bCs/>
          <w:color w:val="auto"/>
          <w:spacing w:val="-4"/>
          <w:sz w:val="32"/>
          <w:szCs w:val="32"/>
          <w:highlight w:val="none"/>
          <w:lang w:eastAsia="zh-CN"/>
        </w:rPr>
        <w:t>。</w:t>
      </w:r>
      <w:bookmarkEnd w:id="1"/>
    </w:p>
    <w:p w14:paraId="2CB0681C">
      <w:pPr>
        <w:pageBreakBefore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14:paraId="43355368">
      <w:pPr>
        <w:pageBreakBefore w:val="0"/>
        <w:shd w:val="clear"/>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14:paraId="08A0E9BE">
      <w:pPr>
        <w:pStyle w:val="9"/>
        <w:pageBreakBefore w:val="0"/>
        <w:widowControl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val="en-US" w:eastAsia="zh-CN"/>
        </w:rPr>
      </w:pPr>
      <w:bookmarkStart w:id="2" w:name="OLE_LINK3"/>
      <w:r>
        <w:rPr>
          <w:rFonts w:hint="default" w:ascii="Times New Roman" w:hAnsi="Times New Roman" w:eastAsia="仿宋_GB2312" w:cs="Times New Roman"/>
          <w:b w:val="0"/>
          <w:bCs w:val="0"/>
          <w:color w:val="auto"/>
          <w:highlight w:val="none"/>
          <w:lang w:val="en-US" w:eastAsia="zh-CN"/>
        </w:rPr>
        <w:t>1.绩效评价完整性</w:t>
      </w:r>
    </w:p>
    <w:p w14:paraId="28E1E238">
      <w:pPr>
        <w:pageBreakBefore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7587ED94">
      <w:pPr>
        <w:pageBreakBefore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14:paraId="0B97DA15">
      <w:pPr>
        <w:pageBreakBefore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1A9A1DF">
      <w:pPr>
        <w:pageBreakBefore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B28AD9B">
      <w:pPr>
        <w:pageBreakBefore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05C6061">
      <w:pPr>
        <w:pageBreakBefore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14:paraId="33EBCC09">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7E203E7D">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通过对项目预算执行情况及各项绩效目标达成程度的系统性分析，全面、客观地评估项目在预定周期内的实施效果，包括经济效益、社会效益及可持续性等多维度指标，为项目后续的改进与优化提供科学依据。</w:t>
      </w:r>
    </w:p>
    <w:p w14:paraId="4779F232">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47FD7A2">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00F127C">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577CF28">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AE1BF85">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36920586">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4470B4B">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3FBA0E3D">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532C7EA">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065E21F">
      <w:pPr>
        <w:pStyle w:val="9"/>
        <w:pageBreakBefore w:val="0"/>
        <w:widowControl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14:paraId="20A5C9EE">
      <w:pPr>
        <w:pStyle w:val="9"/>
        <w:pageBreakBefore w:val="0"/>
        <w:widowControl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eastAsia" w:ascii="仿宋_GB2312" w:hAnsi="仿宋_GB2312" w:eastAsia="仿宋_GB2312" w:cs="仿宋_GB2312"/>
          <w:b w:val="0"/>
          <w:bCs w:val="0"/>
          <w:color w:val="auto"/>
          <w:highlight w:val="none"/>
        </w:rPr>
        <w:t>本项目预算绩效评价报告的评价对象是</w:t>
      </w:r>
      <w:r>
        <w:rPr>
          <w:rFonts w:hint="eastAsia" w:ascii="仿宋_GB2312" w:hAnsi="仿宋_GB2312" w:eastAsia="仿宋_GB2312" w:cs="仿宋_GB2312"/>
          <w:b w:val="0"/>
          <w:bCs w:val="0"/>
          <w:color w:val="auto"/>
          <w:kern w:val="0"/>
          <w:sz w:val="32"/>
          <w:szCs w:val="32"/>
          <w:highlight w:val="none"/>
          <w:lang w:val="en-US" w:eastAsia="zh-CN"/>
        </w:rPr>
        <w:t>托里县化工产业园区基础设施建设相关规划及报告编制</w:t>
      </w:r>
      <w:r>
        <w:rPr>
          <w:rFonts w:hint="eastAsia" w:ascii="仿宋_GB2312" w:hAnsi="仿宋_GB2312" w:eastAsia="仿宋_GB2312" w:cs="仿宋_GB2312"/>
          <w:b w:val="0"/>
          <w:bCs w:val="0"/>
          <w:color w:val="auto"/>
          <w:highlight w:val="none"/>
        </w:rPr>
        <w:t>及其预算执行情况。该项目由</w:t>
      </w:r>
      <w:r>
        <w:rPr>
          <w:rFonts w:hint="eastAsia" w:ascii="仿宋_GB2312" w:hAnsi="仿宋_GB2312" w:eastAsia="仿宋_GB2312" w:cs="仿宋_GB2312"/>
          <w:b w:val="0"/>
          <w:bCs w:val="0"/>
          <w:color w:val="auto"/>
          <w:highlight w:val="none"/>
          <w:lang w:val="en-US" w:eastAsia="zh-CN"/>
        </w:rPr>
        <w:t>托里工业园区（金港区）管理</w:t>
      </w:r>
      <w:r>
        <w:rPr>
          <w:rFonts w:hint="eastAsia" w:ascii="仿宋_GB2312" w:hAnsi="仿宋_GB2312" w:eastAsia="仿宋_GB2312" w:cs="仿宋_GB2312"/>
          <w:b w:val="0"/>
          <w:bCs w:val="0"/>
          <w:color w:val="auto"/>
          <w:sz w:val="32"/>
          <w:highlight w:val="none"/>
          <w:lang w:val="en-US" w:eastAsia="zh-CN"/>
        </w:rPr>
        <w:t>委员会</w:t>
      </w:r>
      <w:r>
        <w:rPr>
          <w:rFonts w:hint="eastAsia" w:ascii="仿宋_GB2312" w:hAnsi="仿宋_GB2312" w:eastAsia="仿宋_GB2312" w:cs="仿宋_GB2312"/>
          <w:b w:val="0"/>
          <w:bCs w:val="0"/>
          <w:color w:val="auto"/>
          <w:highlight w:val="none"/>
        </w:rPr>
        <w:t>负责实施，旨在[</w:t>
      </w:r>
      <w:r>
        <w:rPr>
          <w:rFonts w:hint="eastAsia" w:ascii="仿宋_GB2312" w:hAnsi="仿宋_GB2312" w:eastAsia="仿宋_GB2312" w:cs="仿宋_GB2312"/>
          <w:b w:val="0"/>
          <w:bCs w:val="0"/>
          <w:color w:val="auto"/>
          <w:highlight w:val="none"/>
          <w:lang w:val="en-US" w:eastAsia="zh-CN"/>
        </w:rPr>
        <w:t>加快完成化工园区认定前各专项报告编制神格，作为化工园区认定的支撑性材料</w:t>
      </w:r>
      <w:r>
        <w:rPr>
          <w:rFonts w:hint="default" w:ascii="Times New Roman" w:hAnsi="Times New Roman" w:eastAsia="仿宋_GB2312" w:cs="Times New Roman"/>
          <w:b w:val="0"/>
          <w:bCs w:val="0"/>
          <w:color w:val="auto"/>
          <w:highlight w:val="none"/>
        </w:rPr>
        <w:t>。项目预算涵盖从</w:t>
      </w:r>
      <w:r>
        <w:rPr>
          <w:rFonts w:hint="eastAsia" w:ascii="Times New Roman" w:hAnsi="Times New Roman" w:eastAsia="仿宋_GB2312" w:cs="Times New Roman"/>
          <w:b w:val="0"/>
          <w:bCs w:val="0"/>
          <w:color w:val="auto"/>
          <w:highlight w:val="none"/>
          <w:lang w:val="en-US" w:eastAsia="zh-CN"/>
        </w:rPr>
        <w:t>2024年1月</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2024年9月</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35.8</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14:paraId="2D1BD7CC">
      <w:pPr>
        <w:pStyle w:val="9"/>
        <w:pageBreakBefore w:val="0"/>
        <w:widowControl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14:paraId="644C5BB2">
      <w:pPr>
        <w:pStyle w:val="9"/>
        <w:pageBreakBefore w:val="0"/>
        <w:widowControl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2AA208AB">
      <w:pPr>
        <w:pStyle w:val="9"/>
        <w:pageBreakBefore w:val="0"/>
        <w:widowControl w:val="0"/>
        <w:numPr>
          <w:ilvl w:val="0"/>
          <w:numId w:val="1"/>
        </w:numPr>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2776439F">
      <w:pPr>
        <w:pStyle w:val="9"/>
        <w:pageBreakBefore w:val="0"/>
        <w:widowControl w:val="0"/>
        <w:numPr>
          <w:ilvl w:val="0"/>
          <w:numId w:val="1"/>
        </w:numPr>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668C2022">
      <w:pPr>
        <w:pStyle w:val="9"/>
        <w:pageBreakBefore w:val="0"/>
        <w:widowControl w:val="0"/>
        <w:numPr>
          <w:ilvl w:val="0"/>
          <w:numId w:val="1"/>
        </w:numPr>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687BFCAF">
      <w:pPr>
        <w:pStyle w:val="9"/>
        <w:pageBreakBefore w:val="0"/>
        <w:widowControl w:val="0"/>
        <w:numPr>
          <w:ilvl w:val="0"/>
          <w:numId w:val="1"/>
        </w:numPr>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影响：考察项目对社会、经济等方面的综合影响。</w:t>
      </w:r>
      <w:bookmarkEnd w:id="2"/>
    </w:p>
    <w:p w14:paraId="4257512C">
      <w:pPr>
        <w:pageBreakBefore w:val="0"/>
        <w:shd w:val="clear"/>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14:paraId="0D762731">
      <w:pPr>
        <w:pStyle w:val="9"/>
        <w:pageBreakBefore w:val="0"/>
        <w:widowControl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bookmarkStart w:id="3" w:name="OLE_LINK4"/>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14:paraId="52D44624">
      <w:pPr>
        <w:pageBreakBefore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14:paraId="39E66C46">
      <w:pPr>
        <w:pStyle w:val="9"/>
        <w:pageBreakBefore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14:paraId="3740D15B">
      <w:pPr>
        <w:pStyle w:val="9"/>
        <w:pageBreakBefore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14:paraId="3CFBCA11">
      <w:pPr>
        <w:pStyle w:val="9"/>
        <w:pageBreakBefore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14:paraId="7FC415C1">
      <w:pPr>
        <w:pStyle w:val="9"/>
        <w:pageBreakBefore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14:paraId="38D4FD73">
      <w:pPr>
        <w:pStyle w:val="9"/>
        <w:pageBreakBefore w:val="0"/>
        <w:widowControl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14:paraId="3BD785F2">
      <w:pPr>
        <w:pageBreakBefore w:val="0"/>
        <w:shd w:val="clear"/>
        <w:kinsoku/>
        <w:wordWrap/>
        <w:overflowPunct/>
        <w:topLinePunct w:val="0"/>
        <w:autoSpaceDE/>
        <w:autoSpaceDN/>
        <w:bidi w:val="0"/>
        <w:adjustRightInd/>
        <w:snapToGrid/>
        <w:spacing w:line="600" w:lineRule="exact"/>
        <w:ind w:firstLine="708" w:firstLineChars="200"/>
        <w:jc w:val="both"/>
        <w:textAlignment w:val="auto"/>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085A7E2A">
      <w:pPr>
        <w:pageBreakBefore w:val="0"/>
        <w:shd w:val="clear"/>
        <w:kinsoku/>
        <w:wordWrap/>
        <w:overflowPunct/>
        <w:topLinePunct w:val="0"/>
        <w:autoSpaceDE/>
        <w:autoSpaceDN/>
        <w:bidi w:val="0"/>
        <w:adjustRightInd/>
        <w:snapToGrid/>
        <w:spacing w:line="60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14:paraId="5D2B73F9">
      <w:pPr>
        <w:pageBreakBefore w:val="0"/>
        <w:shd w:val="clear"/>
        <w:kinsoku/>
        <w:wordWrap/>
        <w:overflowPunct/>
        <w:topLinePunct w:val="0"/>
        <w:autoSpaceDE/>
        <w:autoSpaceDN/>
        <w:bidi w:val="0"/>
        <w:adjustRightInd/>
        <w:snapToGrid/>
        <w:spacing w:line="60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B3A8F53">
      <w:pPr>
        <w:pageBreakBefore w:val="0"/>
        <w:shd w:val="clear"/>
        <w:kinsoku/>
        <w:wordWrap/>
        <w:overflowPunct/>
        <w:topLinePunct w:val="0"/>
        <w:autoSpaceDE/>
        <w:autoSpaceDN/>
        <w:bidi w:val="0"/>
        <w:adjustRightInd/>
        <w:snapToGrid/>
        <w:spacing w:line="60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14:paraId="344FFB71">
      <w:pPr>
        <w:pageBreakBefore w:val="0"/>
        <w:shd w:val="clear"/>
        <w:kinsoku/>
        <w:wordWrap/>
        <w:overflowPunct/>
        <w:topLinePunct w:val="0"/>
        <w:autoSpaceDE/>
        <w:autoSpaceDN/>
        <w:bidi w:val="0"/>
        <w:adjustRightInd/>
        <w:snapToGrid/>
        <w:spacing w:line="60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3F326C60">
      <w:pPr>
        <w:pageBreakBefore w:val="0"/>
        <w:shd w:val="clear"/>
        <w:kinsoku/>
        <w:wordWrap/>
        <w:overflowPunct/>
        <w:topLinePunct w:val="0"/>
        <w:autoSpaceDE/>
        <w:autoSpaceDN/>
        <w:bidi w:val="0"/>
        <w:adjustRightInd/>
        <w:snapToGrid/>
        <w:spacing w:line="60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14:paraId="4E949AA7">
      <w:pPr>
        <w:pageBreakBefore w:val="0"/>
        <w:shd w:val="clear"/>
        <w:kinsoku/>
        <w:wordWrap/>
        <w:overflowPunct/>
        <w:topLinePunct w:val="0"/>
        <w:autoSpaceDE/>
        <w:autoSpaceDN/>
        <w:bidi w:val="0"/>
        <w:adjustRightInd/>
        <w:snapToGrid/>
        <w:spacing w:line="60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5A787851">
      <w:pPr>
        <w:pStyle w:val="9"/>
        <w:pageBreakBefore w:val="0"/>
        <w:shd w:val="clear"/>
        <w:kinsoku/>
        <w:wordWrap/>
        <w:overflowPunct/>
        <w:topLinePunct w:val="0"/>
        <w:autoSpaceDE/>
        <w:autoSpaceDN/>
        <w:bidi w:val="0"/>
        <w:adjustRightInd/>
        <w:snapToGrid/>
        <w:spacing w:before="0" w:after="0" w:line="600" w:lineRule="exact"/>
        <w:ind w:firstLine="708" w:firstLineChars="200"/>
        <w:jc w:val="both"/>
        <w:textAlignment w:val="auto"/>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14:paraId="5285EB57">
      <w:pPr>
        <w:pStyle w:val="9"/>
        <w:pageBreakBefore w:val="0"/>
        <w:widowControl w:val="0"/>
        <w:shd w:val="clear"/>
        <w:kinsoku/>
        <w:wordWrap/>
        <w:overflowPunct/>
        <w:topLinePunct w:val="0"/>
        <w:autoSpaceDE/>
        <w:autoSpaceDN/>
        <w:bidi w:val="0"/>
        <w:adjustRightInd/>
        <w:snapToGrid/>
        <w:spacing w:before="0" w:after="0" w:line="600" w:lineRule="exact"/>
        <w:ind w:firstLine="708" w:firstLineChars="200"/>
        <w:jc w:val="both"/>
        <w:textAlignment w:val="auto"/>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14:paraId="6581EB81">
      <w:pPr>
        <w:pStyle w:val="9"/>
        <w:pageBreakBefore w:val="0"/>
        <w:widowControl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14:paraId="59608489">
      <w:pPr>
        <w:pageBreakBefore w:val="0"/>
        <w:shd w:val="clear"/>
        <w:kinsoku/>
        <w:wordWrap/>
        <w:overflowPunct/>
        <w:topLinePunct w:val="0"/>
        <w:autoSpaceDE/>
        <w:autoSpaceDN/>
        <w:bidi w:val="0"/>
        <w:adjustRightInd/>
        <w:snapToGrid/>
        <w:spacing w:line="60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6321060A">
      <w:pPr>
        <w:pageBreakBefore w:val="0"/>
        <w:shd w:val="clear"/>
        <w:kinsoku/>
        <w:wordWrap/>
        <w:overflowPunct/>
        <w:topLinePunct w:val="0"/>
        <w:autoSpaceDE/>
        <w:autoSpaceDN/>
        <w:bidi w:val="0"/>
        <w:adjustRightInd/>
        <w:snapToGrid/>
        <w:spacing w:line="60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4E832545">
      <w:pPr>
        <w:pageBreakBefore w:val="0"/>
        <w:shd w:val="clear"/>
        <w:kinsoku/>
        <w:wordWrap/>
        <w:overflowPunct/>
        <w:topLinePunct w:val="0"/>
        <w:autoSpaceDE/>
        <w:autoSpaceDN/>
        <w:bidi w:val="0"/>
        <w:adjustRightInd/>
        <w:snapToGrid/>
        <w:spacing w:line="60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 xml:space="preserve">（一）成本效益分析法。是指将投入与产出、效益进行关联性分析的方法。 </w:t>
      </w:r>
    </w:p>
    <w:p w14:paraId="49B3E687">
      <w:pPr>
        <w:pageBreakBefore w:val="0"/>
        <w:shd w:val="clear"/>
        <w:kinsoku/>
        <w:wordWrap/>
        <w:overflowPunct/>
        <w:topLinePunct w:val="0"/>
        <w:autoSpaceDE/>
        <w:autoSpaceDN/>
        <w:bidi w:val="0"/>
        <w:adjustRightInd/>
        <w:snapToGrid/>
        <w:spacing w:line="60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（二）比较法。是指将实施情况与绩效目标、历史</w:t>
      </w:r>
      <w:bookmarkStart w:id="20" w:name="_GoBack"/>
      <w:bookmarkEnd w:id="20"/>
      <w:r>
        <w:rPr>
          <w:rFonts w:hint="default" w:ascii="Times New Roman" w:hAnsi="Times New Roman" w:eastAsia="仿宋_GB2312" w:cs="Times New Roman"/>
          <w:color w:val="auto"/>
          <w:spacing w:val="17"/>
          <w:sz w:val="32"/>
          <w:szCs w:val="32"/>
          <w:highlight w:val="none"/>
        </w:rPr>
        <w:t>情况、不同部门和地区同类支出情况进行比较的方法。</w:t>
      </w:r>
    </w:p>
    <w:p w14:paraId="48E47278">
      <w:pPr>
        <w:pageBreakBefore w:val="0"/>
        <w:shd w:val="clear"/>
        <w:kinsoku/>
        <w:wordWrap/>
        <w:overflowPunct/>
        <w:topLinePunct w:val="0"/>
        <w:autoSpaceDE/>
        <w:autoSpaceDN/>
        <w:bidi w:val="0"/>
        <w:adjustRightInd/>
        <w:snapToGrid/>
        <w:spacing w:line="60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（三）因素分析法。是指综合分析影响绩效目标实现、实施效果的内外部因素的方法。</w:t>
      </w:r>
    </w:p>
    <w:p w14:paraId="5B4A1B58">
      <w:pPr>
        <w:pageBreakBefore w:val="0"/>
        <w:shd w:val="clear"/>
        <w:kinsoku/>
        <w:wordWrap/>
        <w:overflowPunct/>
        <w:topLinePunct w:val="0"/>
        <w:autoSpaceDE/>
        <w:autoSpaceDN/>
        <w:bidi w:val="0"/>
        <w:adjustRightInd/>
        <w:snapToGrid/>
        <w:spacing w:line="60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（四）最低成本法。是指在绩效目标确定的前提下，成本最小者为优的方法。</w:t>
      </w:r>
    </w:p>
    <w:p w14:paraId="4D28428E">
      <w:pPr>
        <w:pageBreakBefore w:val="0"/>
        <w:shd w:val="clear"/>
        <w:kinsoku/>
        <w:wordWrap/>
        <w:overflowPunct/>
        <w:topLinePunct w:val="0"/>
        <w:autoSpaceDE/>
        <w:autoSpaceDN/>
        <w:bidi w:val="0"/>
        <w:adjustRightInd/>
        <w:snapToGrid/>
        <w:spacing w:line="60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（五）公众评判法。是指通过专家评估、公众问卷及抽样调查等方式进行评判的方法。</w:t>
      </w:r>
    </w:p>
    <w:p w14:paraId="52C01329">
      <w:pPr>
        <w:pageBreakBefore w:val="0"/>
        <w:shd w:val="clear"/>
        <w:kinsoku/>
        <w:wordWrap/>
        <w:overflowPunct/>
        <w:topLinePunct w:val="0"/>
        <w:autoSpaceDE/>
        <w:autoSpaceDN/>
        <w:bidi w:val="0"/>
        <w:adjustRightInd/>
        <w:snapToGrid/>
        <w:spacing w:line="60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（六）标杆管理法。是指以国内外同行业中较高的绩效水平为标杆进行评判的方法。</w:t>
      </w:r>
    </w:p>
    <w:p w14:paraId="6235041C">
      <w:pPr>
        <w:pageBreakBefore w:val="0"/>
        <w:shd w:val="clear"/>
        <w:kinsoku/>
        <w:wordWrap/>
        <w:overflowPunct/>
        <w:topLinePunct w:val="0"/>
        <w:autoSpaceDE/>
        <w:autoSpaceDN/>
        <w:bidi w:val="0"/>
        <w:adjustRightInd/>
        <w:snapToGrid/>
        <w:spacing w:line="60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（七）其他评价方法。</w:t>
      </w:r>
    </w:p>
    <w:p w14:paraId="1A239536">
      <w:pPr>
        <w:pStyle w:val="9"/>
        <w:pageBreakBefore w:val="0"/>
        <w:widowControl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14:paraId="18A6EFB8">
      <w:pPr>
        <w:pStyle w:val="9"/>
        <w:pageBreakBefore w:val="0"/>
        <w:widowControl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成本效益分析法</w:t>
      </w:r>
      <w:r>
        <w:rPr>
          <w:rFonts w:hint="default" w:ascii="Times New Roman" w:hAnsi="Times New Roman" w:eastAsia="仿宋_GB2312" w:cs="Times New Roman"/>
          <w:b w:val="0"/>
          <w:bCs w:val="0"/>
          <w:color w:val="auto"/>
          <w:highlight w:val="none"/>
        </w:rPr>
        <w:t>标准。</w:t>
      </w:r>
    </w:p>
    <w:p w14:paraId="5E8B9F86">
      <w:pPr>
        <w:pStyle w:val="9"/>
        <w:pageBreakBefore w:val="0"/>
        <w:widowControl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1</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计划标准。指以预先制定的目标、计划、预算、定额等作为评价标准。</w:t>
      </w:r>
    </w:p>
    <w:p w14:paraId="36746BCA">
      <w:pPr>
        <w:pStyle w:val="9"/>
        <w:pageBreakBefore w:val="0"/>
        <w:widowControl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2</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行业标准。指参照国家公布的行业指标数据制定的评价标准。</w:t>
      </w:r>
    </w:p>
    <w:p w14:paraId="16886193">
      <w:pPr>
        <w:pStyle w:val="9"/>
        <w:pageBreakBefore w:val="0"/>
        <w:widowControl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历史标准。指参照历史数据制定的评价标准，为体现绩效改进的原则，在可实现的条件下应当确定相对较高的评价标准。</w:t>
      </w:r>
    </w:p>
    <w:p w14:paraId="051986DE">
      <w:pPr>
        <w:pStyle w:val="9"/>
        <w:pageBreakBefore w:val="0"/>
        <w:widowControl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财政部门和预算部门确认或认可的其他标准。</w:t>
      </w:r>
      <w:bookmarkEnd w:id="3"/>
    </w:p>
    <w:p w14:paraId="4960D16A">
      <w:pPr>
        <w:pStyle w:val="9"/>
        <w:pageBreakBefore w:val="0"/>
        <w:numPr>
          <w:ilvl w:val="0"/>
          <w:numId w:val="2"/>
        </w:numPr>
        <w:shd w:val="clear"/>
        <w:kinsoku/>
        <w:wordWrap/>
        <w:overflowPunct/>
        <w:topLinePunct w:val="0"/>
        <w:autoSpaceDE/>
        <w:autoSpaceDN/>
        <w:bidi w:val="0"/>
        <w:adjustRightInd/>
        <w:snapToGrid/>
        <w:spacing w:before="0" w:after="0" w:line="600" w:lineRule="exact"/>
        <w:ind w:firstLine="711" w:firstLineChars="200"/>
        <w:jc w:val="both"/>
        <w:textAlignment w:val="auto"/>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14:paraId="3403337A">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bookmarkStart w:id="4" w:name="OLE_LINK5"/>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14:paraId="28CC34FD">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468E51C0">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7CB782D2">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5231E583">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0825E3BB">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7E3A8DD2">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4DA692C5">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4C713140">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38907D48">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76FA693B">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4BC6A7A6">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bookmarkEnd w:id="4"/>
    </w:p>
    <w:p w14:paraId="7AB18133">
      <w:pPr>
        <w:pageBreakBefore w:val="0"/>
        <w:numPr>
          <w:ilvl w:val="0"/>
          <w:numId w:val="3"/>
        </w:numPr>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w:t>
      </w:r>
      <w:r>
        <w:rPr>
          <w:rFonts w:hint="default" w:ascii="Times New Roman" w:hAnsi="Times New Roman" w:eastAsia="黑体" w:cs="Times New Roman"/>
          <w:color w:val="auto"/>
          <w:sz w:val="32"/>
          <w:szCs w:val="32"/>
          <w:highlight w:val="none"/>
        </w:rPr>
        <w:t>相关评分表）</w:t>
      </w:r>
    </w:p>
    <w:p w14:paraId="46CD15F0">
      <w:pPr>
        <w:pStyle w:val="9"/>
        <w:keepNext w:val="0"/>
        <w:keepLines w:val="0"/>
        <w:pageBreakBefore w:val="0"/>
        <w:widowControl/>
        <w:shd w:val="clear"/>
        <w:kinsoku/>
        <w:wordWrap/>
        <w:overflowPunct/>
        <w:topLinePunct w:val="0"/>
        <w:autoSpaceDE/>
        <w:autoSpaceDN/>
        <w:bidi w:val="0"/>
        <w:adjustRightInd/>
        <w:snapToGrid/>
        <w:spacing w:before="0" w:after="0" w:line="60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bookmarkStart w:id="5" w:name="OLE_LINK7"/>
      <w:bookmarkStart w:id="6" w:name="OLE_LINK6"/>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14:paraId="6B8297EA">
      <w:pPr>
        <w:pStyle w:val="8"/>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eastAsia="仿宋_GB2312" w:cs="Times New Roman"/>
          <w:color w:val="auto"/>
          <w:sz w:val="32"/>
          <w:szCs w:val="32"/>
          <w:highlight w:val="none"/>
          <w:lang w:val="en-US" w:eastAsia="zh-CN"/>
        </w:rPr>
        <w:t>托里县化工产业园区基础设施专项规划及报告编制</w:t>
      </w:r>
      <w:r>
        <w:rPr>
          <w:rFonts w:hint="default" w:ascii="Times New Roman" w:hAnsi="Times New Roman" w:eastAsia="仿宋_GB2312" w:cs="Times New Roman"/>
          <w:color w:val="auto"/>
          <w:sz w:val="32"/>
          <w:szCs w:val="32"/>
          <w:highlight w:val="none"/>
        </w:rPr>
        <w:t>在</w:t>
      </w:r>
      <w:r>
        <w:rPr>
          <w:rFonts w:hint="eastAsia" w:eastAsia="仿宋_GB2312" w:cs="Times New Roman"/>
          <w:color w:val="auto"/>
          <w:sz w:val="32"/>
          <w:szCs w:val="32"/>
          <w:highlight w:val="none"/>
          <w:lang w:val="en-US" w:eastAsia="zh-CN"/>
        </w:rPr>
        <w:t>化工园区认定前期工作</w:t>
      </w:r>
      <w:r>
        <w:rPr>
          <w:rFonts w:hint="default" w:ascii="Times New Roman" w:hAnsi="Times New Roman" w:eastAsia="仿宋_GB2312" w:cs="Times New Roman"/>
          <w:color w:val="auto"/>
          <w:sz w:val="32"/>
          <w:szCs w:val="32"/>
          <w:highlight w:val="none"/>
        </w:rPr>
        <w:t>等方面表现出色，达到了预期的标准与要求。同时，项目也在</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化工园区认证过程中进行专业性支撑方面</w:t>
      </w:r>
      <w:r>
        <w:rPr>
          <w:rFonts w:hint="default" w:ascii="Times New Roman" w:hAnsi="Times New Roman" w:eastAsia="仿宋_GB2312" w:cs="Times New Roman"/>
          <w:color w:val="auto"/>
          <w:sz w:val="32"/>
          <w:szCs w:val="32"/>
          <w:highlight w:val="none"/>
        </w:rPr>
        <w:t>取得了显著的成效，如</w:t>
      </w:r>
      <w:r>
        <w:rPr>
          <w:rFonts w:hint="eastAsia" w:eastAsia="仿宋_GB2312" w:cs="Times New Roman"/>
          <w:color w:val="auto"/>
          <w:sz w:val="32"/>
          <w:szCs w:val="32"/>
          <w:highlight w:val="none"/>
          <w:lang w:val="en-US" w:eastAsia="zh-CN"/>
        </w:rPr>
        <w:t>总规环评按照要求上报塔城地区生态环境局并通过专家评审取得审查意见</w:t>
      </w:r>
      <w:r>
        <w:rPr>
          <w:rFonts w:hint="default" w:ascii="Times New Roman" w:hAnsi="Times New Roman" w:eastAsia="仿宋_GB2312" w:cs="Times New Roman"/>
          <w:color w:val="auto"/>
          <w:sz w:val="32"/>
          <w:szCs w:val="32"/>
          <w:highlight w:val="none"/>
        </w:rPr>
        <w:t>等。</w:t>
      </w:r>
    </w:p>
    <w:p w14:paraId="41890F92">
      <w:pPr>
        <w:pStyle w:val="8"/>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val="en-US" w:eastAsia="zh-CN"/>
        </w:rPr>
        <w:t>托里工业园区（金港区）管理委员会</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5E01B196">
      <w:pPr>
        <w:pStyle w:val="8"/>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w:t>
      </w:r>
      <w:r>
        <w:rPr>
          <w:rFonts w:hint="eastAsia" w:eastAsia="仿宋_GB2312" w:cs="Times New Roman"/>
          <w:color w:val="auto"/>
          <w:sz w:val="32"/>
          <w:szCs w:val="32"/>
          <w:highlight w:val="none"/>
          <w:lang w:val="en-US" w:eastAsia="zh-CN"/>
        </w:rPr>
        <w:t>经济效益</w:t>
      </w:r>
      <w:r>
        <w:rPr>
          <w:rFonts w:hint="default" w:ascii="Times New Roman" w:hAnsi="Times New Roman" w:eastAsia="仿宋_GB2312" w:cs="Times New Roman"/>
          <w:color w:val="auto"/>
          <w:sz w:val="32"/>
          <w:szCs w:val="32"/>
          <w:highlight w:val="none"/>
        </w:rPr>
        <w:t>等方面产生了积极的影响。具体而言，</w:t>
      </w:r>
      <w:r>
        <w:rPr>
          <w:rFonts w:hint="eastAsia" w:eastAsia="仿宋_GB2312" w:cs="Times New Roman"/>
          <w:color w:val="auto"/>
          <w:sz w:val="32"/>
          <w:szCs w:val="32"/>
          <w:highlight w:val="none"/>
          <w:lang w:val="en-US" w:eastAsia="zh-CN"/>
        </w:rPr>
        <w:t>在化工园区总体规划、总规环评专项规划编制中以专业性角度提供专业性支撑</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70CDA26E">
      <w:pPr>
        <w:pStyle w:val="8"/>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eastAsia="仿宋_GB2312" w:cs="Times New Roman"/>
          <w:color w:val="auto"/>
          <w:sz w:val="32"/>
          <w:szCs w:val="32"/>
          <w:highlight w:val="none"/>
          <w:lang w:val="en-US" w:eastAsia="zh-CN"/>
        </w:rPr>
        <w:t>托里县化工产业园区基础设施专项规划及报告编制</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14:paraId="78BF2A80">
      <w:pPr>
        <w:pStyle w:val="9"/>
        <w:keepNext w:val="0"/>
        <w:keepLines w:val="0"/>
        <w:pageBreakBefore w:val="0"/>
        <w:widowControl/>
        <w:shd w:val="clear"/>
        <w:kinsoku/>
        <w:wordWrap/>
        <w:overflowPunct/>
        <w:topLinePunct w:val="0"/>
        <w:autoSpaceDE/>
        <w:autoSpaceDN/>
        <w:bidi w:val="0"/>
        <w:adjustRightInd/>
        <w:snapToGrid/>
        <w:spacing w:before="0" w:after="0" w:line="60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14:paraId="7462D645">
      <w:pPr>
        <w:pStyle w:val="9"/>
        <w:pageBreakBefore w:val="0"/>
        <w:widowControl w:val="0"/>
        <w:shd w:val="clear"/>
        <w:kinsoku/>
        <w:wordWrap/>
        <w:overflowPunct/>
        <w:topLinePunct w:val="0"/>
        <w:autoSpaceDE/>
        <w:autoSpaceDN/>
        <w:bidi w:val="0"/>
        <w:adjustRightInd/>
        <w:snapToGrid/>
        <w:spacing w:before="0" w:after="0" w:line="60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color w:val="auto"/>
          <w:highlight w:val="none"/>
        </w:rPr>
        <w:t xml:space="preserve">总得分为 </w:t>
      </w:r>
      <w:r>
        <w:rPr>
          <w:rFonts w:hint="eastAsia" w:ascii="Times New Roman" w:hAnsi="Times New Roman" w:eastAsia="仿宋_GB2312" w:cs="Times New Roman"/>
          <w:b w:val="0"/>
          <w:bCs w:val="0"/>
          <w:color w:val="auto"/>
          <w:highlight w:val="none"/>
          <w:lang w:val="en-US" w:eastAsia="zh-CN"/>
        </w:rPr>
        <w:t>95</w:t>
      </w:r>
      <w:r>
        <w:rPr>
          <w:rFonts w:hint="default" w:ascii="Times New Roman" w:hAnsi="Times New Roman" w:eastAsia="仿宋_GB2312" w:cs="Times New Roman"/>
          <w:b w:val="0"/>
          <w:bCs w:val="0"/>
          <w:color w:val="auto"/>
          <w:highlight w:val="none"/>
        </w:rPr>
        <w:t xml:space="preserve">分，属于“优”。其中，项目决策类指标权重为20分，得分为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15</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75</w:t>
      </w:r>
      <w:r>
        <w:rPr>
          <w:rFonts w:hint="default" w:ascii="Times New Roman" w:hAnsi="Times New Roman" w:eastAsia="仿宋_GB2312" w:cs="Times New Roman"/>
          <w:b w:val="0"/>
          <w:bCs w:val="0"/>
          <w:color w:val="auto"/>
          <w:highlight w:val="none"/>
        </w:rPr>
        <w:t>%。</w:t>
      </w:r>
      <w:bookmarkEnd w:id="5"/>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14:paraId="1C20367A">
      <w:pPr>
        <w:pStyle w:val="9"/>
        <w:keepNext w:val="0"/>
        <w:keepLines w:val="0"/>
        <w:pageBreakBefore w:val="0"/>
        <w:widowControl/>
        <w:shd w:val="clear"/>
        <w:kinsoku/>
        <w:wordWrap/>
        <w:overflowPunct/>
        <w:topLinePunct w:val="0"/>
        <w:autoSpaceDE/>
        <w:autoSpaceDN/>
        <w:bidi w:val="0"/>
        <w:adjustRightInd/>
        <w:snapToGrid/>
        <w:spacing w:before="0" w:after="0" w:line="600" w:lineRule="exact"/>
        <w:jc w:val="both"/>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2"/>
        <w:tblW w:w="8760" w:type="dxa"/>
        <w:jc w:val="center"/>
        <w:tblLayout w:type="fixed"/>
        <w:tblCellMar>
          <w:top w:w="0" w:type="dxa"/>
          <w:left w:w="108" w:type="dxa"/>
          <w:bottom w:w="0" w:type="dxa"/>
          <w:right w:w="108" w:type="dxa"/>
        </w:tblCellMar>
      </w:tblPr>
      <w:tblGrid>
        <w:gridCol w:w="2787"/>
        <w:gridCol w:w="1927"/>
        <w:gridCol w:w="2023"/>
        <w:gridCol w:w="2023"/>
      </w:tblGrid>
      <w:tr w14:paraId="4760B933">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vAlign w:val="center"/>
          </w:tcPr>
          <w:p w14:paraId="72A53B34">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vAlign w:val="center"/>
          </w:tcPr>
          <w:p w14:paraId="3AF8EA24">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13B8E1E1">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1AC2063D">
            <w:pPr>
              <w:pageBreakBefore w:val="0"/>
              <w:shd w:val="clear"/>
              <w:kinsoku/>
              <w:wordWrap/>
              <w:overflowPunct/>
              <w:topLinePunct w:val="0"/>
              <w:autoSpaceDE/>
              <w:autoSpaceDN/>
              <w:bidi w:val="0"/>
              <w:adjustRightInd/>
              <w:snapToGrid/>
              <w:spacing w:line="600" w:lineRule="exact"/>
              <w:jc w:val="both"/>
              <w:textAlignment w:val="auto"/>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14:paraId="4840575F">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4640A7B">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40CA4B5F">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F343A97">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2A85051">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56624338">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F8F07DC">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3F186A0C">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D957E46">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88CE2E8">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0CC4A6D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710B9F7">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7899D468">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0E197AB2">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3813D123">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4683C24F">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FF4A340">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6ADB435F">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249EA42">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15</w:t>
            </w:r>
          </w:p>
        </w:tc>
        <w:tc>
          <w:tcPr>
            <w:tcW w:w="2023" w:type="dxa"/>
            <w:tcBorders>
              <w:top w:val="nil"/>
              <w:left w:val="nil"/>
              <w:bottom w:val="single" w:color="auto" w:sz="4" w:space="0"/>
              <w:right w:val="single" w:color="auto" w:sz="4" w:space="0"/>
            </w:tcBorders>
            <w:shd w:val="clear" w:color="auto" w:fill="auto"/>
            <w:vAlign w:val="center"/>
          </w:tcPr>
          <w:p w14:paraId="10041539">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75%</w:t>
            </w:r>
          </w:p>
        </w:tc>
      </w:tr>
      <w:tr w14:paraId="556A33F0">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6A67B27">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72CDD5B1">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45F8BB1A">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95</w:t>
            </w:r>
          </w:p>
        </w:tc>
        <w:tc>
          <w:tcPr>
            <w:tcW w:w="2023" w:type="dxa"/>
            <w:tcBorders>
              <w:top w:val="nil"/>
              <w:left w:val="nil"/>
              <w:bottom w:val="single" w:color="auto" w:sz="4" w:space="0"/>
              <w:right w:val="single" w:color="auto" w:sz="4" w:space="0"/>
            </w:tcBorders>
            <w:shd w:val="clear" w:color="auto" w:fill="auto"/>
            <w:vAlign w:val="center"/>
          </w:tcPr>
          <w:p w14:paraId="42CD15B6">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bCs/>
                <w:color w:val="auto"/>
                <w:sz w:val="21"/>
                <w:szCs w:val="21"/>
                <w:highlight w:val="none"/>
              </w:rPr>
            </w:pPr>
            <w:r>
              <w:rPr>
                <w:rFonts w:hint="eastAsia" w:eastAsia="仿宋_GB2312" w:cs="Times New Roman"/>
                <w:color w:val="auto"/>
                <w:sz w:val="21"/>
                <w:szCs w:val="21"/>
                <w:highlight w:val="none"/>
                <w:lang w:val="en-US" w:eastAsia="zh-CN"/>
              </w:rPr>
              <w:t>75%</w:t>
            </w:r>
            <w:bookmarkEnd w:id="6"/>
          </w:p>
        </w:tc>
      </w:tr>
    </w:tbl>
    <w:p w14:paraId="32385DE0">
      <w:pPr>
        <w:pageBreakBefore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14:paraId="20A72BB1">
      <w:pPr>
        <w:pStyle w:val="9"/>
        <w:pageBreakBefore w:val="0"/>
        <w:shd w:val="clear"/>
        <w:kinsoku/>
        <w:wordWrap/>
        <w:overflowPunct/>
        <w:topLinePunct w:val="0"/>
        <w:autoSpaceDE/>
        <w:autoSpaceDN/>
        <w:bidi w:val="0"/>
        <w:adjustRightInd/>
        <w:snapToGrid/>
        <w:spacing w:before="0" w:after="0" w:line="600" w:lineRule="exact"/>
        <w:ind w:firstLine="643" w:firstLineChars="200"/>
        <w:jc w:val="both"/>
        <w:textAlignment w:val="auto"/>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14:paraId="3B141064">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bookmarkStart w:id="7" w:name="OLE_LINK8"/>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4081C1BF">
      <w:pPr>
        <w:pStyle w:val="20"/>
        <w:keepNext w:val="0"/>
        <w:keepLines w:val="0"/>
        <w:pageBreakBefore w:val="0"/>
        <w:widowControl w:val="0"/>
        <w:shd w:val="clear" w:color="auto"/>
        <w:kinsoku/>
        <w:wordWrap/>
        <w:overflowPunct/>
        <w:topLinePunct w:val="0"/>
        <w:autoSpaceDE/>
        <w:autoSpaceDN/>
        <w:bidi w:val="0"/>
        <w:adjustRightInd/>
        <w:snapToGrid/>
        <w:spacing w:line="600" w:lineRule="exact"/>
        <w:ind w:left="0" w:leftChars="0" w:firstLine="640" w:firstLineChars="0"/>
        <w:jc w:val="both"/>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14:paraId="21DC6917">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14:paraId="2F554245">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3C2FB64A">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14:paraId="249CA470">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7DC777EA">
      <w:pPr>
        <w:pStyle w:val="20"/>
        <w:keepNext w:val="0"/>
        <w:keepLines w:val="0"/>
        <w:pageBreakBefore w:val="0"/>
        <w:widowControl w:val="0"/>
        <w:shd w:val="clear" w:color="auto"/>
        <w:kinsoku/>
        <w:wordWrap/>
        <w:overflowPunct/>
        <w:topLinePunct w:val="0"/>
        <w:autoSpaceDE/>
        <w:autoSpaceDN/>
        <w:bidi w:val="0"/>
        <w:adjustRightInd/>
        <w:snapToGrid/>
        <w:spacing w:line="600" w:lineRule="exact"/>
        <w:ind w:left="0" w:leftChars="0" w:firstLine="640" w:firstLineChars="0"/>
        <w:jc w:val="both"/>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14:paraId="3F44B747">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14:paraId="4277F9B8">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A13E8B1">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14:paraId="45DFC7E3">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7A27B39E">
      <w:pPr>
        <w:pStyle w:val="20"/>
        <w:keepNext w:val="0"/>
        <w:keepLines w:val="0"/>
        <w:pageBreakBefore w:val="0"/>
        <w:widowControl w:val="0"/>
        <w:shd w:val="clear" w:color="auto"/>
        <w:kinsoku/>
        <w:wordWrap/>
        <w:overflowPunct/>
        <w:topLinePunct w:val="0"/>
        <w:autoSpaceDE/>
        <w:autoSpaceDN/>
        <w:bidi w:val="0"/>
        <w:adjustRightInd/>
        <w:snapToGrid/>
        <w:spacing w:line="600" w:lineRule="exact"/>
        <w:ind w:left="0" w:leftChars="0" w:firstLine="640" w:firstLineChars="0"/>
        <w:jc w:val="both"/>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14:paraId="46B16B95">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14:paraId="3A6EA813">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B94F400">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A181AF0">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212FB4E5">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0E9E557D">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52FF14B2">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bookmarkEnd w:id="7"/>
    </w:p>
    <w:p w14:paraId="45369DE8">
      <w:pPr>
        <w:pStyle w:val="9"/>
        <w:pageBreakBefore w:val="0"/>
        <w:numPr>
          <w:ilvl w:val="0"/>
          <w:numId w:val="4"/>
        </w:numPr>
        <w:shd w:val="clear"/>
        <w:kinsoku/>
        <w:wordWrap/>
        <w:overflowPunct/>
        <w:topLinePunct w:val="0"/>
        <w:autoSpaceDE/>
        <w:autoSpaceDN/>
        <w:bidi w:val="0"/>
        <w:adjustRightInd/>
        <w:snapToGrid/>
        <w:spacing w:before="0" w:after="0" w:line="600" w:lineRule="exact"/>
        <w:ind w:firstLine="643" w:firstLineChars="200"/>
        <w:jc w:val="both"/>
        <w:textAlignment w:val="auto"/>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14:paraId="0EF74100">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bookmarkStart w:id="8" w:name="OLE_LINK9"/>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0186DCDE">
      <w:pPr>
        <w:pStyle w:val="20"/>
        <w:keepNext w:val="0"/>
        <w:keepLines w:val="0"/>
        <w:pageBreakBefore w:val="0"/>
        <w:widowControl w:val="0"/>
        <w:shd w:val="clear" w:color="auto"/>
        <w:kinsoku/>
        <w:wordWrap/>
        <w:overflowPunct/>
        <w:topLinePunct w:val="0"/>
        <w:autoSpaceDE/>
        <w:autoSpaceDN/>
        <w:bidi w:val="0"/>
        <w:adjustRightInd/>
        <w:snapToGrid/>
        <w:spacing w:line="600" w:lineRule="exact"/>
        <w:ind w:left="0" w:leftChars="0" w:firstLine="640" w:firstLineChars="0"/>
        <w:jc w:val="both"/>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14:paraId="5E55F894">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14:paraId="5C551762">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35.8</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4500818D">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2DBEDD9B">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35.8</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28A38C18">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14:paraId="287B9C8F">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78C19873">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04BF8B3D">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6F0E9FC4">
      <w:pPr>
        <w:pStyle w:val="20"/>
        <w:keepNext w:val="0"/>
        <w:keepLines w:val="0"/>
        <w:pageBreakBefore w:val="0"/>
        <w:widowControl w:val="0"/>
        <w:shd w:val="clear" w:color="auto"/>
        <w:kinsoku/>
        <w:wordWrap/>
        <w:overflowPunct/>
        <w:topLinePunct w:val="0"/>
        <w:autoSpaceDE/>
        <w:autoSpaceDN/>
        <w:bidi w:val="0"/>
        <w:adjustRightInd/>
        <w:snapToGrid/>
        <w:spacing w:line="600" w:lineRule="exact"/>
        <w:ind w:left="0" w:leftChars="0" w:firstLine="640" w:firstLineChars="0"/>
        <w:jc w:val="both"/>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7B6AE0BA">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14:paraId="62A49EE7">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6FF8B6A9">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2FF4D41E">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5F5C35F4">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2AE732F2">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14:paraId="21FE5136">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14:paraId="0644B0B5">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w:t>
      </w:r>
      <w:r>
        <w:rPr>
          <w:rFonts w:hint="default" w:ascii="Times New Roman" w:hAnsi="Times New Roman" w:eastAsia="仿宋_GB2312" w:cs="Times New Roman"/>
          <w:color w:val="auto"/>
          <w:sz w:val="32"/>
          <w:szCs w:val="32"/>
          <w:highlight w:val="none"/>
          <w:lang w:eastAsia="zh-CN"/>
        </w:rPr>
        <w:t>要求进行操作。同时，我们还建立了有效的沟通机制与反馈机制，确保项目信息的及时传递与问题的及时解决，进一步提高了制度执行的效率与效果。</w:t>
      </w:r>
    </w:p>
    <w:p w14:paraId="1FE11162">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bookmarkEnd w:id="8"/>
    </w:p>
    <w:p w14:paraId="121A549A">
      <w:pPr>
        <w:pStyle w:val="10"/>
        <w:pageBreakBefore w:val="0"/>
        <w:numPr>
          <w:ilvl w:val="0"/>
          <w:numId w:val="4"/>
        </w:numPr>
        <w:shd w:val="clear"/>
        <w:kinsoku/>
        <w:wordWrap/>
        <w:overflowPunct/>
        <w:topLinePunct w:val="0"/>
        <w:autoSpaceDE/>
        <w:autoSpaceDN/>
        <w:bidi w:val="0"/>
        <w:adjustRightInd/>
        <w:snapToGrid/>
        <w:spacing w:after="0" w:line="600" w:lineRule="exact"/>
        <w:ind w:firstLine="643"/>
        <w:jc w:val="both"/>
        <w:textAlignment w:val="auto"/>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p>
    <w:p w14:paraId="7AA64A27">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bookmarkStart w:id="9" w:name="OLE_LINK14"/>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14:paraId="669498F8">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01BD5F3B">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bookmarkStart w:id="10" w:name="OLE_LINK11"/>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专项报告数量</w:t>
      </w:r>
      <w:r>
        <w:rPr>
          <w:rFonts w:hint="default" w:ascii="Times New Roman" w:hAnsi="Times New Roman" w:eastAsia="仿宋_GB2312" w:cs="Times New Roman"/>
          <w:color w:val="auto"/>
          <w:sz w:val="32"/>
          <w:szCs w:val="32"/>
          <w:highlight w:val="none"/>
        </w:rPr>
        <w:t xml:space="preserve"> ，指标值：</w:t>
      </w:r>
      <w:r>
        <w:rPr>
          <w:rFonts w:hint="eastAsia" w:eastAsia="仿宋_GB2312" w:cs="Times New Roman"/>
          <w:color w:val="auto"/>
          <w:sz w:val="32"/>
          <w:szCs w:val="32"/>
          <w:highlight w:val="none"/>
          <w:lang w:val="en-US" w:eastAsia="zh-CN"/>
        </w:rPr>
        <w:t>≥</w:t>
      </w:r>
      <w:bookmarkStart w:id="11" w:name="OLE_LINK10"/>
      <w:r>
        <w:rPr>
          <w:rFonts w:hint="eastAsia" w:eastAsia="仿宋_GB2312" w:cs="Times New Roman"/>
          <w:color w:val="auto"/>
          <w:sz w:val="32"/>
          <w:szCs w:val="32"/>
          <w:highlight w:val="none"/>
          <w:lang w:val="en-US" w:eastAsia="zh-CN"/>
        </w:rPr>
        <w:t>1个</w:t>
      </w:r>
      <w:bookmarkEnd w:id="11"/>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1个</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，偏差原因：</w:t>
      </w:r>
      <w:r>
        <w:rPr>
          <w:rFonts w:hint="eastAsia" w:eastAsia="仿宋_GB2312" w:cs="Times New Roman"/>
          <w:color w:val="auto"/>
          <w:sz w:val="32"/>
          <w:szCs w:val="32"/>
          <w:highlight w:val="none"/>
          <w:lang w:val="en-US" w:eastAsia="zh-CN"/>
        </w:rPr>
        <w:t>无</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改进措施：无</w:t>
      </w:r>
      <w:r>
        <w:rPr>
          <w:rFonts w:hint="default" w:ascii="Times New Roman" w:hAnsi="Times New Roman" w:eastAsia="仿宋_GB2312" w:cs="Times New Roman"/>
          <w:color w:val="auto"/>
          <w:sz w:val="32"/>
          <w:szCs w:val="32"/>
          <w:highlight w:val="none"/>
          <w:lang w:eastAsia="zh-CN"/>
        </w:rPr>
        <w:t>。</w:t>
      </w:r>
      <w:bookmarkEnd w:id="10"/>
    </w:p>
    <w:p w14:paraId="2617EF4A">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14:paraId="08B07D22">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eastAsia="zh-CN"/>
        </w:rPr>
      </w:pPr>
      <w:bookmarkStart w:id="12" w:name="OLE_LINK13"/>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报告内容完整性</w:t>
      </w:r>
      <w:r>
        <w:rPr>
          <w:rFonts w:hint="default" w:ascii="Times New Roman" w:hAnsi="Times New Roman" w:eastAsia="仿宋_GB2312" w:cs="Times New Roman"/>
          <w:color w:val="auto"/>
          <w:sz w:val="32"/>
          <w:szCs w:val="32"/>
          <w:highlight w:val="none"/>
        </w:rPr>
        <w:t xml:space="preserve"> ，指标值：</w:t>
      </w:r>
      <w:r>
        <w:rPr>
          <w:rFonts w:hint="eastAsia" w:eastAsia="仿宋_GB2312" w:cs="Times New Roman"/>
          <w:color w:val="auto"/>
          <w:sz w:val="32"/>
          <w:szCs w:val="32"/>
          <w:highlight w:val="none"/>
          <w:lang w:val="en-US" w:eastAsia="zh-CN"/>
        </w:rPr>
        <w:t>＝</w:t>
      </w:r>
      <w:bookmarkStart w:id="13" w:name="OLE_LINK12"/>
      <w:r>
        <w:rPr>
          <w:rFonts w:hint="eastAsia" w:eastAsia="仿宋_GB2312" w:cs="Times New Roman"/>
          <w:color w:val="auto"/>
          <w:sz w:val="32"/>
          <w:szCs w:val="32"/>
          <w:highlight w:val="none"/>
          <w:lang w:val="en-US" w:eastAsia="zh-CN"/>
        </w:rPr>
        <w:t>100%</w:t>
      </w:r>
      <w:bookmarkEnd w:id="13"/>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，偏差原因：</w:t>
      </w:r>
      <w:r>
        <w:rPr>
          <w:rFonts w:hint="eastAsia" w:eastAsia="仿宋_GB2312" w:cs="Times New Roman"/>
          <w:color w:val="auto"/>
          <w:sz w:val="32"/>
          <w:szCs w:val="32"/>
          <w:highlight w:val="none"/>
          <w:lang w:val="en-US" w:eastAsia="zh-CN"/>
        </w:rPr>
        <w:t>无</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改进措施：无</w:t>
      </w:r>
      <w:r>
        <w:rPr>
          <w:rFonts w:hint="default" w:ascii="Times New Roman" w:hAnsi="Times New Roman" w:eastAsia="仿宋_GB2312" w:cs="Times New Roman"/>
          <w:color w:val="auto"/>
          <w:sz w:val="32"/>
          <w:szCs w:val="32"/>
          <w:highlight w:val="none"/>
          <w:lang w:eastAsia="zh-CN"/>
        </w:rPr>
        <w:t>。</w:t>
      </w:r>
      <w:bookmarkEnd w:id="12"/>
    </w:p>
    <w:p w14:paraId="582AF5D9">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资金使用合规性</w:t>
      </w:r>
      <w:r>
        <w:rPr>
          <w:rFonts w:hint="default" w:ascii="Times New Roman" w:hAnsi="Times New Roman" w:eastAsia="仿宋_GB2312" w:cs="Times New Roman"/>
          <w:color w:val="auto"/>
          <w:sz w:val="32"/>
          <w:szCs w:val="32"/>
          <w:highlight w:val="none"/>
        </w:rPr>
        <w:t xml:space="preserve"> ，指标值：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，偏差原因：</w:t>
      </w:r>
      <w:r>
        <w:rPr>
          <w:rFonts w:hint="eastAsia" w:eastAsia="仿宋_GB2312" w:cs="Times New Roman"/>
          <w:color w:val="auto"/>
          <w:sz w:val="32"/>
          <w:szCs w:val="32"/>
          <w:highlight w:val="none"/>
          <w:lang w:val="en-US" w:eastAsia="zh-CN"/>
        </w:rPr>
        <w:t>无</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改进措施：无</w:t>
      </w:r>
      <w:r>
        <w:rPr>
          <w:rFonts w:hint="default" w:ascii="Times New Roman" w:hAnsi="Times New Roman" w:eastAsia="仿宋_GB2312" w:cs="Times New Roman"/>
          <w:color w:val="auto"/>
          <w:sz w:val="32"/>
          <w:szCs w:val="32"/>
          <w:highlight w:val="none"/>
          <w:lang w:eastAsia="zh-CN"/>
        </w:rPr>
        <w:t>。</w:t>
      </w:r>
    </w:p>
    <w:p w14:paraId="64B50EEC">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14:paraId="424F8296">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项目完工及时率</w:t>
      </w:r>
      <w:r>
        <w:rPr>
          <w:rFonts w:hint="default" w:ascii="Times New Roman" w:hAnsi="Times New Roman" w:eastAsia="仿宋_GB2312" w:cs="Times New Roman"/>
          <w:color w:val="auto"/>
          <w:sz w:val="32"/>
          <w:szCs w:val="32"/>
          <w:highlight w:val="none"/>
        </w:rPr>
        <w:t xml:space="preserve"> ，指标值：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，偏差原因：</w:t>
      </w:r>
      <w:r>
        <w:rPr>
          <w:rFonts w:hint="eastAsia" w:eastAsia="仿宋_GB2312" w:cs="Times New Roman"/>
          <w:color w:val="auto"/>
          <w:sz w:val="32"/>
          <w:szCs w:val="32"/>
          <w:highlight w:val="none"/>
          <w:lang w:val="en-US" w:eastAsia="zh-CN"/>
        </w:rPr>
        <w:t>无</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改进措施：无</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14:paraId="1BDFD47F">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项目预算控制率</w:t>
      </w:r>
      <w:r>
        <w:rPr>
          <w:rFonts w:hint="default" w:ascii="Times New Roman" w:hAnsi="Times New Roman" w:eastAsia="仿宋_GB2312" w:cs="Times New Roman"/>
          <w:color w:val="auto"/>
          <w:sz w:val="32"/>
          <w:szCs w:val="32"/>
          <w:highlight w:val="none"/>
        </w:rPr>
        <w:t xml:space="preserve"> ，指标值：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，偏差原因：</w:t>
      </w:r>
      <w:r>
        <w:rPr>
          <w:rFonts w:hint="eastAsia" w:eastAsia="仿宋_GB2312" w:cs="Times New Roman"/>
          <w:color w:val="auto"/>
          <w:sz w:val="32"/>
          <w:szCs w:val="32"/>
          <w:highlight w:val="none"/>
          <w:lang w:val="en-US" w:eastAsia="zh-CN"/>
        </w:rPr>
        <w:t>无</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改进措施：无</w:t>
      </w:r>
      <w:r>
        <w:rPr>
          <w:rFonts w:hint="default" w:ascii="Times New Roman" w:hAnsi="Times New Roman" w:eastAsia="仿宋_GB2312" w:cs="Times New Roman"/>
          <w:color w:val="auto"/>
          <w:sz w:val="32"/>
          <w:szCs w:val="32"/>
          <w:highlight w:val="none"/>
          <w:lang w:eastAsia="zh-CN"/>
        </w:rPr>
        <w:t>。</w:t>
      </w:r>
      <w:bookmarkEnd w:id="9"/>
    </w:p>
    <w:p w14:paraId="39BD1E94">
      <w:pPr>
        <w:pStyle w:val="10"/>
        <w:pageBreakBefore w:val="0"/>
        <w:numPr>
          <w:ilvl w:val="0"/>
          <w:numId w:val="4"/>
        </w:numPr>
        <w:shd w:val="clear"/>
        <w:kinsoku/>
        <w:wordWrap/>
        <w:overflowPunct/>
        <w:topLinePunct w:val="0"/>
        <w:autoSpaceDE/>
        <w:autoSpaceDN/>
        <w:bidi w:val="0"/>
        <w:adjustRightInd/>
        <w:snapToGrid/>
        <w:spacing w:after="0" w:line="600" w:lineRule="exact"/>
        <w:ind w:firstLine="643"/>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14:paraId="3EF0A15A">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bookmarkStart w:id="14" w:name="OLE_LINK15"/>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0分，实际得分</w:t>
      </w:r>
      <w:r>
        <w:rPr>
          <w:rFonts w:hint="eastAsia" w:eastAsia="仿宋_GB2312" w:cs="Times New Roman"/>
          <w:color w:val="auto"/>
          <w:sz w:val="32"/>
          <w:szCs w:val="32"/>
          <w:highlight w:val="none"/>
          <w:lang w:val="en-US" w:eastAsia="zh-CN"/>
        </w:rPr>
        <w:t>30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14:paraId="4BB36E90">
      <w:pPr>
        <w:pageBreakBefore w:val="0"/>
        <w:numPr>
          <w:ilvl w:val="0"/>
          <w:numId w:val="5"/>
        </w:numPr>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实施效益</w:t>
      </w:r>
    </w:p>
    <w:p w14:paraId="77C12EC3">
      <w:pPr>
        <w:pageBreakBefore w:val="0"/>
        <w:numPr>
          <w:ilvl w:val="0"/>
          <w:numId w:val="0"/>
        </w:numPr>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14:paraId="0E52E1B7">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推动化工项目落地</w:t>
      </w:r>
      <w:r>
        <w:rPr>
          <w:rFonts w:hint="default" w:ascii="Times New Roman" w:hAnsi="Times New Roman" w:eastAsia="仿宋_GB2312" w:cs="Times New Roman"/>
          <w:color w:val="auto"/>
          <w:sz w:val="32"/>
          <w:szCs w:val="32"/>
          <w:highlight w:val="none"/>
        </w:rPr>
        <w:t xml:space="preserve"> ，指标值：</w:t>
      </w:r>
      <w:r>
        <w:rPr>
          <w:rFonts w:hint="eastAsia" w:eastAsia="仿宋_GB2312" w:cs="Times New Roman"/>
          <w:color w:val="auto"/>
          <w:sz w:val="32"/>
          <w:szCs w:val="32"/>
          <w:highlight w:val="none"/>
          <w:lang w:val="en-US" w:eastAsia="zh-CN"/>
        </w:rPr>
        <w:t>有效推动</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有效推动</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，偏差原因：</w:t>
      </w:r>
      <w:r>
        <w:rPr>
          <w:rFonts w:hint="eastAsia" w:eastAsia="仿宋_GB2312" w:cs="Times New Roman"/>
          <w:color w:val="auto"/>
          <w:sz w:val="32"/>
          <w:szCs w:val="32"/>
          <w:highlight w:val="none"/>
          <w:lang w:val="en-US" w:eastAsia="zh-CN"/>
        </w:rPr>
        <w:t>无</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改进措施：无</w:t>
      </w:r>
      <w:r>
        <w:rPr>
          <w:rFonts w:hint="default" w:ascii="Times New Roman" w:hAnsi="Times New Roman" w:eastAsia="仿宋_GB2312" w:cs="Times New Roman"/>
          <w:color w:val="auto"/>
          <w:sz w:val="32"/>
          <w:szCs w:val="32"/>
          <w:highlight w:val="none"/>
          <w:lang w:eastAsia="zh-CN"/>
        </w:rPr>
        <w:t>。</w:t>
      </w:r>
    </w:p>
    <w:p w14:paraId="2E5A2D5F">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14:paraId="1CF16F8A">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bookmarkStart w:id="15" w:name="OLE_LINK16"/>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工作人员满意度</w:t>
      </w:r>
      <w:r>
        <w:rPr>
          <w:rFonts w:hint="default" w:ascii="Times New Roman" w:hAnsi="Times New Roman" w:eastAsia="仿宋_GB2312" w:cs="Times New Roman"/>
          <w:color w:val="auto"/>
          <w:sz w:val="32"/>
          <w:szCs w:val="32"/>
          <w:highlight w:val="none"/>
        </w:rPr>
        <w:t xml:space="preserve"> ，指标值：</w:t>
      </w:r>
      <w:r>
        <w:rPr>
          <w:rFonts w:hint="eastAsia"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，偏差原因：</w:t>
      </w:r>
      <w:r>
        <w:rPr>
          <w:rFonts w:hint="eastAsia" w:eastAsia="仿宋_GB2312" w:cs="Times New Roman"/>
          <w:color w:val="auto"/>
          <w:sz w:val="32"/>
          <w:szCs w:val="32"/>
          <w:highlight w:val="none"/>
          <w:lang w:val="en-US" w:eastAsia="zh-CN"/>
        </w:rPr>
        <w:t>无</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改进措施：无</w:t>
      </w:r>
      <w:r>
        <w:rPr>
          <w:rFonts w:hint="default" w:ascii="Times New Roman" w:hAnsi="Times New Roman" w:eastAsia="仿宋_GB2312" w:cs="Times New Roman"/>
          <w:color w:val="auto"/>
          <w:sz w:val="32"/>
          <w:szCs w:val="32"/>
          <w:highlight w:val="none"/>
          <w:lang w:eastAsia="zh-CN"/>
        </w:rPr>
        <w:t>。</w:t>
      </w:r>
      <w:bookmarkEnd w:id="14"/>
      <w:bookmarkEnd w:id="15"/>
    </w:p>
    <w:p w14:paraId="1999FED7">
      <w:pPr>
        <w:pageBreakBefore w:val="0"/>
        <w:shd w:val="clear"/>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楷体_GB2312" w:cs="Times New Roman"/>
          <w:b/>
          <w:bCs/>
          <w:color w:val="auto"/>
          <w:sz w:val="32"/>
          <w:szCs w:val="32"/>
          <w:highlight w:val="none"/>
          <w:lang w:val="en-U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rPr>
        <w:t>预算执行进度与绩效指标总体完成率偏差</w:t>
      </w:r>
    </w:p>
    <w:p w14:paraId="0C650BBE">
      <w:pPr>
        <w:pStyle w:val="20"/>
        <w:pageBreakBefore w:val="0"/>
        <w:shd w:val="clear"/>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方正仿宋_GBK" w:cs="Times New Roman"/>
          <w:color w:val="auto"/>
          <w:sz w:val="32"/>
          <w:szCs w:val="32"/>
          <w:highlight w:val="none"/>
        </w:rPr>
      </w:pPr>
      <w:bookmarkStart w:id="16" w:name="OLE_LINK17"/>
      <w:r>
        <w:rPr>
          <w:rFonts w:hint="eastAsia" w:eastAsia="方正仿宋_GBK" w:cs="Times New Roman"/>
          <w:color w:val="auto"/>
          <w:sz w:val="32"/>
          <w:szCs w:val="32"/>
          <w:highlight w:val="none"/>
          <w:lang w:val="en-US" w:eastAsia="zh-CN"/>
        </w:rPr>
        <w:t>托里县化工产业园区基础设施相关规划及报告编制</w:t>
      </w:r>
      <w:r>
        <w:rPr>
          <w:rFonts w:hint="default" w:ascii="Times New Roman" w:hAnsi="Times New Roman" w:eastAsia="方正仿宋_GBK" w:cs="Times New Roman"/>
          <w:color w:val="auto"/>
          <w:sz w:val="32"/>
          <w:szCs w:val="32"/>
          <w:highlight w:val="none"/>
        </w:rPr>
        <w:t>项目年初预算</w:t>
      </w:r>
      <w:r>
        <w:rPr>
          <w:rFonts w:hint="eastAsia" w:eastAsia="方正仿宋_GBK" w:cs="Times New Roman"/>
          <w:color w:val="auto"/>
          <w:sz w:val="32"/>
          <w:szCs w:val="32"/>
          <w:highlight w:val="none"/>
          <w:lang w:val="en-US" w:eastAsia="zh-CN"/>
        </w:rPr>
        <w:t>35.8</w:t>
      </w:r>
      <w:r>
        <w:rPr>
          <w:rFonts w:hint="default" w:ascii="Times New Roman" w:hAnsi="Times New Roman" w:eastAsia="方正仿宋_GBK" w:cs="Times New Roman"/>
          <w:color w:val="auto"/>
          <w:sz w:val="32"/>
          <w:szCs w:val="32"/>
          <w:highlight w:val="none"/>
        </w:rPr>
        <w:t>万元，全年预算</w:t>
      </w:r>
      <w:r>
        <w:rPr>
          <w:rFonts w:hint="eastAsia" w:eastAsia="方正仿宋_GBK" w:cs="Times New Roman"/>
          <w:color w:val="auto"/>
          <w:sz w:val="32"/>
          <w:szCs w:val="32"/>
          <w:highlight w:val="none"/>
          <w:lang w:val="en-US" w:eastAsia="zh-CN"/>
        </w:rPr>
        <w:t>35.8</w:t>
      </w:r>
      <w:r>
        <w:rPr>
          <w:rFonts w:hint="default" w:ascii="Times New Roman" w:hAnsi="Times New Roman" w:eastAsia="方正仿宋_GBK" w:cs="Times New Roman"/>
          <w:color w:val="auto"/>
          <w:sz w:val="32"/>
          <w:szCs w:val="32"/>
          <w:highlight w:val="none"/>
        </w:rPr>
        <w:t>万元，实际支出</w:t>
      </w:r>
      <w:r>
        <w:rPr>
          <w:rFonts w:hint="eastAsia" w:eastAsia="方正仿宋_GBK" w:cs="Times New Roman"/>
          <w:color w:val="auto"/>
          <w:sz w:val="32"/>
          <w:szCs w:val="32"/>
          <w:highlight w:val="none"/>
          <w:lang w:val="en-US" w:eastAsia="zh-CN"/>
        </w:rPr>
        <w:t>35.8</w:t>
      </w:r>
      <w:r>
        <w:rPr>
          <w:rFonts w:hint="default" w:ascii="Times New Roman" w:hAnsi="Times New Roman" w:eastAsia="方正仿宋_GBK" w:cs="Times New Roman"/>
          <w:color w:val="auto"/>
          <w:sz w:val="32"/>
          <w:szCs w:val="32"/>
          <w:highlight w:val="none"/>
        </w:rPr>
        <w:t>万元，预算执行率为</w:t>
      </w:r>
      <w:r>
        <w:rPr>
          <w:rFonts w:hint="eastAsia" w:eastAsia="方正仿宋_GBK" w:cs="Times New Roman"/>
          <w:color w:val="auto"/>
          <w:sz w:val="32"/>
          <w:szCs w:val="32"/>
          <w:highlight w:val="none"/>
          <w:lang w:val="en-US" w:eastAsia="zh-CN"/>
        </w:rPr>
        <w:t>100</w:t>
      </w:r>
      <w:r>
        <w:rPr>
          <w:rFonts w:hint="default" w:ascii="Times New Roman" w:hAnsi="Times New Roman" w:eastAsia="方正仿宋_GBK" w:cs="Times New Roman"/>
          <w:color w:val="auto"/>
          <w:sz w:val="32"/>
          <w:szCs w:val="32"/>
          <w:highlight w:val="none"/>
        </w:rPr>
        <w:t>%，项目绩效指标总体完成率为</w:t>
      </w:r>
      <w:r>
        <w:rPr>
          <w:rFonts w:hint="eastAsia" w:eastAsia="方正仿宋_GBK" w:cs="Times New Roman"/>
          <w:color w:val="auto"/>
          <w:sz w:val="32"/>
          <w:szCs w:val="32"/>
          <w:highlight w:val="none"/>
          <w:lang w:val="en-US" w:eastAsia="zh-CN"/>
        </w:rPr>
        <w:t>100</w:t>
      </w:r>
      <w:r>
        <w:rPr>
          <w:rFonts w:hint="default" w:ascii="Times New Roman" w:hAnsi="Times New Roman" w:eastAsia="方正仿宋_GBK" w:cs="Times New Roman"/>
          <w:color w:val="auto"/>
          <w:sz w:val="32"/>
          <w:szCs w:val="32"/>
          <w:highlight w:val="none"/>
        </w:rPr>
        <w:t>%，总体偏差率为</w:t>
      </w:r>
      <w:r>
        <w:rPr>
          <w:rFonts w:hint="eastAsia"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w:t>
      </w:r>
      <w:r>
        <w:rPr>
          <w:rFonts w:hint="eastAsia" w:ascii="Times New Roman" w:hAnsi="Times New Roman" w:cs="Times New Roman"/>
          <w:color w:val="auto"/>
          <w:highlight w:val="none"/>
          <w:lang w:eastAsia="zh-CN"/>
        </w:rPr>
        <w:t>，</w:t>
      </w:r>
      <w:r>
        <w:rPr>
          <w:rFonts w:hint="default" w:ascii="Times New Roman" w:hAnsi="Times New Roman" w:eastAsia="方正仿宋_GBK" w:cs="Times New Roman"/>
          <w:color w:val="auto"/>
          <w:sz w:val="32"/>
          <w:szCs w:val="32"/>
          <w:highlight w:val="none"/>
        </w:rPr>
        <w:t>偏差原因</w:t>
      </w:r>
      <w:r>
        <w:rPr>
          <w:rFonts w:hint="eastAsia" w:eastAsia="方正仿宋_GBK" w:cs="Times New Roman"/>
          <w:color w:val="auto"/>
          <w:sz w:val="32"/>
          <w:szCs w:val="32"/>
          <w:highlight w:val="none"/>
          <w:lang w:val="en-US" w:eastAsia="zh-CN"/>
        </w:rPr>
        <w:t>无</w:t>
      </w:r>
      <w:r>
        <w:rPr>
          <w:rFonts w:hint="default" w:ascii="Times New Roman" w:hAnsi="Times New Roman" w:eastAsia="方正仿宋_GBK" w:cs="Times New Roman"/>
          <w:color w:val="auto"/>
          <w:sz w:val="32"/>
          <w:szCs w:val="32"/>
          <w:highlight w:val="none"/>
        </w:rPr>
        <w:t>，改进措施</w:t>
      </w:r>
      <w:r>
        <w:rPr>
          <w:rFonts w:hint="eastAsia" w:eastAsia="方正仿宋_GBK" w:cs="Times New Roman"/>
          <w:color w:val="auto"/>
          <w:sz w:val="32"/>
          <w:szCs w:val="32"/>
          <w:highlight w:val="none"/>
          <w:lang w:val="en-US" w:eastAsia="zh-CN"/>
        </w:rPr>
        <w:t>无</w:t>
      </w:r>
      <w:r>
        <w:rPr>
          <w:rFonts w:hint="default" w:ascii="Times New Roman" w:hAnsi="Times New Roman" w:eastAsia="方正仿宋_GBK" w:cs="Times New Roman"/>
          <w:color w:val="auto"/>
          <w:sz w:val="32"/>
          <w:szCs w:val="32"/>
          <w:highlight w:val="none"/>
        </w:rPr>
        <w:t>。</w:t>
      </w:r>
      <w:bookmarkEnd w:id="16"/>
    </w:p>
    <w:p w14:paraId="72BAA7E4">
      <w:pPr>
        <w:pageBreakBefore w:val="0"/>
        <w:shd w:val="clear"/>
        <w:kinsoku/>
        <w:wordWrap/>
        <w:overflowPunct/>
        <w:topLinePunct w:val="0"/>
        <w:autoSpaceDE/>
        <w:autoSpaceDN/>
        <w:bidi w:val="0"/>
        <w:adjustRightInd/>
        <w:snapToGrid/>
        <w:spacing w:line="600" w:lineRule="exact"/>
        <w:ind w:firstLine="640" w:firstLineChars="200"/>
        <w:jc w:val="both"/>
        <w:textAlignment w:val="auto"/>
        <w:rPr>
          <w:rStyle w:val="19"/>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14:paraId="21F347BC">
      <w:pPr>
        <w:pageBreakBefore w:val="0"/>
        <w:shd w:val="clear"/>
        <w:kinsoku/>
        <w:wordWrap/>
        <w:overflowPunct/>
        <w:topLinePunct w:val="0"/>
        <w:autoSpaceDE/>
        <w:autoSpaceDN/>
        <w:bidi w:val="0"/>
        <w:adjustRightInd/>
        <w:snapToGrid/>
        <w:spacing w:line="600" w:lineRule="exact"/>
        <w:ind w:firstLine="627" w:firstLineChars="200"/>
        <w:jc w:val="both"/>
        <w:textAlignment w:val="auto"/>
        <w:rPr>
          <w:rFonts w:hint="default" w:ascii="Times New Roman" w:hAnsi="Times New Roman" w:eastAsia="楷体" w:cs="Times New Roman"/>
          <w:b/>
          <w:color w:val="auto"/>
          <w:spacing w:val="-4"/>
          <w:sz w:val="32"/>
          <w:szCs w:val="32"/>
          <w:highlight w:val="none"/>
        </w:rPr>
      </w:pPr>
      <w:bookmarkStart w:id="17" w:name="OLE_LINK18"/>
      <w:r>
        <w:rPr>
          <w:rFonts w:hint="default" w:ascii="Times New Roman" w:hAnsi="Times New Roman" w:eastAsia="楷体" w:cs="Times New Roman"/>
          <w:b/>
          <w:color w:val="auto"/>
          <w:spacing w:val="-4"/>
          <w:sz w:val="32"/>
          <w:szCs w:val="32"/>
          <w:highlight w:val="none"/>
        </w:rPr>
        <w:t>（一）主要经验及做法</w:t>
      </w:r>
    </w:p>
    <w:p w14:paraId="5D815CC3">
      <w:pPr>
        <w:pageBreakBefore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683C04C">
      <w:pPr>
        <w:pStyle w:val="9"/>
        <w:pageBreakBefore w:val="0"/>
        <w:shd w:val="clear"/>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仿宋_GB2312" w:cs="Times New Roman"/>
          <w:b w:val="0"/>
          <w:bCs w:val="0"/>
          <w:color w:val="auto"/>
          <w:kern w:val="2"/>
          <w:highlight w:val="none"/>
        </w:rPr>
      </w:pPr>
      <w:r>
        <w:rPr>
          <w:rFonts w:hint="default" w:ascii="Times New Roman" w:hAnsi="Times New Roman" w:eastAsia="仿宋_GB2312" w:cs="Times New Roman"/>
          <w:b w:val="0"/>
          <w:bCs w:val="0"/>
          <w:color w:val="auto"/>
          <w:kern w:val="2"/>
          <w:highlight w:val="none"/>
        </w:rPr>
        <w:t>严格坚持先做事、后验收、再拨付的原则，</w:t>
      </w:r>
      <w:r>
        <w:rPr>
          <w:rFonts w:hint="eastAsia" w:ascii="Times New Roman" w:hAnsi="Times New Roman" w:eastAsia="仿宋_GB2312" w:cs="Times New Roman"/>
          <w:b w:val="0"/>
          <w:bCs w:val="0"/>
          <w:color w:val="auto"/>
          <w:kern w:val="2"/>
          <w:highlight w:val="none"/>
          <w:lang w:eastAsia="zh-CN"/>
        </w:rPr>
        <w:t>杜绝</w:t>
      </w:r>
      <w:r>
        <w:rPr>
          <w:rFonts w:hint="default" w:ascii="Times New Roman" w:hAnsi="Times New Roman" w:eastAsia="仿宋_GB2312" w:cs="Times New Roman"/>
          <w:b w:val="0"/>
          <w:bCs w:val="0"/>
          <w:color w:val="auto"/>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170B467F">
      <w:pPr>
        <w:keepNext/>
        <w:keepLines/>
        <w:pageBreakBefore w:val="0"/>
        <w:numPr>
          <w:ilvl w:val="0"/>
          <w:numId w:val="6"/>
        </w:numPr>
        <w:shd w:val="clear"/>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14:paraId="233FBE4A">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51AC334">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2.因轮岗、调动</w:t>
      </w:r>
      <w:r>
        <w:rPr>
          <w:rFonts w:hint="eastAsia"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因素使我单位绩效工作人员流动频繁，</w:t>
      </w:r>
      <w:r>
        <w:rPr>
          <w:rFonts w:hint="eastAsia" w:ascii="Times New Roman" w:hAnsi="Times New Roman" w:eastAsia="仿宋_GB2312" w:cs="Times New Roman"/>
          <w:color w:val="auto"/>
          <w:sz w:val="32"/>
          <w:szCs w:val="32"/>
          <w:highlight w:val="none"/>
          <w:lang w:val="en-US" w:eastAsia="zh-CN"/>
        </w:rPr>
        <w:t>造成</w:t>
      </w:r>
      <w:r>
        <w:rPr>
          <w:rFonts w:hint="default" w:ascii="Times New Roman" w:hAnsi="Times New Roman" w:eastAsia="仿宋_GB2312" w:cs="Times New Roman"/>
          <w:color w:val="auto"/>
          <w:sz w:val="32"/>
          <w:szCs w:val="32"/>
          <w:highlight w:val="none"/>
          <w:lang w:val="en-US" w:eastAsia="zh-CN"/>
        </w:rPr>
        <w:t>工作衔接不到位的情况。</w:t>
      </w:r>
      <w:bookmarkEnd w:id="17"/>
    </w:p>
    <w:p w14:paraId="36A1F6EA">
      <w:pPr>
        <w:pageBreakBefore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14:paraId="46B34050">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bookmarkStart w:id="18" w:name="OLE_LINK19"/>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14:paraId="361A0F19">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14:paraId="453FE1B1">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39958454">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cs="Times New Roman"/>
          <w:color w:val="auto"/>
          <w:sz w:val="22"/>
          <w:szCs w:val="28"/>
          <w:highlight w:val="none"/>
        </w:rPr>
      </w:pPr>
      <w:r>
        <w:rPr>
          <w:rFonts w:hint="default" w:ascii="Times New Roman" w:hAnsi="Times New Roman" w:eastAsia="仿宋_GB2312" w:cs="Times New Roman"/>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highlight w:val="none"/>
        </w:rPr>
        <w:t>。</w:t>
      </w:r>
    </w:p>
    <w:p w14:paraId="5E24FAFC">
      <w:pPr>
        <w:pageBreakBefore w:val="0"/>
        <w:shd w:val="clear" w:color="auto"/>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bookmarkEnd w:id="18"/>
    </w:p>
    <w:p w14:paraId="1C01D65B">
      <w:pPr>
        <w:pageBreakBefore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19" w:name="page8"/>
      <w:bookmarkEnd w:id="19"/>
      <w:r>
        <w:rPr>
          <w:rFonts w:hint="default" w:ascii="Times New Roman" w:hAnsi="Times New Roman" w:eastAsia="黑体" w:cs="Times New Roman"/>
          <w:color w:val="auto"/>
          <w:sz w:val="32"/>
          <w:szCs w:val="32"/>
          <w:highlight w:val="none"/>
        </w:rPr>
        <w:t>明的问题</w:t>
      </w:r>
    </w:p>
    <w:p w14:paraId="7D001077">
      <w:pPr>
        <w:pStyle w:val="11"/>
        <w:pageBreakBefore w:val="0"/>
        <w:shd w:val="clear"/>
        <w:kinsoku/>
        <w:wordWrap/>
        <w:overflowPunct/>
        <w:topLinePunct w:val="0"/>
        <w:autoSpaceDE/>
        <w:autoSpaceDN/>
        <w:bidi w:val="0"/>
        <w:adjustRightInd/>
        <w:snapToGrid/>
        <w:spacing w:after="0" w:line="600" w:lineRule="exact"/>
        <w:ind w:left="0" w:leftChars="0" w:firstLine="64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本项目无其他需说明的问题。</w:t>
      </w:r>
    </w:p>
    <w:p w14:paraId="239B77A8">
      <w:pPr>
        <w:pStyle w:val="11"/>
        <w:pageBreakBefore w:val="0"/>
        <w:shd w:val="clear"/>
        <w:kinsoku/>
        <w:wordWrap/>
        <w:overflowPunct/>
        <w:topLinePunct w:val="0"/>
        <w:autoSpaceDE/>
        <w:autoSpaceDN/>
        <w:bidi w:val="0"/>
        <w:adjustRightInd/>
        <w:snapToGrid/>
        <w:spacing w:after="0" w:line="600" w:lineRule="exact"/>
        <w:ind w:left="0" w:leftChars="0" w:firstLine="640"/>
        <w:jc w:val="both"/>
        <w:textAlignment w:val="auto"/>
        <w:rPr>
          <w:rFonts w:hint="eastAsia" w:ascii="Times New Roman" w:hAnsi="Times New Roman" w:eastAsia="仿宋_GB2312" w:cs="Times New Roman"/>
          <w:color w:val="auto"/>
          <w:sz w:val="32"/>
          <w:szCs w:val="32"/>
          <w:highlight w:val="none"/>
          <w:lang w:eastAsia="zh-CN"/>
        </w:rPr>
      </w:pPr>
    </w:p>
    <w:p w14:paraId="648E21B9">
      <w:pPr>
        <w:pStyle w:val="11"/>
        <w:pageBreakBefore w:val="0"/>
        <w:shd w:val="clear"/>
        <w:kinsoku/>
        <w:wordWrap/>
        <w:overflowPunct/>
        <w:topLinePunct w:val="0"/>
        <w:autoSpaceDE/>
        <w:autoSpaceDN/>
        <w:bidi w:val="0"/>
        <w:adjustRightInd/>
        <w:snapToGrid/>
        <w:spacing w:after="0" w:line="600" w:lineRule="exact"/>
        <w:ind w:left="0" w:leftChars="0" w:firstLine="640"/>
        <w:jc w:val="both"/>
        <w:textAlignment w:val="auto"/>
        <w:rPr>
          <w:rFonts w:hint="eastAsia" w:ascii="Times New Roman" w:hAnsi="Times New Roman" w:eastAsia="仿宋_GB2312" w:cs="Times New Roman"/>
          <w:color w:val="auto"/>
          <w:sz w:val="32"/>
          <w:szCs w:val="32"/>
          <w:highlight w:val="none"/>
          <w:lang w:eastAsia="zh-CN"/>
        </w:rPr>
      </w:pPr>
    </w:p>
    <w:p w14:paraId="74664BB5">
      <w:pPr>
        <w:pStyle w:val="11"/>
        <w:pageBreakBefore w:val="0"/>
        <w:shd w:val="clear"/>
        <w:kinsoku/>
        <w:wordWrap/>
        <w:overflowPunct/>
        <w:topLinePunct w:val="0"/>
        <w:autoSpaceDE/>
        <w:autoSpaceDN/>
        <w:bidi w:val="0"/>
        <w:adjustRightInd/>
        <w:snapToGrid/>
        <w:spacing w:after="0" w:line="600" w:lineRule="exact"/>
        <w:ind w:left="0" w:leftChars="0" w:firstLine="640"/>
        <w:jc w:val="both"/>
        <w:textAlignment w:val="auto"/>
        <w:rPr>
          <w:rFonts w:hint="eastAsia" w:ascii="Times New Roman" w:hAnsi="Times New Roman" w:eastAsia="仿宋_GB2312" w:cs="Times New Roman"/>
          <w:color w:val="auto"/>
          <w:sz w:val="32"/>
          <w:szCs w:val="32"/>
          <w:highlight w:val="none"/>
          <w:lang w:eastAsia="zh-CN"/>
        </w:rPr>
      </w:pPr>
    </w:p>
    <w:p w14:paraId="546AB5FF">
      <w:pPr>
        <w:pStyle w:val="11"/>
        <w:pageBreakBefore w:val="0"/>
        <w:shd w:val="clear"/>
        <w:kinsoku/>
        <w:wordWrap/>
        <w:overflowPunct/>
        <w:topLinePunct w:val="0"/>
        <w:autoSpaceDE/>
        <w:autoSpaceDN/>
        <w:bidi w:val="0"/>
        <w:adjustRightInd/>
        <w:snapToGrid/>
        <w:spacing w:after="0" w:line="600" w:lineRule="exact"/>
        <w:ind w:left="0" w:leftChars="0" w:firstLine="643" w:firstLineChars="200"/>
        <w:jc w:val="both"/>
        <w:textAlignment w:val="auto"/>
        <w:rPr>
          <w:rFonts w:hint="eastAsia" w:ascii="Times New Roman" w:hAnsi="Times New Roman" w:eastAsia="仿宋_GB2312" w:cs="Times New Roman"/>
          <w:b/>
          <w:bCs/>
          <w:color w:val="auto"/>
          <w:sz w:val="32"/>
          <w:szCs w:val="32"/>
          <w:highlight w:val="none"/>
          <w:lang w:eastAsia="zh-CN"/>
        </w:rPr>
      </w:pPr>
      <w:r>
        <w:rPr>
          <w:rFonts w:hint="eastAsia" w:ascii="Times New Roman" w:hAnsi="Times New Roman" w:eastAsia="仿宋_GB2312" w:cs="Times New Roman"/>
          <w:b/>
          <w:bCs/>
          <w:color w:val="auto"/>
          <w:sz w:val="32"/>
          <w:szCs w:val="32"/>
          <w:highlight w:val="none"/>
          <w:lang w:eastAsia="zh-CN"/>
        </w:rPr>
        <w:t>（</w:t>
      </w:r>
      <w:r>
        <w:rPr>
          <w:rFonts w:hint="eastAsia" w:ascii="Times New Roman" w:hAnsi="Times New Roman" w:eastAsia="仿宋_GB2312" w:cs="Times New Roman"/>
          <w:b/>
          <w:bCs/>
          <w:color w:val="auto"/>
          <w:sz w:val="32"/>
          <w:szCs w:val="32"/>
          <w:highlight w:val="none"/>
          <w:lang w:val="en-US" w:eastAsia="zh-CN"/>
        </w:rPr>
        <w:t>以上内容均为参考模板，单位有觉得不合适的地方可自行修改</w:t>
      </w:r>
      <w:r>
        <w:rPr>
          <w:rFonts w:hint="eastAsia" w:ascii="Times New Roman" w:hAnsi="Times New Roman" w:eastAsia="仿宋_GB2312" w:cs="Times New Roman"/>
          <w:b/>
          <w:bCs/>
          <w:color w:val="auto"/>
          <w:sz w:val="32"/>
          <w:szCs w:val="32"/>
          <w:highlight w:val="none"/>
          <w:lang w:eastAsia="zh-CN"/>
        </w:rPr>
        <w:t>）</w:t>
      </w:r>
    </w:p>
    <w:p w14:paraId="29EFDBAE">
      <w:pPr>
        <w:pStyle w:val="11"/>
        <w:pageBreakBefore w:val="0"/>
        <w:shd w:val="clear"/>
        <w:kinsoku/>
        <w:wordWrap/>
        <w:overflowPunct/>
        <w:topLinePunct w:val="0"/>
        <w:autoSpaceDE/>
        <w:autoSpaceDN/>
        <w:bidi w:val="0"/>
        <w:adjustRightInd/>
        <w:snapToGrid/>
        <w:spacing w:after="0" w:line="600" w:lineRule="exact"/>
        <w:ind w:left="0" w:leftChars="0" w:firstLine="640"/>
        <w:jc w:val="both"/>
        <w:textAlignment w:val="auto"/>
        <w:rPr>
          <w:rFonts w:hint="default" w:ascii="Times New Roman" w:hAnsi="Times New Roman" w:eastAsia="仿宋_GB2312" w:cs="Times New Roman"/>
          <w:color w:val="auto"/>
          <w:sz w:val="32"/>
          <w:szCs w:val="32"/>
          <w:highlight w:val="none"/>
        </w:rPr>
      </w:pPr>
    </w:p>
    <w:p w14:paraId="1A9E8492">
      <w:pPr>
        <w:pageBreakBefore w:val="0"/>
        <w:shd w:val="clear"/>
        <w:kinsoku/>
        <w:wordWrap/>
        <w:overflowPunct/>
        <w:topLinePunct w:val="0"/>
        <w:autoSpaceDE/>
        <w:autoSpaceDN/>
        <w:bidi w:val="0"/>
        <w:adjustRightInd/>
        <w:snapToGrid/>
        <w:spacing w:line="600" w:lineRule="exact"/>
        <w:jc w:val="both"/>
        <w:textAlignment w:val="auto"/>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7E8EDF60">
      <w:pPr>
        <w:pageBreakBefore w:val="0"/>
        <w:shd w:val="clear"/>
        <w:kinsoku/>
        <w:wordWrap/>
        <w:overflowPunct/>
        <w:topLinePunct w:val="0"/>
        <w:autoSpaceDE/>
        <w:autoSpaceDN/>
        <w:bidi w:val="0"/>
        <w:adjustRightInd/>
        <w:snapToGrid/>
        <w:spacing w:line="600" w:lineRule="exact"/>
        <w:jc w:val="both"/>
        <w:textAlignment w:val="auto"/>
        <w:rPr>
          <w:rFonts w:hint="default" w:ascii="Times New Roman" w:hAnsi="Times New Roman" w:cs="Times New Roman"/>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公文小标宋">
    <w:altName w:val="宋体"/>
    <w:panose1 w:val="02000500000000000000"/>
    <w:charset w:val="86"/>
    <w:family w:val="auto"/>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03A436C9">
        <w:pPr>
          <w:pStyle w:val="6"/>
          <w:jc w:val="center"/>
        </w:pPr>
        <w:r>
          <w:fldChar w:fldCharType="begin"/>
        </w:r>
        <w:r>
          <w:instrText xml:space="preserve">PAGE   \* MERGEFORMAT</w:instrText>
        </w:r>
        <w:r>
          <w:fldChar w:fldCharType="separate"/>
        </w:r>
        <w:r>
          <w:rPr>
            <w:lang w:val="zh-CN"/>
          </w:rPr>
          <w:t>13</w:t>
        </w:r>
        <w:r>
          <w:fldChar w:fldCharType="end"/>
        </w:r>
      </w:p>
    </w:sdtContent>
  </w:sdt>
  <w:p w14:paraId="1AFDA2BE">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lvlText w:val="%1."/>
      <w:lvlJc w:val="left"/>
      <w:pPr>
        <w:tabs>
          <w:tab w:val="left" w:pos="312"/>
        </w:tabs>
      </w:p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418A061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Subject"/>
    <w:basedOn w:val="17"/>
    <w:next w:val="17"/>
    <w:link w:val="24"/>
    <w:qFormat/>
    <w:uiPriority w:val="0"/>
    <w:rPr>
      <w:b/>
      <w:bCs/>
    </w:rPr>
  </w:style>
  <w:style w:type="paragraph" w:customStyle="1" w:styleId="17">
    <w:name w:val="Comment Text"/>
    <w:basedOn w:val="1"/>
    <w:link w:val="23"/>
    <w:qFormat/>
    <w:uiPriority w:val="0"/>
    <w:pPr>
      <w:jc w:val="left"/>
    </w:pPr>
  </w:style>
  <w:style w:type="character" w:customStyle="1" w:styleId="18">
    <w:name w:val="Comment Reference"/>
    <w:basedOn w:val="14"/>
    <w:qFormat/>
    <w:uiPriority w:val="0"/>
    <w:rPr>
      <w:sz w:val="21"/>
      <w:szCs w:val="21"/>
    </w:rPr>
  </w:style>
  <w:style w:type="character" w:customStyle="1" w:styleId="19">
    <w:name w:val="fontstyle01"/>
    <w:basedOn w:val="14"/>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7"/>
    <w:qFormat/>
    <w:uiPriority w:val="0"/>
    <w:rPr>
      <w:rFonts w:ascii="Times New Roman" w:hAnsi="Times New Roman" w:eastAsia="宋体" w:cs="Times New Roman"/>
      <w:kern w:val="2"/>
      <w:sz w:val="21"/>
      <w:szCs w:val="24"/>
    </w:rPr>
  </w:style>
  <w:style w:type="character" w:customStyle="1" w:styleId="24">
    <w:name w:val="批注主题 字符"/>
    <w:basedOn w:val="23"/>
    <w:link w:val="16"/>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A075C2AEC1C54D1693797747003CB0A9_13</vt:lpwstr>
  </property>
  <property fmtid="{D5CDD505-2E9C-101B-9397-08002B2CF9AE}" pid="4" name="KSOTemplateDocerSaveRecord">
    <vt:lpwstr>eyJoZGlkIjoiMzEwNTM5NzYwMDRjMzkwZTVkZjY2ODkwMGIxNGU0OTUiLCJ1c2VySWQiOiI0NTUwMjE2ODgifQ==</vt:lpwstr>
  </property>
</Properties>
</file>

<file path=customXml/itemProps1.xml><?xml version="1.0" encoding="utf-8"?>
<ds:datastoreItem xmlns:ds="http://schemas.openxmlformats.org/officeDocument/2006/customXml" ds:itemID="{8bab4a39-d6fb-47b3-9c3b-b0dabae3f132}">
  <ds:schemaRefs/>
</ds:datastoreItem>
</file>

<file path=docProps/app.xml><?xml version="1.0" encoding="utf-8"?>
<Properties xmlns="http://schemas.openxmlformats.org/officeDocument/2006/extended-properties" xmlns:vt="http://schemas.openxmlformats.org/officeDocument/2006/docPropsVTypes">
  <Template>Normal</Template>
  <Pages>23</Pages>
  <Words>9556</Words>
  <Characters>9793</Characters>
  <Lines>58</Lines>
  <Paragraphs>16</Paragraphs>
  <TotalTime>6</TotalTime>
  <ScaleCrop>false</ScaleCrop>
  <LinksUpToDate>false</LinksUpToDate>
  <CharactersWithSpaces>9809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来财&amp;十个勤天</cp:lastModifiedBy>
  <dcterms:modified xsi:type="dcterms:W3CDTF">2025-10-31T07:26:08Z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A075C2AEC1C54D1693797747003CB0A9_13</vt:lpwstr>
  </property>
  <property fmtid="{D5CDD505-2E9C-101B-9397-08002B2CF9AE}" pid="4" name="KSOTemplateDocerSaveRecord">
    <vt:lpwstr>eyJoZGlkIjoiNTM1NjJiMTUwNmFhZWNlZmQwNDVjMDAxNDMwM2IwMDkiLCJ1c2VySWQiOiIzNzI2MDMzNTYifQ==</vt:lpwstr>
  </property>
</Properties>
</file>