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31E80"/>
    <w:p w14:paraId="715A750E">
      <w:pPr>
        <w:spacing w:line="540" w:lineRule="exact"/>
        <w:jc w:val="center"/>
        <w:rPr>
          <w:rFonts w:hint="default" w:ascii="Times New Roman" w:hAnsi="Times New Roman" w:eastAsia="华文中宋" w:cs="Times New Roman"/>
          <w:b/>
          <w:kern w:val="0"/>
          <w:sz w:val="52"/>
          <w:szCs w:val="52"/>
          <w:highlight w:val="none"/>
        </w:rPr>
      </w:pPr>
    </w:p>
    <w:p w14:paraId="7AF6EBC2">
      <w:pPr>
        <w:spacing w:line="540" w:lineRule="exact"/>
        <w:rPr>
          <w:rFonts w:hint="default" w:ascii="Times New Roman" w:hAnsi="Times New Roman" w:eastAsia="华文中宋" w:cs="Times New Roman"/>
          <w:b/>
          <w:kern w:val="0"/>
          <w:sz w:val="52"/>
          <w:szCs w:val="52"/>
          <w:highlight w:val="none"/>
        </w:rPr>
      </w:pPr>
    </w:p>
    <w:p w14:paraId="6109F101">
      <w:pPr>
        <w:spacing w:line="540" w:lineRule="exact"/>
        <w:jc w:val="center"/>
        <w:rPr>
          <w:rFonts w:hint="default" w:ascii="Times New Roman" w:hAnsi="Times New Roman" w:eastAsia="华文中宋" w:cs="Times New Roman"/>
          <w:b/>
          <w:kern w:val="0"/>
          <w:sz w:val="52"/>
          <w:szCs w:val="52"/>
          <w:highlight w:val="none"/>
        </w:rPr>
      </w:pPr>
    </w:p>
    <w:p w14:paraId="4DE6F29F">
      <w:pPr>
        <w:spacing w:line="540" w:lineRule="exact"/>
        <w:jc w:val="center"/>
        <w:rPr>
          <w:rFonts w:hint="default" w:ascii="Times New Roman" w:hAnsi="Times New Roman" w:eastAsia="华文中宋" w:cs="Times New Roman"/>
          <w:b/>
          <w:kern w:val="0"/>
          <w:sz w:val="52"/>
          <w:szCs w:val="52"/>
          <w:highlight w:val="none"/>
        </w:rPr>
      </w:pPr>
    </w:p>
    <w:p w14:paraId="1FF1622C">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自治区基层人大补助项目支出绩效评价</w:t>
      </w:r>
    </w:p>
    <w:p w14:paraId="3946C283">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p w14:paraId="4A13564E">
      <w:pPr>
        <w:spacing w:line="540" w:lineRule="exact"/>
        <w:jc w:val="center"/>
        <w:rPr>
          <w:rFonts w:hint="default" w:ascii="Times New Roman" w:hAnsi="Times New Roman" w:eastAsia="华文中宋" w:cs="Times New Roman"/>
          <w:b/>
          <w:kern w:val="0"/>
          <w:sz w:val="52"/>
          <w:szCs w:val="52"/>
          <w:highlight w:val="none"/>
        </w:rPr>
      </w:pPr>
    </w:p>
    <w:p w14:paraId="31648C35">
      <w:pPr>
        <w:spacing w:line="540" w:lineRule="exact"/>
        <w:jc w:val="center"/>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14:paraId="680220E8">
      <w:pPr>
        <w:spacing w:line="540" w:lineRule="exact"/>
        <w:jc w:val="center"/>
        <w:rPr>
          <w:rFonts w:hint="eastAsia" w:ascii="Times New Roman" w:hAnsi="Times New Roman" w:eastAsia="仿宋_GB2312" w:cs="Times New Roman"/>
          <w:kern w:val="0"/>
          <w:sz w:val="30"/>
          <w:szCs w:val="30"/>
          <w:highlight w:val="none"/>
          <w:lang w:eastAsia="zh-CN"/>
        </w:rPr>
      </w:pPr>
    </w:p>
    <w:p w14:paraId="0EBF1FF5">
      <w:pPr>
        <w:spacing w:line="540" w:lineRule="exact"/>
        <w:jc w:val="center"/>
        <w:rPr>
          <w:rFonts w:hint="default" w:ascii="Times New Roman" w:hAnsi="Times New Roman" w:eastAsia="仿宋_GB2312" w:cs="Times New Roman"/>
          <w:kern w:val="0"/>
          <w:sz w:val="30"/>
          <w:szCs w:val="30"/>
          <w:highlight w:val="none"/>
        </w:rPr>
      </w:pPr>
    </w:p>
    <w:p w14:paraId="38507D4C">
      <w:pPr>
        <w:spacing w:line="540" w:lineRule="exact"/>
        <w:jc w:val="center"/>
        <w:rPr>
          <w:rFonts w:hint="default" w:ascii="Times New Roman" w:hAnsi="Times New Roman" w:eastAsia="仿宋_GB2312" w:cs="Times New Roman"/>
          <w:kern w:val="0"/>
          <w:sz w:val="30"/>
          <w:szCs w:val="30"/>
          <w:highlight w:val="none"/>
        </w:rPr>
      </w:pPr>
    </w:p>
    <w:p w14:paraId="33F2555E">
      <w:pPr>
        <w:pStyle w:val="9"/>
        <w:rPr>
          <w:rFonts w:hint="default" w:ascii="Times New Roman" w:hAnsi="Times New Roman" w:cs="Times New Roman"/>
          <w:highlight w:val="none"/>
        </w:rPr>
      </w:pPr>
    </w:p>
    <w:p w14:paraId="5CCF551F">
      <w:pPr>
        <w:spacing w:line="540" w:lineRule="exact"/>
        <w:jc w:val="center"/>
        <w:rPr>
          <w:rFonts w:hint="default" w:ascii="Times New Roman" w:hAnsi="Times New Roman" w:eastAsia="仿宋_GB2312" w:cs="Times New Roman"/>
          <w:kern w:val="0"/>
          <w:sz w:val="30"/>
          <w:szCs w:val="30"/>
          <w:highlight w:val="none"/>
        </w:rPr>
      </w:pPr>
    </w:p>
    <w:p w14:paraId="1F88197E">
      <w:pPr>
        <w:spacing w:line="540" w:lineRule="exact"/>
        <w:rPr>
          <w:rFonts w:hint="default" w:ascii="Times New Roman" w:hAnsi="Times New Roman" w:eastAsia="仿宋_GB2312" w:cs="Times New Roman"/>
          <w:kern w:val="0"/>
          <w:sz w:val="30"/>
          <w:szCs w:val="30"/>
          <w:highlight w:val="none"/>
        </w:rPr>
      </w:pPr>
    </w:p>
    <w:p w14:paraId="7661C039">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项目名称：自治区基层人大补助项目</w:t>
      </w:r>
    </w:p>
    <w:p w14:paraId="3B204FF9">
      <w:pPr>
        <w:spacing w:line="700" w:lineRule="exact"/>
        <w:ind w:left="4676" w:leftChars="684" w:hanging="3240" w:hangingChars="9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实施单位（公章）：托里县人民代表大会常务委员会办公室</w:t>
      </w:r>
    </w:p>
    <w:p w14:paraId="20610D88">
      <w:pPr>
        <w:spacing w:line="700" w:lineRule="exact"/>
        <w:ind w:left="4676" w:leftChars="684" w:hanging="3240" w:hangingChars="9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主管部门（公章）：托里县人民代表大会常务委员会</w:t>
      </w:r>
    </w:p>
    <w:p w14:paraId="7986C175">
      <w:pPr>
        <w:spacing w:line="700" w:lineRule="exact"/>
        <w:ind w:firstLine="1440" w:firstLineChars="400"/>
        <w:jc w:val="left"/>
        <w:rPr>
          <w:rFonts w:hint="eastAsia"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eastAsia="zh-CN"/>
        </w:rPr>
        <w:t>布尔列斯</w:t>
      </w:r>
    </w:p>
    <w:p w14:paraId="2F9D5003">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3</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21</w:t>
      </w:r>
      <w:r>
        <w:rPr>
          <w:rFonts w:hint="default" w:ascii="Times New Roman" w:hAnsi="Times New Roman" w:eastAsia="仿宋_GB2312" w:cs="Times New Roman"/>
          <w:kern w:val="0"/>
          <w:sz w:val="36"/>
          <w:szCs w:val="36"/>
          <w:highlight w:val="none"/>
        </w:rPr>
        <w:t>日</w:t>
      </w:r>
    </w:p>
    <w:p w14:paraId="447A13E6">
      <w:pPr>
        <w:spacing w:line="540" w:lineRule="exact"/>
        <w:jc w:val="center"/>
        <w:rPr>
          <w:rFonts w:hint="default" w:ascii="Times New Roman" w:hAnsi="Times New Roman" w:eastAsia="仿宋_GB2312" w:cs="Times New Roman"/>
          <w:kern w:val="0"/>
          <w:sz w:val="30"/>
          <w:szCs w:val="30"/>
          <w:highlight w:val="none"/>
        </w:rPr>
      </w:pPr>
    </w:p>
    <w:p w14:paraId="4484FC00">
      <w:pPr>
        <w:spacing w:line="560" w:lineRule="exact"/>
        <w:ind w:firstLine="640" w:firstLineChars="200"/>
        <w:rPr>
          <w:rFonts w:hint="default" w:ascii="Times New Roman" w:hAnsi="Times New Roman" w:eastAsia="黑体" w:cs="Times New Roman"/>
          <w:bCs/>
          <w:sz w:val="32"/>
          <w:szCs w:val="32"/>
          <w:highlight w:val="none"/>
        </w:rPr>
      </w:pPr>
      <w:bookmarkStart w:id="1" w:name="_GoBack"/>
      <w:bookmarkEnd w:id="1"/>
      <w:r>
        <w:rPr>
          <w:rFonts w:hint="default" w:ascii="Times New Roman" w:hAnsi="Times New Roman" w:eastAsia="黑体" w:cs="Times New Roman"/>
          <w:bCs/>
          <w:sz w:val="32"/>
          <w:szCs w:val="32"/>
          <w:highlight w:val="none"/>
        </w:rPr>
        <w:t>一、基本情况</w:t>
      </w:r>
    </w:p>
    <w:p w14:paraId="25AD3F77">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14:paraId="7C8CFB33">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0F492BA4">
      <w:pPr>
        <w:pStyle w:val="9"/>
        <w:numPr>
          <w:ilvl w:val="0"/>
          <w:numId w:val="0"/>
        </w:numPr>
        <w:spacing w:before="0" w:after="0" w:line="560" w:lineRule="exact"/>
        <w:ind w:firstLine="600" w:firstLineChars="200"/>
        <w:jc w:val="both"/>
        <w:rPr>
          <w:rFonts w:hint="default" w:ascii="Times New Roman" w:hAnsi="Times New Roman" w:eastAsia="仿宋_GB2312" w:cs="Times New Roman"/>
          <w:b w:val="0"/>
          <w:bCs w:val="0"/>
          <w:kern w:val="2"/>
          <w:sz w:val="30"/>
          <w:szCs w:val="30"/>
          <w:highlight w:val="none"/>
          <w:lang w:val="en-US" w:eastAsia="zh-CN" w:bidi="ar-SA"/>
        </w:rPr>
      </w:pPr>
      <w:r>
        <w:rPr>
          <w:rFonts w:hint="eastAsia" w:ascii="Times New Roman" w:hAnsi="Times New Roman" w:eastAsia="仿宋_GB2312" w:cs="Times New Roman"/>
          <w:b w:val="0"/>
          <w:bCs w:val="0"/>
          <w:kern w:val="2"/>
          <w:sz w:val="30"/>
          <w:szCs w:val="30"/>
          <w:highlight w:val="none"/>
          <w:lang w:val="en-US" w:eastAsia="zh-CN" w:bidi="ar-SA"/>
        </w:rPr>
        <w:t>托里县</w:t>
      </w:r>
      <w:r>
        <w:rPr>
          <w:rFonts w:hint="default" w:ascii="Times New Roman" w:hAnsi="Times New Roman" w:eastAsia="仿宋_GB2312" w:cs="Times New Roman"/>
          <w:b w:val="0"/>
          <w:bCs w:val="0"/>
          <w:kern w:val="2"/>
          <w:sz w:val="30"/>
          <w:szCs w:val="30"/>
          <w:highlight w:val="none"/>
          <w:lang w:val="en-US" w:eastAsia="zh-CN" w:bidi="ar-SA"/>
        </w:rPr>
        <w:t>人大</w:t>
      </w:r>
      <w:r>
        <w:rPr>
          <w:rFonts w:hint="eastAsia" w:ascii="Times New Roman" w:hAnsi="Times New Roman" w:eastAsia="仿宋_GB2312" w:cs="Times New Roman"/>
          <w:b w:val="0"/>
          <w:bCs w:val="0"/>
          <w:kern w:val="2"/>
          <w:sz w:val="30"/>
          <w:szCs w:val="30"/>
          <w:highlight w:val="none"/>
          <w:lang w:val="en-US" w:eastAsia="zh-CN" w:bidi="ar-SA"/>
        </w:rPr>
        <w:t>在托里县</w:t>
      </w:r>
      <w:r>
        <w:rPr>
          <w:rFonts w:hint="default" w:ascii="Times New Roman" w:hAnsi="Times New Roman" w:eastAsia="仿宋_GB2312" w:cs="Times New Roman"/>
          <w:b w:val="0"/>
          <w:bCs w:val="0"/>
          <w:kern w:val="2"/>
          <w:sz w:val="30"/>
          <w:szCs w:val="30"/>
          <w:highlight w:val="none"/>
          <w:lang w:val="en-US" w:eastAsia="zh-CN" w:bidi="ar-SA"/>
        </w:rPr>
        <w:t>党委的关心、</w:t>
      </w:r>
      <w:r>
        <w:rPr>
          <w:rFonts w:hint="eastAsia" w:ascii="Times New Roman" w:hAnsi="Times New Roman" w:eastAsia="仿宋_GB2312" w:cs="Times New Roman"/>
          <w:b w:val="0"/>
          <w:bCs w:val="0"/>
          <w:kern w:val="2"/>
          <w:sz w:val="30"/>
          <w:szCs w:val="30"/>
          <w:highlight w:val="none"/>
          <w:lang w:val="en-US" w:eastAsia="zh-CN" w:bidi="ar-SA"/>
        </w:rPr>
        <w:t>托里县</w:t>
      </w:r>
      <w:r>
        <w:rPr>
          <w:rFonts w:hint="default" w:ascii="Times New Roman" w:hAnsi="Times New Roman" w:eastAsia="仿宋_GB2312" w:cs="Times New Roman"/>
          <w:b w:val="0"/>
          <w:bCs w:val="0"/>
          <w:kern w:val="2"/>
          <w:sz w:val="30"/>
          <w:szCs w:val="30"/>
          <w:highlight w:val="none"/>
          <w:lang w:val="en-US" w:eastAsia="zh-CN" w:bidi="ar-SA"/>
        </w:rPr>
        <w:t>人民政府的重视和</w:t>
      </w:r>
      <w:r>
        <w:rPr>
          <w:rFonts w:hint="eastAsia" w:ascii="Times New Roman" w:hAnsi="Times New Roman" w:eastAsia="仿宋_GB2312" w:cs="Times New Roman"/>
          <w:b w:val="0"/>
          <w:bCs w:val="0"/>
          <w:kern w:val="2"/>
          <w:sz w:val="30"/>
          <w:szCs w:val="30"/>
          <w:highlight w:val="none"/>
          <w:lang w:val="en-US" w:eastAsia="zh-CN" w:bidi="ar-SA"/>
        </w:rPr>
        <w:t>托里县</w:t>
      </w:r>
      <w:r>
        <w:rPr>
          <w:rFonts w:hint="default" w:ascii="Times New Roman" w:hAnsi="Times New Roman" w:eastAsia="仿宋_GB2312" w:cs="Times New Roman"/>
          <w:b w:val="0"/>
          <w:bCs w:val="0"/>
          <w:kern w:val="2"/>
          <w:sz w:val="30"/>
          <w:szCs w:val="30"/>
          <w:highlight w:val="none"/>
          <w:lang w:val="en-US" w:eastAsia="zh-CN" w:bidi="ar-SA"/>
        </w:rPr>
        <w:t>财政厅的支持下，为加强基层人大工作，改善基层人大工作条件，经财政部门批准设立“基层人大建设补助经费”。（塔地财行【2022】</w:t>
      </w:r>
      <w:r>
        <w:rPr>
          <w:rFonts w:hint="eastAsia" w:ascii="Times New Roman" w:hAnsi="Times New Roman" w:eastAsia="仿宋_GB2312" w:cs="Times New Roman"/>
          <w:b w:val="0"/>
          <w:bCs w:val="0"/>
          <w:kern w:val="2"/>
          <w:sz w:val="30"/>
          <w:szCs w:val="30"/>
          <w:highlight w:val="none"/>
          <w:lang w:val="en-US" w:eastAsia="zh-CN" w:bidi="ar-SA"/>
        </w:rPr>
        <w:t>42</w:t>
      </w:r>
      <w:r>
        <w:rPr>
          <w:rFonts w:hint="default" w:ascii="Times New Roman" w:hAnsi="Times New Roman" w:eastAsia="仿宋_GB2312" w:cs="Times New Roman"/>
          <w:b w:val="0"/>
          <w:bCs w:val="0"/>
          <w:kern w:val="2"/>
          <w:sz w:val="30"/>
          <w:szCs w:val="30"/>
          <w:highlight w:val="none"/>
          <w:lang w:val="en-US" w:eastAsia="zh-CN" w:bidi="ar-SA"/>
        </w:rPr>
        <w:t>号</w:t>
      </w:r>
      <w:r>
        <w:rPr>
          <w:rFonts w:hint="eastAsia" w:ascii="Times New Roman" w:hAnsi="Times New Roman" w:eastAsia="仿宋_GB2312" w:cs="Times New Roman"/>
          <w:b w:val="0"/>
          <w:bCs w:val="0"/>
          <w:kern w:val="2"/>
          <w:sz w:val="30"/>
          <w:szCs w:val="30"/>
          <w:highlight w:val="none"/>
          <w:lang w:val="en-US" w:eastAsia="zh-CN" w:bidi="ar-SA"/>
        </w:rPr>
        <w:t>和</w:t>
      </w:r>
      <w:r>
        <w:rPr>
          <w:rFonts w:hint="default" w:ascii="Times New Roman" w:hAnsi="Times New Roman" w:eastAsia="仿宋_GB2312" w:cs="Times New Roman"/>
          <w:b w:val="0"/>
          <w:bCs w:val="0"/>
          <w:kern w:val="2"/>
          <w:sz w:val="30"/>
          <w:szCs w:val="30"/>
          <w:highlight w:val="none"/>
          <w:lang w:val="en-US" w:eastAsia="zh-CN" w:bidi="ar-SA"/>
        </w:rPr>
        <w:t>塔地财行【202</w:t>
      </w:r>
      <w:r>
        <w:rPr>
          <w:rFonts w:hint="eastAsia" w:ascii="Times New Roman" w:hAnsi="Times New Roman" w:eastAsia="仿宋_GB2312" w:cs="Times New Roman"/>
          <w:b w:val="0"/>
          <w:bCs w:val="0"/>
          <w:kern w:val="2"/>
          <w:sz w:val="30"/>
          <w:szCs w:val="30"/>
          <w:highlight w:val="none"/>
          <w:lang w:val="en-US" w:eastAsia="zh-CN" w:bidi="ar-SA"/>
        </w:rPr>
        <w:t>3</w:t>
      </w:r>
      <w:r>
        <w:rPr>
          <w:rFonts w:hint="default" w:ascii="Times New Roman" w:hAnsi="Times New Roman" w:eastAsia="仿宋_GB2312" w:cs="Times New Roman"/>
          <w:b w:val="0"/>
          <w:bCs w:val="0"/>
          <w:kern w:val="2"/>
          <w:sz w:val="30"/>
          <w:szCs w:val="30"/>
          <w:highlight w:val="none"/>
          <w:lang w:val="en-US" w:eastAsia="zh-CN" w:bidi="ar-SA"/>
        </w:rPr>
        <w:t>】</w:t>
      </w:r>
      <w:r>
        <w:rPr>
          <w:rFonts w:hint="eastAsia" w:ascii="Times New Roman" w:hAnsi="Times New Roman" w:eastAsia="仿宋_GB2312" w:cs="Times New Roman"/>
          <w:b w:val="0"/>
          <w:bCs w:val="0"/>
          <w:kern w:val="2"/>
          <w:sz w:val="30"/>
          <w:szCs w:val="30"/>
          <w:highlight w:val="none"/>
          <w:lang w:val="en-US" w:eastAsia="zh-CN" w:bidi="ar-SA"/>
        </w:rPr>
        <w:t>49</w:t>
      </w:r>
      <w:r>
        <w:rPr>
          <w:rFonts w:hint="default" w:ascii="Times New Roman" w:hAnsi="Times New Roman" w:eastAsia="仿宋_GB2312" w:cs="Times New Roman"/>
          <w:b w:val="0"/>
          <w:bCs w:val="0"/>
          <w:kern w:val="2"/>
          <w:sz w:val="30"/>
          <w:szCs w:val="30"/>
          <w:highlight w:val="none"/>
          <w:lang w:val="en-US" w:eastAsia="zh-CN" w:bidi="ar-SA"/>
        </w:rPr>
        <w:t>号），从2008年开始，基层人大建设补助经费每年列入财政预算。</w:t>
      </w:r>
      <w:r>
        <w:rPr>
          <w:rFonts w:hint="eastAsia" w:ascii="Times New Roman" w:hAnsi="Times New Roman" w:eastAsia="仿宋_GB2312" w:cs="Times New Roman"/>
          <w:b w:val="0"/>
          <w:bCs w:val="0"/>
          <w:kern w:val="2"/>
          <w:sz w:val="30"/>
          <w:szCs w:val="30"/>
          <w:highlight w:val="none"/>
          <w:lang w:val="en-US" w:eastAsia="zh-CN" w:bidi="ar-SA"/>
        </w:rPr>
        <w:t>托里县</w:t>
      </w:r>
      <w:r>
        <w:rPr>
          <w:rFonts w:hint="default" w:ascii="Times New Roman" w:hAnsi="Times New Roman" w:eastAsia="仿宋_GB2312" w:cs="Times New Roman"/>
          <w:b w:val="0"/>
          <w:bCs w:val="0"/>
          <w:kern w:val="2"/>
          <w:sz w:val="30"/>
          <w:szCs w:val="30"/>
          <w:highlight w:val="none"/>
          <w:lang w:val="en-US" w:eastAsia="zh-CN" w:bidi="ar-SA"/>
        </w:rPr>
        <w:t>人大按照“统筹兼顾、合理安排、面向基层、经费相对集中使用”的原则，要求各</w:t>
      </w:r>
      <w:r>
        <w:rPr>
          <w:rFonts w:hint="eastAsia" w:ascii="Times New Roman" w:hAnsi="Times New Roman" w:eastAsia="仿宋_GB2312" w:cs="Times New Roman"/>
          <w:b w:val="0"/>
          <w:bCs w:val="0"/>
          <w:kern w:val="2"/>
          <w:sz w:val="30"/>
          <w:szCs w:val="30"/>
          <w:highlight w:val="none"/>
          <w:lang w:val="en-US" w:eastAsia="zh-CN" w:bidi="ar-SA"/>
        </w:rPr>
        <w:t>乡镇</w:t>
      </w:r>
      <w:r>
        <w:rPr>
          <w:rFonts w:hint="default" w:ascii="Times New Roman" w:hAnsi="Times New Roman" w:eastAsia="仿宋_GB2312" w:cs="Times New Roman"/>
          <w:b w:val="0"/>
          <w:bCs w:val="0"/>
          <w:kern w:val="2"/>
          <w:sz w:val="30"/>
          <w:szCs w:val="30"/>
          <w:highlight w:val="none"/>
          <w:lang w:val="en-US" w:eastAsia="zh-CN" w:bidi="ar-SA"/>
        </w:rPr>
        <w:t>人大根据基层人大具体情况及基层人大困难轻重缓急程度，有重点的对</w:t>
      </w:r>
      <w:r>
        <w:rPr>
          <w:rFonts w:hint="eastAsia" w:ascii="Times New Roman" w:hAnsi="Times New Roman" w:eastAsia="仿宋_GB2312" w:cs="Times New Roman"/>
          <w:b w:val="0"/>
          <w:bCs w:val="0"/>
          <w:kern w:val="2"/>
          <w:sz w:val="30"/>
          <w:szCs w:val="30"/>
          <w:highlight w:val="none"/>
          <w:lang w:val="en-US" w:eastAsia="zh-CN" w:bidi="ar-SA"/>
        </w:rPr>
        <w:t>全县各村联络站</w:t>
      </w:r>
      <w:r>
        <w:rPr>
          <w:rFonts w:hint="default" w:ascii="Times New Roman" w:hAnsi="Times New Roman" w:eastAsia="仿宋_GB2312" w:cs="Times New Roman"/>
          <w:b w:val="0"/>
          <w:bCs w:val="0"/>
          <w:kern w:val="2"/>
          <w:sz w:val="30"/>
          <w:szCs w:val="30"/>
          <w:highlight w:val="none"/>
          <w:lang w:val="en-US" w:eastAsia="zh-CN" w:bidi="ar-SA"/>
        </w:rPr>
        <w:t>进行补助，</w:t>
      </w:r>
      <w:r>
        <w:rPr>
          <w:rFonts w:hint="eastAsia" w:ascii="Times New Roman" w:hAnsi="Times New Roman" w:eastAsia="仿宋_GB2312" w:cs="Times New Roman"/>
          <w:b w:val="0"/>
          <w:bCs w:val="0"/>
          <w:kern w:val="2"/>
          <w:sz w:val="30"/>
          <w:szCs w:val="30"/>
          <w:highlight w:val="none"/>
          <w:lang w:val="en-US" w:eastAsia="zh-CN" w:bidi="ar-SA"/>
        </w:rPr>
        <w:t>托里县</w:t>
      </w:r>
      <w:r>
        <w:rPr>
          <w:rFonts w:hint="default" w:ascii="Times New Roman" w:hAnsi="Times New Roman" w:eastAsia="仿宋_GB2312" w:cs="Times New Roman"/>
          <w:b w:val="0"/>
          <w:bCs w:val="0"/>
          <w:kern w:val="2"/>
          <w:sz w:val="30"/>
          <w:szCs w:val="30"/>
          <w:highlight w:val="none"/>
          <w:lang w:val="en-US" w:eastAsia="zh-CN" w:bidi="ar-SA"/>
        </w:rPr>
        <w:t>人大统筹考虑，确定具体补助安排方案，报财政</w:t>
      </w:r>
      <w:r>
        <w:rPr>
          <w:rFonts w:hint="eastAsia" w:ascii="Times New Roman" w:hAnsi="Times New Roman" w:eastAsia="仿宋_GB2312" w:cs="Times New Roman"/>
          <w:b w:val="0"/>
          <w:bCs w:val="0"/>
          <w:kern w:val="2"/>
          <w:sz w:val="30"/>
          <w:szCs w:val="30"/>
          <w:highlight w:val="none"/>
          <w:lang w:val="en-US" w:eastAsia="zh-CN" w:bidi="ar-SA"/>
        </w:rPr>
        <w:t>局</w:t>
      </w:r>
      <w:r>
        <w:rPr>
          <w:rFonts w:hint="default" w:ascii="Times New Roman" w:hAnsi="Times New Roman" w:eastAsia="仿宋_GB2312" w:cs="Times New Roman"/>
          <w:b w:val="0"/>
          <w:bCs w:val="0"/>
          <w:kern w:val="2"/>
          <w:sz w:val="30"/>
          <w:szCs w:val="30"/>
          <w:highlight w:val="none"/>
          <w:lang w:val="en-US" w:eastAsia="zh-CN" w:bidi="ar-SA"/>
        </w:rPr>
        <w:t>审批拨付。</w:t>
      </w:r>
    </w:p>
    <w:p w14:paraId="7E1CA18C">
      <w:pPr>
        <w:pStyle w:val="9"/>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14:paraId="77CED00F">
      <w:pPr>
        <w:spacing w:line="560" w:lineRule="exact"/>
        <w:ind w:firstLine="600" w:firstLineChars="200"/>
        <w:rPr>
          <w:rFonts w:hint="default" w:ascii="Times New Roman" w:hAnsi="Times New Roman" w:eastAsia="黑体" w:cs="Times New Roman"/>
          <w:highlight w:val="none"/>
          <w:lang w:eastAsia="zh-CN"/>
        </w:rPr>
      </w:pPr>
      <w:r>
        <w:rPr>
          <w:rFonts w:hint="default" w:ascii="Times New Roman" w:hAnsi="Times New Roman" w:eastAsia="仿宋_GB2312" w:cs="Times New Roman"/>
          <w:sz w:val="30"/>
          <w:szCs w:val="30"/>
          <w:highlight w:val="none"/>
          <w:lang w:val="en-US" w:eastAsia="zh-CN"/>
        </w:rPr>
        <w:t>项目主要内容：</w:t>
      </w:r>
      <w:r>
        <w:rPr>
          <w:rFonts w:hint="default" w:ascii="Times New Roman" w:hAnsi="Times New Roman" w:eastAsia="仿宋_GB2312" w:cs="Times New Roman"/>
          <w:b w:val="0"/>
          <w:bCs w:val="0"/>
          <w:kern w:val="2"/>
          <w:sz w:val="30"/>
          <w:szCs w:val="30"/>
          <w:highlight w:val="none"/>
          <w:lang w:val="en-US" w:eastAsia="zh-CN" w:bidi="ar-SA"/>
        </w:rPr>
        <w:t>自治区基层人大补助项目主要用于完善村级联络站办公场所及配套设施。本单位认真贯彻落实</w:t>
      </w:r>
      <w:r>
        <w:rPr>
          <w:rFonts w:hint="eastAsia" w:eastAsia="仿宋_GB2312" w:cs="Times New Roman"/>
          <w:b w:val="0"/>
          <w:bCs w:val="0"/>
          <w:kern w:val="2"/>
          <w:sz w:val="30"/>
          <w:szCs w:val="30"/>
          <w:highlight w:val="none"/>
          <w:lang w:val="en-US" w:eastAsia="zh-CN" w:bidi="ar-SA"/>
        </w:rPr>
        <w:t>地区</w:t>
      </w:r>
      <w:r>
        <w:rPr>
          <w:rFonts w:hint="default" w:ascii="Times New Roman" w:hAnsi="Times New Roman" w:eastAsia="仿宋_GB2312" w:cs="Times New Roman"/>
          <w:b w:val="0"/>
          <w:bCs w:val="0"/>
          <w:kern w:val="2"/>
          <w:sz w:val="30"/>
          <w:szCs w:val="30"/>
          <w:highlight w:val="none"/>
          <w:lang w:val="en-US" w:eastAsia="zh-CN" w:bidi="ar-SA"/>
        </w:rPr>
        <w:t>人大精神，要求该专项资金的主要用途是</w:t>
      </w:r>
      <w:r>
        <w:rPr>
          <w:rFonts w:hint="eastAsia" w:eastAsia="仿宋_GB2312" w:cs="Times New Roman"/>
          <w:b w:val="0"/>
          <w:bCs w:val="0"/>
          <w:kern w:val="2"/>
          <w:sz w:val="30"/>
          <w:szCs w:val="30"/>
          <w:highlight w:val="none"/>
          <w:lang w:val="en-US" w:eastAsia="zh-CN" w:bidi="ar-SA"/>
        </w:rPr>
        <w:t>改造10</w:t>
      </w:r>
      <w:r>
        <w:rPr>
          <w:rFonts w:hint="default" w:ascii="Times New Roman" w:hAnsi="Times New Roman" w:eastAsia="仿宋_GB2312" w:cs="Times New Roman"/>
          <w:b w:val="0"/>
          <w:bCs w:val="0"/>
          <w:kern w:val="2"/>
          <w:sz w:val="30"/>
          <w:szCs w:val="30"/>
          <w:highlight w:val="none"/>
          <w:lang w:val="en-US" w:eastAsia="zh-CN" w:bidi="ar-SA"/>
        </w:rPr>
        <w:t>个村级联络站</w:t>
      </w:r>
      <w:r>
        <w:rPr>
          <w:rFonts w:hint="eastAsia" w:eastAsia="仿宋_GB2312" w:cs="Times New Roman"/>
          <w:b w:val="0"/>
          <w:bCs w:val="0"/>
          <w:kern w:val="2"/>
          <w:sz w:val="30"/>
          <w:szCs w:val="30"/>
          <w:highlight w:val="none"/>
          <w:lang w:val="en-US" w:eastAsia="zh-CN" w:bidi="ar-SA"/>
        </w:rPr>
        <w:t>和1个家室站</w:t>
      </w:r>
      <w:r>
        <w:rPr>
          <w:rFonts w:hint="default" w:ascii="Times New Roman" w:hAnsi="Times New Roman" w:eastAsia="仿宋_GB2312" w:cs="Times New Roman"/>
          <w:b w:val="0"/>
          <w:bCs w:val="0"/>
          <w:kern w:val="2"/>
          <w:sz w:val="30"/>
          <w:szCs w:val="30"/>
          <w:highlight w:val="none"/>
          <w:lang w:val="en-US" w:eastAsia="zh-CN" w:bidi="ar-SA"/>
        </w:rPr>
        <w:t>，进一步提升乡镇人大代表的履职能力，进一步改善了托里县人大的办公环境，为更好地开展人大工作奠定了良好的基础</w:t>
      </w:r>
      <w:r>
        <w:rPr>
          <w:rFonts w:hint="eastAsia" w:eastAsia="仿宋_GB2312" w:cs="Times New Roman"/>
          <w:b w:val="0"/>
          <w:bCs w:val="0"/>
          <w:kern w:val="2"/>
          <w:sz w:val="30"/>
          <w:szCs w:val="30"/>
          <w:highlight w:val="none"/>
          <w:lang w:val="en-US" w:eastAsia="zh-CN" w:bidi="ar-SA"/>
        </w:rPr>
        <w:t>。</w:t>
      </w:r>
    </w:p>
    <w:p w14:paraId="34D541FF">
      <w:pPr>
        <w:spacing w:line="560" w:lineRule="exact"/>
        <w:ind w:firstLine="640" w:firstLineChars="200"/>
        <w:rPr>
          <w:rFonts w:hint="default" w:ascii="Times New Roman" w:hAnsi="Times New Roman" w:cs="Times New Roman"/>
          <w:highlight w:val="none"/>
          <w:lang w:val="en-US"/>
        </w:rPr>
      </w:pPr>
      <w:r>
        <w:rPr>
          <w:rFonts w:hint="default" w:ascii="Times New Roman" w:hAnsi="Times New Roman" w:eastAsia="仿宋_GB2312" w:cs="Times New Roman"/>
          <w:sz w:val="32"/>
          <w:szCs w:val="32"/>
          <w:highlight w:val="none"/>
        </w:rPr>
        <w:t>项目实施情况：</w:t>
      </w:r>
      <w:r>
        <w:rPr>
          <w:rFonts w:hint="eastAsia" w:ascii="Times New Roman" w:hAnsi="Times New Roman" w:eastAsia="仿宋_GB2312" w:cs="Times New Roman"/>
          <w:b w:val="0"/>
          <w:bCs w:val="0"/>
          <w:kern w:val="2"/>
          <w:sz w:val="30"/>
          <w:szCs w:val="30"/>
          <w:highlight w:val="none"/>
          <w:lang w:val="en-US" w:eastAsia="zh-CN" w:bidi="ar-SA"/>
        </w:rPr>
        <w:t>截止2024年12月31日，我单位对10个村联络站的提升改造和1个家室站的提升改造已</w:t>
      </w:r>
      <w:r>
        <w:rPr>
          <w:rFonts w:hint="eastAsia" w:eastAsia="仿宋_GB2312" w:cs="Times New Roman"/>
          <w:b w:val="0"/>
          <w:bCs w:val="0"/>
          <w:kern w:val="2"/>
          <w:sz w:val="30"/>
          <w:szCs w:val="30"/>
          <w:highlight w:val="none"/>
          <w:lang w:val="en-US" w:eastAsia="zh-CN" w:bidi="ar-SA"/>
        </w:rPr>
        <w:t>全部完成，11个村联络站（家室站）目前已全部投入使用，通过提升改造进一步改善了代表们的办公环境，促进了群众和代表之间的关系。</w:t>
      </w:r>
    </w:p>
    <w:p w14:paraId="3A7E3CE6">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66A1054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30133AA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0D0F48D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79E9BB6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%，主要用于：提升改造10个村级联络站和1个家室站。</w:t>
      </w:r>
    </w:p>
    <w:p w14:paraId="35733B8C">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6ED8AC60">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3DD33FC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自治区人大基层补助项目共计18万元，主要用于提升改造10个村级联络站和1个家室站。</w:t>
      </w:r>
      <w:r>
        <w:rPr>
          <w:rFonts w:hint="eastAsia" w:ascii="Times New Roman" w:hAnsi="Times New Roman" w:eastAsia="仿宋_GB2312" w:cs="Times New Roman"/>
          <w:sz w:val="32"/>
          <w:szCs w:val="32"/>
          <w:highlight w:val="none"/>
          <w:lang w:val="en-US" w:eastAsia="zh-CN"/>
        </w:rPr>
        <w:t>托里县</w:t>
      </w:r>
      <w:r>
        <w:rPr>
          <w:rFonts w:hint="default" w:ascii="Times New Roman" w:hAnsi="Times New Roman" w:eastAsia="仿宋_GB2312" w:cs="Times New Roman"/>
          <w:sz w:val="32"/>
          <w:szCs w:val="32"/>
          <w:highlight w:val="none"/>
          <w:lang w:val="en-US" w:eastAsia="zh-CN"/>
        </w:rPr>
        <w:t>人大坚持以习近平新时代中国特色社会主义思想为指导，深入学习贯彻党的十九大和十九届二中、三中全会精神，贯彻落实</w:t>
      </w:r>
      <w:r>
        <w:rPr>
          <w:rFonts w:hint="eastAsia" w:ascii="Times New Roman" w:hAnsi="Times New Roman" w:eastAsia="仿宋_GB2312" w:cs="Times New Roman"/>
          <w:sz w:val="32"/>
          <w:szCs w:val="32"/>
          <w:highlight w:val="none"/>
          <w:lang w:val="en-US" w:eastAsia="zh-CN"/>
        </w:rPr>
        <w:t>县</w:t>
      </w:r>
      <w:r>
        <w:rPr>
          <w:rFonts w:hint="default" w:ascii="Times New Roman" w:hAnsi="Times New Roman" w:eastAsia="仿宋_GB2312" w:cs="Times New Roman"/>
          <w:sz w:val="32"/>
          <w:szCs w:val="32"/>
          <w:highlight w:val="none"/>
          <w:lang w:val="en-US" w:eastAsia="zh-CN"/>
        </w:rPr>
        <w:t>党委安排部署，坚定不移坚持党对人大工作的全面领导，旗帜鲜明讲政治，增强“四个意识”、坚定“四个自信”，开创新时代</w:t>
      </w:r>
      <w:r>
        <w:rPr>
          <w:rFonts w:hint="eastAsia" w:ascii="Times New Roman" w:hAnsi="Times New Roman" w:eastAsia="仿宋_GB2312" w:cs="Times New Roman"/>
          <w:sz w:val="32"/>
          <w:szCs w:val="32"/>
          <w:highlight w:val="none"/>
          <w:lang w:val="en-US" w:eastAsia="zh-CN"/>
        </w:rPr>
        <w:t>托里县</w:t>
      </w:r>
      <w:r>
        <w:rPr>
          <w:rFonts w:hint="default" w:ascii="Times New Roman" w:hAnsi="Times New Roman" w:eastAsia="仿宋_GB2312" w:cs="Times New Roman"/>
          <w:sz w:val="32"/>
          <w:szCs w:val="32"/>
          <w:highlight w:val="none"/>
          <w:lang w:val="en-US" w:eastAsia="zh-CN"/>
        </w:rPr>
        <w:t>人大工作新局面，把握“五个明确”，做好新时代新疆人大工作，基层人大补助经费用于完善村级联络站办公场所及配套设施。各基层人大代表对人大工作满意度达到95%。</w:t>
      </w:r>
      <w:r>
        <w:rPr>
          <w:rFonts w:hint="eastAsia" w:ascii="Times New Roman" w:hAnsi="Times New Roman" w:eastAsia="仿宋_GB2312" w:cs="Times New Roman"/>
          <w:sz w:val="32"/>
          <w:szCs w:val="32"/>
          <w:highlight w:val="none"/>
          <w:lang w:val="en-US" w:eastAsia="zh-CN"/>
        </w:rPr>
        <w:t>。</w:t>
      </w:r>
    </w:p>
    <w:p w14:paraId="3671A1B4">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14:paraId="2617C2BC">
      <w:pPr>
        <w:spacing w:line="560" w:lineRule="exact"/>
        <w:ind w:firstLine="640" w:firstLineChars="200"/>
        <w:rPr>
          <w:rFonts w:hint="default" w:ascii="Times New Roman" w:hAnsi="Times New Roman" w:eastAsia="黑体" w:cs="Times New Roman"/>
          <w:b w:val="0"/>
          <w:bCs/>
          <w:highlight w:val="none"/>
          <w:lang w:eastAsia="zh-CN"/>
        </w:rPr>
      </w:pPr>
      <w:r>
        <w:rPr>
          <w:rFonts w:hint="eastAsia" w:ascii="Times New Roman" w:hAnsi="Times New Roman" w:eastAsia="仿宋_GB2312" w:cs="Times New Roman"/>
          <w:sz w:val="32"/>
          <w:szCs w:val="32"/>
          <w:highlight w:val="none"/>
          <w:lang w:val="en-US" w:eastAsia="zh-CN"/>
        </w:rPr>
        <w:t>我单位</w:t>
      </w:r>
      <w:r>
        <w:rPr>
          <w:rFonts w:hint="eastAsia" w:eastAsia="仿宋_GB2312" w:cs="Times New Roman"/>
          <w:sz w:val="32"/>
          <w:szCs w:val="32"/>
          <w:highlight w:val="none"/>
          <w:lang w:val="en-US" w:eastAsia="zh-CN"/>
        </w:rPr>
        <w:t>3月开会初步部署改造方案，4-8月联系施工方根据每村具体情况制作具体方案进行实施，9-10月对各村联络站进行验收，11-12月开始跑办支付手续，支付所有款项</w:t>
      </w:r>
      <w:r>
        <w:rPr>
          <w:rStyle w:val="15"/>
          <w:rFonts w:hint="eastAsia" w:ascii="Times New Roman" w:hAnsi="Times New Roman" w:eastAsia="黑体" w:cs="Times New Roman"/>
          <w:b w:val="0"/>
          <w:bCs/>
          <w:spacing w:val="-4"/>
          <w:sz w:val="32"/>
          <w:szCs w:val="32"/>
          <w:highlight w:val="none"/>
          <w:lang w:eastAsia="zh-CN"/>
        </w:rPr>
        <w:t>。</w:t>
      </w:r>
    </w:p>
    <w:p w14:paraId="696D1E2A">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2A4BD946">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7954A810">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79DEDC42">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7FC53F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w:t>
      </w:r>
      <w:r>
        <w:rPr>
          <w:rFonts w:hint="eastAsia"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维度，力求全方位反映项目的绩效状况。同时，对于每个指标的评价标准和数据来源均进行了明确说明，确保评价结果的客观性和可追溯性。</w:t>
      </w:r>
    </w:p>
    <w:p w14:paraId="2BE36BCF">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AB29337">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71EC490">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19A3C629">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1B3F87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47090A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14570C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2D4DA7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3A80DF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321637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BD2F2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F0D78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2727C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3A687D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E9390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DA6665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75E791C9">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本项目预算绩效评价报告的评价对象是自治区基层人大补助项目及其预算执行情况。该项目由</w:t>
      </w:r>
      <w:r>
        <w:rPr>
          <w:rFonts w:hint="eastAsia" w:ascii="Times New Roman" w:hAnsi="Times New Roman" w:eastAsia="仿宋_GB2312" w:cs="Times New Roman"/>
          <w:b w:val="0"/>
          <w:bCs w:val="0"/>
          <w:highlight w:val="none"/>
          <w:lang w:eastAsia="zh-CN"/>
        </w:rPr>
        <w:t>托里县人大办人事代表科</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eastAsia="zh-CN"/>
        </w:rPr>
        <w:t>逐步</w:t>
      </w:r>
      <w:r>
        <w:rPr>
          <w:rFonts w:hint="default" w:ascii="Times New Roman" w:hAnsi="Times New Roman" w:eastAsia="仿宋_GB2312" w:cs="Times New Roman"/>
          <w:b w:val="0"/>
          <w:bCs w:val="0"/>
          <w:highlight w:val="none"/>
        </w:rPr>
        <w:t>完善村级联络站办公场所及配套设施。项目预算涵盖从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18</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6C425977">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6714816C">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4EF9EE69">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219E7F47">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604D0FE7">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027020EA">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社会影响：考察项目对社会的综合影响。</w:t>
      </w:r>
    </w:p>
    <w:p w14:paraId="7DD87885">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649CC995">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04660F3E">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38E9D883">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5D3F245E">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05AB12D3">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205198D6">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65B0B239">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40FDEC1C">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19E2368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44600D5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28B0C12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59EAFD4E">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715D457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771D548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70BDE2EC">
      <w:pPr>
        <w:pStyle w:val="9"/>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11DB59AC">
      <w:pPr>
        <w:pStyle w:val="9"/>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71F879F4">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5D12F4C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164C9DD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r>
        <w:rPr>
          <w:rFonts w:hint="eastAsia" w:eastAsia="仿宋_GB2312" w:cs="Times New Roman"/>
          <w:color w:val="000000"/>
          <w:spacing w:val="17"/>
          <w:sz w:val="32"/>
          <w:szCs w:val="32"/>
          <w:highlight w:val="none"/>
          <w:lang w:eastAsia="zh-CN"/>
        </w:rPr>
        <w:t>采用因素分析法。</w:t>
      </w:r>
    </w:p>
    <w:p w14:paraId="5E187F1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（一）成本效益分析法。是指将投入与产出、效益进行关联性分析的方法。</w:t>
      </w:r>
      <w:r>
        <w:rPr>
          <w:rFonts w:hint="eastAsia" w:eastAsia="仿宋_GB2312" w:cs="Times New Roman"/>
          <w:color w:val="000000"/>
          <w:spacing w:val="17"/>
          <w:sz w:val="32"/>
          <w:szCs w:val="32"/>
          <w:highlight w:val="none"/>
          <w:lang w:val="en-US" w:eastAsia="zh-CN"/>
        </w:rPr>
        <w:t>该项目成本</w:t>
      </w:r>
      <w:r>
        <w:rPr>
          <w:rFonts w:hint="default" w:ascii="Times New Roman" w:hAnsi="Times New Roman" w:eastAsia="仿宋_GB2312" w:cs="Times New Roman"/>
          <w:color w:val="000000"/>
          <w:spacing w:val="17"/>
          <w:sz w:val="32"/>
          <w:szCs w:val="32"/>
          <w:highlight w:val="none"/>
        </w:rPr>
        <w:t>包括对基层人大办公设施改善、代表培训、开展调研活动等方面的直接资金投入</w:t>
      </w:r>
      <w:r>
        <w:rPr>
          <w:rFonts w:hint="eastAsia" w:eastAsia="仿宋_GB2312" w:cs="Times New Roman"/>
          <w:color w:val="000000"/>
          <w:spacing w:val="17"/>
          <w:sz w:val="32"/>
          <w:szCs w:val="32"/>
          <w:highlight w:val="none"/>
          <w:lang w:eastAsia="zh-CN"/>
        </w:rPr>
        <w:t>，</w:t>
      </w:r>
      <w:r>
        <w:rPr>
          <w:rFonts w:hint="eastAsia" w:eastAsia="仿宋_GB2312" w:cs="Times New Roman"/>
          <w:color w:val="000000"/>
          <w:spacing w:val="17"/>
          <w:sz w:val="32"/>
          <w:szCs w:val="32"/>
          <w:highlight w:val="none"/>
          <w:lang w:val="en-US" w:eastAsia="zh-CN"/>
        </w:rPr>
        <w:t>还</w:t>
      </w:r>
      <w:r>
        <w:rPr>
          <w:rFonts w:hint="default" w:ascii="Times New Roman" w:hAnsi="Times New Roman" w:eastAsia="仿宋_GB2312" w:cs="Times New Roman"/>
          <w:color w:val="000000"/>
          <w:spacing w:val="17"/>
          <w:sz w:val="32"/>
          <w:szCs w:val="32"/>
          <w:highlight w:val="none"/>
        </w:rPr>
        <w:t>涉及工作人员为实施项目所付出的时间和精力，以及因项目增加的人力雇佣成本等。</w:t>
      </w:r>
      <w:r>
        <w:rPr>
          <w:rFonts w:hint="eastAsia" w:eastAsia="仿宋_GB2312" w:cs="Times New Roman"/>
          <w:color w:val="000000"/>
          <w:spacing w:val="17"/>
          <w:sz w:val="32"/>
          <w:szCs w:val="32"/>
          <w:highlight w:val="none"/>
          <w:lang w:val="en-US" w:eastAsia="zh-CN"/>
        </w:rPr>
        <w:t>另外还有</w:t>
      </w:r>
      <w:r>
        <w:rPr>
          <w:rFonts w:hint="default" w:ascii="Times New Roman" w:hAnsi="Times New Roman" w:eastAsia="仿宋_GB2312" w:cs="Times New Roman"/>
          <w:color w:val="000000"/>
          <w:spacing w:val="17"/>
          <w:sz w:val="32"/>
          <w:szCs w:val="32"/>
          <w:highlight w:val="none"/>
        </w:rPr>
        <w:t>项目管理过程中的组织协调、监督评估等活动产生的费用。</w:t>
      </w:r>
    </w:p>
    <w:p w14:paraId="3DBFC135">
      <w:pPr>
        <w:spacing w:line="560" w:lineRule="exact"/>
        <w:rPr>
          <w:rFonts w:hint="default" w:ascii="Times New Roman" w:hAnsi="Times New Roman" w:eastAsia="仿宋_GB2312" w:cs="Times New Roman"/>
          <w:color w:val="000000"/>
          <w:spacing w:val="17"/>
          <w:sz w:val="32"/>
          <w:szCs w:val="32"/>
          <w:highlight w:val="none"/>
        </w:rPr>
      </w:pPr>
      <w:r>
        <w:rPr>
          <w:rFonts w:hint="eastAsia" w:eastAsia="仿宋_GB2312" w:cs="Times New Roman"/>
          <w:color w:val="000000"/>
          <w:spacing w:val="17"/>
          <w:sz w:val="32"/>
          <w:szCs w:val="32"/>
          <w:highlight w:val="none"/>
          <w:lang w:val="en-US" w:eastAsia="zh-CN"/>
        </w:rPr>
        <w:t>但项目的开展</w:t>
      </w:r>
      <w:r>
        <w:rPr>
          <w:rFonts w:hint="default" w:ascii="Times New Roman" w:hAnsi="Times New Roman" w:eastAsia="仿宋_GB2312" w:cs="Times New Roman"/>
          <w:color w:val="000000"/>
          <w:spacing w:val="17"/>
          <w:sz w:val="32"/>
          <w:szCs w:val="32"/>
          <w:highlight w:val="none"/>
        </w:rPr>
        <w:t>有助于加强基层民主政治建设，提高基层人大代表履职能力，使基层人大更好地发挥作用，保障人民当家作主的权利，提升政府公信力和形象。促进基层人大与民众的沟通联系，使政府决策更符合民意，减少社会矛盾，维护社会稳定，推动社会和谐发展。通过基层人大对当地经济发展的监督和推动，可能吸引更多投资，优化营商环境，促进地方经济发展，带来长期的经济增长。</w:t>
      </w:r>
    </w:p>
    <w:p w14:paraId="38C53EFF">
      <w:pPr>
        <w:spacing w:line="560" w:lineRule="exact"/>
        <w:ind w:firstLine="708" w:firstLineChars="200"/>
        <w:rPr>
          <w:rFonts w:hint="eastAsia"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二</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r>
        <w:rPr>
          <w:rFonts w:hint="eastAsia" w:eastAsia="仿宋_GB2312" w:cs="Times New Roman"/>
          <w:color w:val="000000"/>
          <w:spacing w:val="17"/>
          <w:sz w:val="32"/>
          <w:szCs w:val="32"/>
          <w:highlight w:val="none"/>
          <w:lang w:val="en-US" w:eastAsia="zh-CN"/>
        </w:rPr>
        <w:t>本项目对对收集到的问卷数据、访谈内容等进行整理和分析，通过统计分析方法计算各项评判指标的得分和满意度，总结公众对补助项目的总体评价。</w:t>
      </w:r>
    </w:p>
    <w:p w14:paraId="60DFE6F2">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eastAsia" w:eastAsia="仿宋_GB2312" w:cs="Times New Roman"/>
          <w:color w:val="000000"/>
          <w:spacing w:val="17"/>
          <w:sz w:val="32"/>
          <w:szCs w:val="32"/>
          <w:highlight w:val="none"/>
          <w:lang w:val="en-US" w:eastAsia="zh-CN"/>
        </w:rPr>
        <w:t>根据分析结果，找出补助项目存在的问题和不足之处，为项目的改进和完善提供依据。同时，将公众评判结果作为今后基层人大补助项目决策、资金分配和管理的重要参考，以提高项目的实施效果和资金使用效益，更好地服务于基层民主政治建设。</w:t>
      </w:r>
    </w:p>
    <w:p w14:paraId="70C5E30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163E64A0">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14:paraId="07138050">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r>
        <w:rPr>
          <w:rFonts w:hint="eastAsia" w:ascii="Times New Roman" w:hAnsi="Times New Roman" w:eastAsia="仿宋_GB2312" w:cs="Times New Roman"/>
          <w:b w:val="0"/>
          <w:bCs w:val="0"/>
          <w:highlight w:val="none"/>
          <w:lang w:val="en-US" w:eastAsia="zh-CN"/>
        </w:rPr>
        <w:t>该项目计划</w:t>
      </w:r>
      <w:r>
        <w:rPr>
          <w:rFonts w:hint="default" w:ascii="Times New Roman" w:hAnsi="Times New Roman" w:eastAsia="仿宋_GB2312" w:cs="Times New Roman"/>
          <w:b w:val="0"/>
          <w:bCs w:val="0"/>
          <w:highlight w:val="none"/>
        </w:rPr>
        <w:t>提高基层人大代表履职能力，使代表能够更有效地反映选民意见和建议</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改善基层人大办公条件，确保办公设施满足日常工作需要</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根据项目内容和实际需求，科学合理编制资金预算，明确各项费用的支出标准和金额。严格按照预算安排使用资金，确保资金专款专用，不得挪作他用。资金支出要符合相关财务制度和规定，有合法有效的票据和审批手续；建立健全资金监管机制，加强对资金使用情况的监督和检查。定期对资金使用情况进行审计，及时发现和纠正资金使用过程中存在的问题，确保资金安全、规范、高效使用。</w:t>
      </w:r>
      <w:r>
        <w:rPr>
          <w:rFonts w:hint="default" w:ascii="Times New Roman" w:hAnsi="Times New Roman" w:eastAsia="仿宋_GB2312" w:cs="Times New Roman"/>
          <w:b w:val="0"/>
          <w:bCs w:val="0"/>
          <w:highlight w:val="none"/>
        </w:rPr>
        <w:t xml:space="preserve"> </w:t>
      </w:r>
    </w:p>
    <w:p w14:paraId="7AC4A7DE">
      <w:pPr>
        <w:pStyle w:val="9"/>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752922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407736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w:t>
      </w:r>
      <w:r>
        <w:rPr>
          <w:rFonts w:hint="eastAsia" w:eastAsia="仿宋_GB2312" w:cs="Times New Roman"/>
          <w:sz w:val="32"/>
          <w:szCs w:val="32"/>
          <w:highlight w:val="none"/>
          <w:lang w:val="en-US" w:eastAsia="zh-CN"/>
        </w:rPr>
        <w:t>专干</w:t>
      </w:r>
      <w:r>
        <w:rPr>
          <w:rFonts w:hint="default" w:ascii="Times New Roman" w:hAnsi="Times New Roman" w:eastAsia="仿宋_GB2312" w:cs="Times New Roman"/>
          <w:sz w:val="32"/>
          <w:szCs w:val="32"/>
          <w:highlight w:val="none"/>
        </w:rPr>
        <w:t>、项目管理专业人员及相关领域技术骨干组成，确保从多角度、全方位对项目绩效进行评价。同时，明确了评价工作的目标、范围、重点及时间安排，制定了详细的工作计划，为评价工作的顺利开展奠定了坚实基础。</w:t>
      </w:r>
    </w:p>
    <w:p w14:paraId="150683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4280CF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6DA9CA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66B496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507401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535988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00C546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01F26C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56577E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2AB663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F18AE1A">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1ABD76CF">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7CC3EB4F">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自治区基层人大补助项目</w:t>
      </w:r>
      <w:r>
        <w:rPr>
          <w:rFonts w:hint="default" w:ascii="Times New Roman" w:hAnsi="Times New Roman" w:eastAsia="仿宋_GB2312" w:cs="Times New Roman"/>
          <w:sz w:val="32"/>
          <w:szCs w:val="32"/>
          <w:highlight w:val="none"/>
        </w:rPr>
        <w:t>在提升改造家室站</w:t>
      </w:r>
      <w:r>
        <w:rPr>
          <w:rFonts w:hint="eastAsia" w:eastAsia="仿宋_GB2312" w:cs="Times New Roman"/>
          <w:sz w:val="32"/>
          <w:szCs w:val="32"/>
          <w:highlight w:val="none"/>
          <w:lang w:eastAsia="zh-CN"/>
        </w:rPr>
        <w:t>、提升改造村联络站</w:t>
      </w:r>
      <w:r>
        <w:rPr>
          <w:rFonts w:hint="default" w:ascii="Times New Roman" w:hAnsi="Times New Roman" w:eastAsia="仿宋_GB2312" w:cs="Times New Roman"/>
          <w:sz w:val="32"/>
          <w:szCs w:val="32"/>
          <w:highlight w:val="none"/>
        </w:rPr>
        <w:t>等方面表现出色，达到了预期的标准与要求。同时，项目也在</w:t>
      </w:r>
      <w:r>
        <w:rPr>
          <w:rFonts w:hint="default" w:ascii="Times New Roman" w:hAnsi="Times New Roman" w:eastAsia="仿宋_GB2312" w:cs="Times New Roman"/>
          <w:color w:val="auto"/>
          <w:sz w:val="32"/>
          <w:szCs w:val="32"/>
          <w:highlight w:val="none"/>
        </w:rPr>
        <w:t>提高各层人大代表履职能力</w:t>
      </w:r>
      <w:r>
        <w:rPr>
          <w:rFonts w:hint="eastAsia" w:eastAsia="仿宋_GB2312" w:cs="Times New Roman"/>
          <w:color w:val="auto"/>
          <w:sz w:val="32"/>
          <w:szCs w:val="32"/>
          <w:highlight w:val="none"/>
          <w:lang w:eastAsia="zh-CN"/>
        </w:rPr>
        <w:t>方面</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eastAsia="zh-CN"/>
        </w:rPr>
        <w:t>通过提升改造，进一步完善</w:t>
      </w:r>
      <w:r>
        <w:rPr>
          <w:rFonts w:hint="eastAsia" w:eastAsia="仿宋_GB2312" w:cs="Times New Roman"/>
          <w:sz w:val="32"/>
          <w:szCs w:val="32"/>
          <w:highlight w:val="none"/>
          <w:lang w:val="en-US" w:eastAsia="zh-CN"/>
        </w:rPr>
        <w:t>了</w:t>
      </w:r>
      <w:r>
        <w:rPr>
          <w:rFonts w:hint="eastAsia" w:eastAsia="仿宋_GB2312" w:cs="Times New Roman"/>
          <w:sz w:val="32"/>
          <w:szCs w:val="32"/>
          <w:highlight w:val="none"/>
          <w:lang w:eastAsia="zh-CN"/>
        </w:rPr>
        <w:t>村联络办公场所和提升各层人大代表履职能力</w:t>
      </w:r>
      <w:r>
        <w:rPr>
          <w:rFonts w:hint="default" w:ascii="Times New Roman" w:hAnsi="Times New Roman" w:eastAsia="仿宋_GB2312" w:cs="Times New Roman"/>
          <w:sz w:val="32"/>
          <w:szCs w:val="32"/>
          <w:highlight w:val="none"/>
        </w:rPr>
        <w:t>等。</w:t>
      </w:r>
    </w:p>
    <w:p w14:paraId="6AAF946D">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托里县人民代表大会常务委员会办公室</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46F39066">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从项目效益的角度来看，本项目实现了预期的社会效益方面产生了积极的影响。具体而言，提高各层人大代表履职能力等方面的提升，为项目的利益相关者带来了实实在在的利益。</w:t>
      </w:r>
    </w:p>
    <w:p w14:paraId="2EB460AC">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综上所述，自治区基层人大补助项目在绩效评价中表现出色，达到了项目的预期目标，并在多个方面取得了显著的成效。</w:t>
      </w:r>
    </w:p>
    <w:p w14:paraId="0086E05C">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1A0D4A61">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46093AB8">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2"/>
        <w:tblW w:w="0" w:type="auto"/>
        <w:jc w:val="center"/>
        <w:tblLayout w:type="fixed"/>
        <w:tblCellMar>
          <w:top w:w="0" w:type="dxa"/>
          <w:left w:w="108" w:type="dxa"/>
          <w:bottom w:w="0" w:type="dxa"/>
          <w:right w:w="108" w:type="dxa"/>
        </w:tblCellMar>
      </w:tblPr>
      <w:tblGrid>
        <w:gridCol w:w="2787"/>
        <w:gridCol w:w="1927"/>
        <w:gridCol w:w="2023"/>
        <w:gridCol w:w="2023"/>
      </w:tblGrid>
      <w:tr w14:paraId="57ACA053">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noWrap w:val="0"/>
            <w:vAlign w:val="center"/>
          </w:tcPr>
          <w:p w14:paraId="54023DE5">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noWrap w:val="0"/>
            <w:vAlign w:val="center"/>
          </w:tcPr>
          <w:p w14:paraId="5559E696">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noWrap w:val="0"/>
            <w:vAlign w:val="center"/>
          </w:tcPr>
          <w:p w14:paraId="772B05AB">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noWrap w:val="0"/>
            <w:vAlign w:val="center"/>
          </w:tcPr>
          <w:p w14:paraId="2A87529E">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4ECD2AE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noWrap w:val="0"/>
            <w:vAlign w:val="center"/>
          </w:tcPr>
          <w:p w14:paraId="7EE0BAF6">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noWrap w:val="0"/>
            <w:vAlign w:val="center"/>
          </w:tcPr>
          <w:p w14:paraId="57B344A6">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noWrap w:val="0"/>
            <w:vAlign w:val="center"/>
          </w:tcPr>
          <w:p w14:paraId="322A5B67">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noWrap w:val="0"/>
            <w:vAlign w:val="center"/>
          </w:tcPr>
          <w:p w14:paraId="257571E7">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44B8D96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noWrap w:val="0"/>
            <w:vAlign w:val="center"/>
          </w:tcPr>
          <w:p w14:paraId="6D1406C2">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noWrap w:val="0"/>
            <w:vAlign w:val="center"/>
          </w:tcPr>
          <w:p w14:paraId="11ED5016">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noWrap w:val="0"/>
            <w:vAlign w:val="center"/>
          </w:tcPr>
          <w:p w14:paraId="0D05F51B">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noWrap w:val="0"/>
            <w:vAlign w:val="center"/>
          </w:tcPr>
          <w:p w14:paraId="1D70598B">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2AB696CF">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noWrap w:val="0"/>
            <w:vAlign w:val="center"/>
          </w:tcPr>
          <w:p w14:paraId="1B8CF04C">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noWrap w:val="0"/>
            <w:vAlign w:val="center"/>
          </w:tcPr>
          <w:p w14:paraId="7774440E">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noWrap w:val="0"/>
            <w:vAlign w:val="center"/>
          </w:tcPr>
          <w:p w14:paraId="2A79047D">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noWrap w:val="0"/>
            <w:vAlign w:val="center"/>
          </w:tcPr>
          <w:p w14:paraId="79EA5C77">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2D57939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noWrap w:val="0"/>
            <w:vAlign w:val="center"/>
          </w:tcPr>
          <w:p w14:paraId="31621D00">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noWrap w:val="0"/>
            <w:vAlign w:val="center"/>
          </w:tcPr>
          <w:p w14:paraId="6E5C557F">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noWrap w:val="0"/>
            <w:vAlign w:val="center"/>
          </w:tcPr>
          <w:p w14:paraId="0B437B73">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noWrap w:val="0"/>
            <w:vAlign w:val="center"/>
          </w:tcPr>
          <w:p w14:paraId="5ECF566C">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23D82BB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noWrap w:val="0"/>
            <w:vAlign w:val="center"/>
          </w:tcPr>
          <w:p w14:paraId="4A90D8DF">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noWrap w:val="0"/>
            <w:vAlign w:val="center"/>
          </w:tcPr>
          <w:p w14:paraId="73D002CE">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noWrap w:val="0"/>
            <w:vAlign w:val="center"/>
          </w:tcPr>
          <w:p w14:paraId="074F3AC4">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noWrap w:val="0"/>
            <w:vAlign w:val="center"/>
          </w:tcPr>
          <w:p w14:paraId="7721D386">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bl>
    <w:p w14:paraId="14A6A113">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05FEE3E4">
      <w:pPr>
        <w:pStyle w:val="9"/>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0295255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1C2237F">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4836B95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7C8368E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027D70F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640C8A3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67630001">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1E38DEA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3886362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FD0650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1D799D9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10580E96">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19FC49A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376EBC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AA9942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4525688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7E85AB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2B8012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2C9457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B116371">
      <w:pPr>
        <w:pStyle w:val="9"/>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27F5CB9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AA26767">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6560DDC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7BA2E9A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7AB77F9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3BF1B1A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5DE48A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547266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6982F9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5783D1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2C4E1BE3">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52D7316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4C44C0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4E469B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2B4936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5307EE7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55E50EA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051139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14:paraId="50A20A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32C35C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14:paraId="09743741">
      <w:pPr>
        <w:pStyle w:val="10"/>
        <w:numPr>
          <w:ilvl w:val="0"/>
          <w:numId w:val="4"/>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2D3AA59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60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60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762ED3E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5224881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提升改造家室站数量，指标值：&gt;=1个，实际完成值：</w:t>
      </w:r>
      <w:r>
        <w:rPr>
          <w:rFonts w:hint="eastAsia" w:eastAsia="仿宋_GB2312" w:cs="Times New Roman"/>
          <w:sz w:val="32"/>
          <w:szCs w:val="32"/>
          <w:highlight w:val="none"/>
          <w:lang w:val="en-US" w:eastAsia="zh-CN"/>
        </w:rPr>
        <w:t>1个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偏差</w:t>
      </w:r>
      <w:r>
        <w:rPr>
          <w:rFonts w:hint="eastAsia" w:eastAsia="仿宋_GB2312" w:cs="Times New Roman"/>
          <w:sz w:val="32"/>
          <w:szCs w:val="32"/>
          <w:highlight w:val="none"/>
          <w:lang w:eastAsia="zh-CN"/>
        </w:rPr>
        <w:t>。</w:t>
      </w:r>
    </w:p>
    <w:p w14:paraId="1A3AD42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：提升改造村联络站数量，指标值：&gt;=1</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个，实际完成值：</w:t>
      </w:r>
      <w:r>
        <w:rPr>
          <w:rFonts w:hint="eastAsia" w:eastAsia="仿宋_GB2312" w:cs="Times New Roman"/>
          <w:sz w:val="32"/>
          <w:szCs w:val="32"/>
          <w:highlight w:val="none"/>
          <w:lang w:val="en-US" w:eastAsia="zh-CN"/>
        </w:rPr>
        <w:t>10个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偏差</w:t>
      </w:r>
      <w:r>
        <w:rPr>
          <w:rFonts w:hint="eastAsia" w:eastAsia="仿宋_GB2312" w:cs="Times New Roman"/>
          <w:sz w:val="32"/>
          <w:szCs w:val="32"/>
          <w:highlight w:val="none"/>
          <w:lang w:eastAsia="zh-CN"/>
        </w:rPr>
        <w:t>。</w:t>
      </w:r>
    </w:p>
    <w:p w14:paraId="3391FE8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1035CCA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指标1：站点验收合格率，指标值：=100%，实际完成值：100%，指标完成率100%，无偏差。</w:t>
      </w:r>
    </w:p>
    <w:p w14:paraId="665F195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34F71C5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指标1：项目完成时间，指标值：2024年12月25日，实际完成值：2024年12月25日，指标完成率100%，无偏差。</w:t>
      </w:r>
    </w:p>
    <w:p w14:paraId="56138D3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50E71D2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指标1：家室站改造成本，指标值：&lt;=2万元，实际完成值：</w:t>
      </w:r>
      <w:r>
        <w:rPr>
          <w:rFonts w:hint="eastAsia" w:eastAsia="仿宋_GB2312" w:cs="Times New Roman"/>
          <w:sz w:val="32"/>
          <w:szCs w:val="32"/>
          <w:highlight w:val="none"/>
          <w:lang w:val="en-US" w:eastAsia="zh-CN"/>
        </w:rPr>
        <w:t>2万元</w:t>
      </w:r>
      <w:r>
        <w:rPr>
          <w:rFonts w:hint="default" w:ascii="Times New Roman" w:hAnsi="Times New Roman" w:eastAsia="仿宋_GB2312" w:cs="Times New Roman"/>
          <w:sz w:val="32"/>
          <w:szCs w:val="32"/>
          <w:highlight w:val="none"/>
          <w:lang w:val="en-US" w:eastAsia="zh-CN"/>
        </w:rPr>
        <w:t>，指标完成率100%，无偏差。</w:t>
      </w:r>
    </w:p>
    <w:p w14:paraId="7D815A6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：村联络站改造成本，指标值：&lt;=</w:t>
      </w:r>
      <w:r>
        <w:rPr>
          <w:rFonts w:hint="eastAsia" w:eastAsia="仿宋_GB2312" w:cs="Times New Roman"/>
          <w:sz w:val="32"/>
          <w:szCs w:val="32"/>
          <w:highlight w:val="none"/>
          <w:lang w:val="en-US" w:eastAsia="zh-CN"/>
        </w:rPr>
        <w:t>14</w:t>
      </w:r>
      <w:r>
        <w:rPr>
          <w:rFonts w:hint="default" w:ascii="Times New Roman" w:hAnsi="Times New Roman" w:eastAsia="仿宋_GB2312" w:cs="Times New Roman"/>
          <w:sz w:val="32"/>
          <w:szCs w:val="32"/>
          <w:highlight w:val="none"/>
          <w:lang w:val="en-US" w:eastAsia="zh-CN"/>
        </w:rPr>
        <w:t>万元，实际完成值：</w:t>
      </w:r>
      <w:r>
        <w:rPr>
          <w:rFonts w:hint="eastAsia" w:eastAsia="仿宋_GB2312" w:cs="Times New Roman"/>
          <w:sz w:val="32"/>
          <w:szCs w:val="32"/>
          <w:highlight w:val="none"/>
          <w:lang w:val="en-US" w:eastAsia="zh-CN"/>
        </w:rPr>
        <w:t>14万元</w:t>
      </w:r>
      <w:r>
        <w:rPr>
          <w:rFonts w:hint="default" w:ascii="Times New Roman" w:hAnsi="Times New Roman" w:eastAsia="仿宋_GB2312" w:cs="Times New Roman"/>
          <w:sz w:val="32"/>
          <w:szCs w:val="32"/>
          <w:highlight w:val="none"/>
          <w:lang w:val="en-US" w:eastAsia="zh-CN"/>
        </w:rPr>
        <w:t>，指标完成率100%，无偏差。</w:t>
      </w:r>
    </w:p>
    <w:p w14:paraId="50D946E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：村联络站立法点改造成本，指标值：&lt;=</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万元，实际完成值：</w:t>
      </w:r>
      <w:r>
        <w:rPr>
          <w:rFonts w:hint="eastAsia" w:eastAsia="仿宋_GB2312" w:cs="Times New Roman"/>
          <w:sz w:val="32"/>
          <w:szCs w:val="32"/>
          <w:highlight w:val="none"/>
          <w:lang w:val="en-US" w:eastAsia="zh-CN"/>
        </w:rPr>
        <w:t>2万元</w:t>
      </w:r>
      <w:r>
        <w:rPr>
          <w:rFonts w:hint="default" w:ascii="Times New Roman" w:hAnsi="Times New Roman" w:eastAsia="仿宋_GB2312" w:cs="Times New Roman"/>
          <w:sz w:val="32"/>
          <w:szCs w:val="32"/>
          <w:highlight w:val="none"/>
          <w:lang w:val="en-US" w:eastAsia="zh-CN"/>
        </w:rPr>
        <w:t>，指标完成率100%，无偏差。</w:t>
      </w:r>
    </w:p>
    <w:p w14:paraId="24A13F6B">
      <w:pPr>
        <w:shd w:val="clear" w:color="auto" w:fill="auto"/>
        <w:spacing w:line="600" w:lineRule="exact"/>
        <w:ind w:firstLine="640" w:firstLineChars="200"/>
        <w:outlineLvl w:val="0"/>
        <w:rPr>
          <w:rFonts w:hint="default" w:ascii="Times New Roman" w:hAnsi="Times New Roman" w:eastAsia="楷体_GB2312" w:cs="Times New Roman"/>
          <w:b/>
          <w:bCs/>
          <w:sz w:val="32"/>
          <w:szCs w:val="32"/>
          <w:highlight w:val="none"/>
          <w:lang w:val="en-US" w:eastAsia="zh-CN"/>
        </w:rPr>
      </w:pPr>
      <w:r>
        <w:rPr>
          <w:rFonts w:hint="eastAsia" w:eastAsia="仿宋_GB2312" w:cs="Times New Roman"/>
          <w:sz w:val="32"/>
          <w:szCs w:val="32"/>
          <w:highlight w:val="none"/>
          <w:lang w:val="en-US" w:eastAsia="zh-CN"/>
        </w:rPr>
        <w:t xml:space="preserve"> </w:t>
      </w:r>
      <w:r>
        <w:rPr>
          <w:rFonts w:hint="default" w:ascii="Times New Roman" w:hAnsi="Times New Roman" w:eastAsia="楷体_GB2312" w:cs="Times New Roman"/>
          <w:b/>
          <w:bCs/>
          <w:sz w:val="32"/>
          <w:szCs w:val="32"/>
          <w:highlight w:val="none"/>
          <w:lang w:val="en-US" w:eastAsia="zh-CN"/>
        </w:rPr>
        <w:t>项目效益情况</w:t>
      </w:r>
    </w:p>
    <w:p w14:paraId="0FD2955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379D35CF">
      <w:pPr>
        <w:numPr>
          <w:ilvl w:val="0"/>
          <w:numId w:val="5"/>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14:paraId="31295C10">
      <w:pPr>
        <w:numPr>
          <w:ilvl w:val="0"/>
          <w:numId w:val="0"/>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社会效益指标：</w:t>
      </w:r>
    </w:p>
    <w:p w14:paraId="495F255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：提高各层人大代表履职能力，指标值：有效提升，实际完成值：</w:t>
      </w:r>
      <w:r>
        <w:rPr>
          <w:rFonts w:hint="eastAsia" w:eastAsia="仿宋_GB2312" w:cs="Times New Roman"/>
          <w:sz w:val="32"/>
          <w:szCs w:val="32"/>
          <w:highlight w:val="none"/>
          <w:lang w:val="en-US" w:eastAsia="zh-CN"/>
        </w:rPr>
        <w:t>有效提升</w:t>
      </w:r>
      <w:r>
        <w:rPr>
          <w:rFonts w:hint="default" w:ascii="Times New Roman" w:hAnsi="Times New Roman" w:eastAsia="仿宋_GB2312" w:cs="Times New Roman"/>
          <w:sz w:val="32"/>
          <w:szCs w:val="32"/>
          <w:highlight w:val="none"/>
          <w:lang w:val="en-US" w:eastAsia="zh-CN"/>
        </w:rPr>
        <w:t>，指标完成率100%，无偏差。</w:t>
      </w:r>
    </w:p>
    <w:p w14:paraId="01778F8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634F5BF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指标1：各基层人大代表对人大工作满意度，指标值：&gt;=90%，实际完成值：</w:t>
      </w:r>
      <w:r>
        <w:rPr>
          <w:rFonts w:hint="eastAsia" w:ascii="Times New Roman" w:hAnsi="Times New Roman"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lang w:val="en-US" w:eastAsia="zh-CN"/>
        </w:rPr>
        <w:t>，指标完成率100%，无偏差。</w:t>
      </w:r>
    </w:p>
    <w:p w14:paraId="6E6C2E5A">
      <w:pPr>
        <w:spacing w:line="560" w:lineRule="exact"/>
        <w:ind w:firstLine="643" w:firstLineChars="200"/>
        <w:rPr>
          <w:rFonts w:hint="default" w:ascii="Times New Roman" w:hAnsi="Times New Roman" w:eastAsia="楷体_GB2312" w:cs="Times New Roman"/>
          <w:b/>
          <w:bCs/>
          <w:sz w:val="32"/>
          <w:szCs w:val="32"/>
          <w:highlight w:val="none"/>
          <w:lang w:val="en-U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rPr>
        <w:t>预算执行进度与绩效指标总体完成率偏差</w:t>
      </w:r>
    </w:p>
    <w:p w14:paraId="56E94ED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自治区基层人大补助项目年初预算</w:t>
      </w:r>
      <w:r>
        <w:rPr>
          <w:rFonts w:hint="eastAsia" w:ascii="Times New Roman" w:hAnsi="Times New Roman"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lang w:val="en-US" w:eastAsia="zh-CN"/>
        </w:rPr>
        <w:t>万元，全年预算</w:t>
      </w:r>
      <w:r>
        <w:rPr>
          <w:rFonts w:hint="eastAsia" w:ascii="Times New Roman" w:hAnsi="Times New Roman"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lang w:val="en-US" w:eastAsia="zh-CN"/>
        </w:rPr>
        <w:t>万元，实际支出</w:t>
      </w:r>
      <w:r>
        <w:rPr>
          <w:rFonts w:hint="eastAsia" w:ascii="Times New Roman" w:hAnsi="Times New Roman"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%，项目绩效指标总体完成率为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rPr>
        <w:t>总体</w:t>
      </w:r>
      <w:r>
        <w:rPr>
          <w:rFonts w:hint="default" w:ascii="Times New Roman" w:hAnsi="Times New Roman" w:eastAsia="仿宋_GB2312" w:cs="Times New Roman"/>
          <w:sz w:val="32"/>
          <w:szCs w:val="32"/>
          <w:highlight w:val="none"/>
          <w:lang w:val="en-US" w:eastAsia="zh-CN"/>
        </w:rPr>
        <w:t>偏差率为</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，无</w:t>
      </w:r>
      <w:r>
        <w:rPr>
          <w:rFonts w:hint="default" w:ascii="Times New Roman" w:hAnsi="Times New Roman" w:eastAsia="仿宋_GB2312" w:cs="Times New Roman"/>
          <w:sz w:val="32"/>
          <w:szCs w:val="32"/>
          <w:highlight w:val="none"/>
          <w:lang w:val="en-US"/>
        </w:rPr>
        <w:t>偏差</w:t>
      </w:r>
      <w:r>
        <w:rPr>
          <w:rFonts w:hint="default" w:ascii="Times New Roman" w:hAnsi="Times New Roman" w:eastAsia="仿宋_GB2312" w:cs="Times New Roman"/>
          <w:sz w:val="32"/>
          <w:szCs w:val="32"/>
          <w:highlight w:val="none"/>
          <w:lang w:val="en-US" w:eastAsia="zh-CN"/>
        </w:rPr>
        <w:t>。</w:t>
      </w:r>
    </w:p>
    <w:p w14:paraId="4D36BA9D">
      <w:pPr>
        <w:spacing w:line="560" w:lineRule="exact"/>
        <w:ind w:firstLine="640" w:firstLineChars="200"/>
        <w:rPr>
          <w:rStyle w:val="23"/>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14:paraId="5C0C8E77">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1B81B803">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86172D0">
      <w:pPr>
        <w:pStyle w:val="9"/>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BB2BF02">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7C10D94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7B1F35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3341DC11">
      <w:pPr>
        <w:spacing w:line="560" w:lineRule="exact"/>
        <w:ind w:firstLine="640" w:firstLineChars="20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14:paraId="24AA6C2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1.专门设定对绩效工作人员定职、定岗、定责等相关制度措施，进一步提升我单位绩效管理工作业务水平，扎实做好绩效管理工作。</w:t>
      </w:r>
    </w:p>
    <w:p w14:paraId="009F3BD7">
      <w:pPr>
        <w:shd w:val="clear" w:color="auto" w:fill="auto"/>
        <w:spacing w:line="600" w:lineRule="exact"/>
        <w:ind w:firstLine="640" w:firstLineChars="200"/>
        <w:outlineLvl w:val="0"/>
        <w:rPr>
          <w:rFonts w:hint="default" w:ascii="Times New Roman" w:hAnsi="Times New Roman" w:cs="Times New Roman"/>
          <w:sz w:val="22"/>
          <w:szCs w:val="28"/>
          <w:highlight w:val="none"/>
        </w:rPr>
      </w:pPr>
      <w:r>
        <w:rPr>
          <w:rFonts w:hint="default" w:ascii="Times New Roman" w:hAnsi="Times New Roman" w:eastAsia="仿宋_GB2312" w:cs="Times New Roman"/>
          <w:sz w:val="32"/>
          <w:szCs w:val="32"/>
          <w:highlight w:val="none"/>
          <w:lang w:val="en-US" w:eastAsia="zh-CN"/>
        </w:rPr>
        <w:t>2.进一步完善项目评价过程中有关数据和资料的收集、整理、审核及分析。项目启动时同步做好档案的归纳与整理，及时整理、收集、汇总，健全档案资料。项目后续管理有待进一步加强和跟踪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highlight w:val="none"/>
        </w:rPr>
        <w:t>。</w:t>
      </w:r>
    </w:p>
    <w:p w14:paraId="18CB1AD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3.进一步加强对绩效管理工作的组织领导，提高对预算绩效管理工作重要性的认识，总结经验查找问题，抓紧研究制定更全面更完善的绩效评价管理办法。</w:t>
      </w:r>
    </w:p>
    <w:p w14:paraId="03875885">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67973796">
      <w:pPr>
        <w:pStyle w:val="11"/>
        <w:spacing w:after="0" w:line="560" w:lineRule="exact"/>
        <w:ind w:left="0" w:leftChars="0"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本项目无其他需说明的问题。</w:t>
      </w:r>
    </w:p>
    <w:p w14:paraId="1D58F544">
      <w:pPr>
        <w:rPr>
          <w:rFonts w:hint="default" w:ascii="Times New Roman" w:hAnsi="Times New Roman" w:cs="Times New Roman"/>
          <w:highlight w:val="none"/>
        </w:rPr>
      </w:pPr>
    </w:p>
    <w:sectPr>
      <w:footerReference r:id="rId3" w:type="default"/>
      <w:pgSz w:w="11906" w:h="16838"/>
      <w:pgMar w:top="1440" w:right="1558"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0AF219E-E41B-4E79-9B23-D8AFD29E0A0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5E253874-15A0-48AE-BAA0-256437DBF244}"/>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3" w:fontKey="{BE05CE77-EF1C-43D9-B171-173891FEA25F}"/>
  </w:font>
  <w:font w:name="方正小标宋_GBK">
    <w:panose1 w:val="02000000000000000000"/>
    <w:charset w:val="86"/>
    <w:family w:val="script"/>
    <w:pitch w:val="default"/>
    <w:sig w:usb0="A00002BF" w:usb1="38CF7CFA" w:usb2="00082016" w:usb3="00000000" w:csb0="00040001" w:csb1="00000000"/>
    <w:embedRegular r:id="rId4" w:fontKey="{FE7EE3AC-E194-4155-BB4B-E41447F7007E}"/>
  </w:font>
  <w:font w:name="楷体_GB2312">
    <w:altName w:val="楷体"/>
    <w:panose1 w:val="00000000000000000000"/>
    <w:charset w:val="86"/>
    <w:family w:val="auto"/>
    <w:pitch w:val="default"/>
    <w:sig w:usb0="00000000" w:usb1="00000000" w:usb2="00000000" w:usb3="00000000" w:csb0="00040000" w:csb1="00000000"/>
    <w:embedRegular r:id="rId5" w:fontKey="{CA2F4031-5715-4035-877E-FA5D51B85D34}"/>
  </w:font>
  <w:font w:name="楷体">
    <w:panose1 w:val="02010609060101010101"/>
    <w:charset w:val="86"/>
    <w:family w:val="modern"/>
    <w:pitch w:val="default"/>
    <w:sig w:usb0="800002BF" w:usb1="38CF7CFA" w:usb2="00000016" w:usb3="00000000" w:csb0="00040001" w:csb1="00000000"/>
    <w:embedRegular r:id="rId6" w:fontKey="{769E55FF-5A3C-4537-B414-D13BA2361F91}"/>
  </w:font>
  <w:font w:name="方正仿宋_GBK">
    <w:altName w:val="微软雅黑"/>
    <w:panose1 w:val="03000509000000000000"/>
    <w:charset w:val="86"/>
    <w:family w:val="auto"/>
    <w:pitch w:val="default"/>
    <w:sig w:usb0="00000000" w:usb1="00000000" w:usb2="00000000" w:usb3="00000000" w:csb0="00040000" w:csb1="00000000"/>
    <w:embedRegular r:id="rId7" w:fontKey="{21673A67-5FE6-4E5E-880D-6E844488FD97}"/>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C18D8">
    <w:pPr>
      <w:pStyle w:val="6"/>
      <w:jc w:val="center"/>
    </w:pPr>
    <w:r>
      <w:fldChar w:fldCharType="begin"/>
    </w:r>
    <w:r>
      <w:instrText xml:space="preserve">PAGE   \* MERGEFORMAT</w:instrText>
    </w:r>
    <w:r>
      <w:fldChar w:fldCharType="separate"/>
    </w:r>
    <w:r>
      <w:rPr>
        <w:lang w:val="zh-CN"/>
      </w:rPr>
      <w:t>13</w:t>
    </w:r>
    <w:r>
      <w:fldChar w:fldCharType="end"/>
    </w:r>
  </w:p>
  <w:p w14:paraId="085F8E80">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lvlText w:val="%1."/>
      <w:lvlJc w:val="left"/>
      <w:pPr>
        <w:tabs>
          <w:tab w:val="left" w:pos="312"/>
        </w:tabs>
      </w:p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TdiOGM5NzlhN2JhOTc3OTljZTBmY2FhN2MzNTk3ODEifQ=="/>
  </w:docVars>
  <w:rsids>
    <w:rsidRoot w:val="00000000"/>
    <w:rsid w:val="399F5578"/>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widowControl/>
      <w:spacing w:before="240" w:after="60"/>
      <w:jc w:val="left"/>
      <w:outlineLvl w:val="2"/>
    </w:pPr>
    <w:rPr>
      <w:rFonts w:ascii="Calibri Light" w:hAnsi="Calibri Light" w:eastAsia="宋体"/>
      <w:b/>
      <w:bCs/>
      <w:kern w:val="0"/>
      <w:sz w:val="26"/>
      <w:szCs w:val="26"/>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19"/>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Calibri Light" w:hAnsi="Calibri Light" w:eastAsia="宋体"/>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1"/>
    <w:qFormat/>
    <w:uiPriority w:val="0"/>
    <w:pPr>
      <w:jc w:val="left"/>
    </w:pPr>
  </w:style>
  <w:style w:type="paragraph" w:customStyle="1" w:styleId="17">
    <w:name w:val="Comment Subject"/>
    <w:basedOn w:val="16"/>
    <w:next w:val="16"/>
    <w:link w:val="20"/>
    <w:qFormat/>
    <w:uiPriority w:val="0"/>
    <w:rPr>
      <w:b/>
      <w:bCs/>
    </w:rPr>
  </w:style>
  <w:style w:type="character" w:customStyle="1" w:styleId="18">
    <w:name w:val="Comment Reference"/>
    <w:basedOn w:val="14"/>
    <w:qFormat/>
    <w:uiPriority w:val="0"/>
    <w:rPr>
      <w:sz w:val="21"/>
      <w:szCs w:val="21"/>
    </w:rPr>
  </w:style>
  <w:style w:type="character" w:customStyle="1" w:styleId="19">
    <w:name w:val="批注框文本 字符"/>
    <w:basedOn w:val="14"/>
    <w:link w:val="5"/>
    <w:qFormat/>
    <w:uiPriority w:val="0"/>
    <w:rPr>
      <w:rFonts w:ascii="Times New Roman" w:hAnsi="Times New Roman" w:eastAsia="宋体" w:cs="Times New Roman"/>
      <w:kern w:val="2"/>
      <w:sz w:val="18"/>
      <w:szCs w:val="18"/>
    </w:rPr>
  </w:style>
  <w:style w:type="character" w:customStyle="1" w:styleId="20">
    <w:name w:val="批注主题 字符"/>
    <w:basedOn w:val="21"/>
    <w:link w:val="17"/>
    <w:qFormat/>
    <w:uiPriority w:val="0"/>
    <w:rPr>
      <w:rFonts w:ascii="Times New Roman" w:hAnsi="Times New Roman" w:eastAsia="宋体" w:cs="Times New Roman"/>
      <w:b/>
      <w:bCs/>
      <w:kern w:val="2"/>
      <w:sz w:val="21"/>
      <w:szCs w:val="24"/>
    </w:rPr>
  </w:style>
  <w:style w:type="character" w:customStyle="1" w:styleId="21">
    <w:name w:val="批注文字 字符"/>
    <w:basedOn w:val="14"/>
    <w:link w:val="16"/>
    <w:qFormat/>
    <w:uiPriority w:val="0"/>
    <w:rPr>
      <w:rFonts w:ascii="Times New Roman" w:hAnsi="Times New Roman" w:eastAsia="宋体" w:cs="Times New Roman"/>
      <w:kern w:val="2"/>
      <w:sz w:val="21"/>
      <w:szCs w:val="24"/>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fontstyle01"/>
    <w:qFormat/>
    <w:uiPriority w:val="0"/>
    <w:rPr>
      <w:rFonts w:ascii="仿宋_GB2312" w:hAnsi="仿宋_GB2312" w:eastAsia="仿宋_GB2312" w:cs="仿宋_GB2312"/>
      <w:color w:val="000000"/>
      <w:sz w:val="32"/>
      <w:szCs w:val="32"/>
    </w:rPr>
  </w:style>
  <w:style w:type="paragraph" w:customStyle="1" w:styleId="24">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D4CBBBEE5A8F437CAD30456EA90189A9_13</vt:lpwstr>
  </property>
  <property fmtid="{D5CDD505-2E9C-101B-9397-08002B2CF9AE}" pid="4" name="KSOTemplateDocerSaveRecord">
    <vt:lpwstr>eyJoZGlkIjoiOGIxNmYzY2ZkZmQ1Y2UyNjU5NzkxYzdmMWRjOTEwNTUiLCJ1c2VySWQiOiIyODEwNTYxOTAifQ==</vt:lpwstr>
  </property>
</Properties>
</file>

<file path=customXml/itemProps1.xml><?xml version="1.0" encoding="utf-8"?>
<ds:datastoreItem xmlns:ds="http://schemas.openxmlformats.org/officeDocument/2006/customXml" ds:itemID="{e1fc4702-943a-496c-8aa9-cd97a939c240}">
  <ds:schemaRefs/>
</ds:datastoreItem>
</file>

<file path=docProps/app.xml><?xml version="1.0" encoding="utf-8"?>
<Properties xmlns="http://schemas.openxmlformats.org/officeDocument/2006/extended-properties" xmlns:vt="http://schemas.openxmlformats.org/officeDocument/2006/docPropsVTypes">
  <Template>Normal</Template>
  <Pages>21</Pages>
  <Words>9936</Words>
  <Characters>10189</Characters>
  <Lines>58</Lines>
  <Paragraphs>16</Paragraphs>
  <TotalTime>85</TotalTime>
  <ScaleCrop>false</ScaleCrop>
  <LinksUpToDate>false</LinksUpToDate>
  <CharactersWithSpaces>10196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忆</cp:lastModifiedBy>
  <dcterms:modified xsi:type="dcterms:W3CDTF">2025-10-31T06:02:24Z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D4CBBBEE5A8F437CAD30456EA90189A9_13</vt:lpwstr>
  </property>
  <property fmtid="{D5CDD505-2E9C-101B-9397-08002B2CF9AE}" pid="4" name="KSOTemplateDocerSaveRecord">
    <vt:lpwstr>eyJoZGlkIjoiMzEwNjkzMWMxZWMzNzU0NmUyNzQ2NGY3YzlmZjBhZDUiLCJ1c2VySWQiOiI0OTMxMTE3MjUifQ==</vt:lpwstr>
  </property>
</Properties>
</file>