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4BA3A">
      <w:pPr>
        <w:spacing w:line="540" w:lineRule="exact"/>
        <w:jc w:val="center"/>
        <w:rPr>
          <w:rFonts w:eastAsia="华文中宋"/>
          <w:b/>
          <w:kern w:val="0"/>
          <w:sz w:val="52"/>
          <w:szCs w:val="52"/>
        </w:rPr>
      </w:pPr>
    </w:p>
    <w:p w14:paraId="72B93568">
      <w:pPr>
        <w:spacing w:line="540" w:lineRule="exact"/>
        <w:rPr>
          <w:rFonts w:eastAsia="华文中宋"/>
          <w:b/>
          <w:kern w:val="0"/>
          <w:sz w:val="52"/>
          <w:szCs w:val="52"/>
        </w:rPr>
      </w:pPr>
    </w:p>
    <w:p w14:paraId="4642DE07">
      <w:pPr>
        <w:spacing w:line="540" w:lineRule="exact"/>
        <w:jc w:val="center"/>
        <w:rPr>
          <w:rFonts w:eastAsia="方正小标宋_GBK"/>
          <w:kern w:val="0"/>
          <w:sz w:val="48"/>
          <w:szCs w:val="48"/>
        </w:rPr>
      </w:pPr>
      <w:r>
        <w:rPr>
          <w:rFonts w:hint="eastAsia" w:eastAsia="方正小标宋_GBK"/>
          <w:kern w:val="0"/>
          <w:sz w:val="48"/>
          <w:szCs w:val="48"/>
        </w:rPr>
        <w:t>民族贸易和民族特需商品生产贷款贴息引导支持资金</w:t>
      </w:r>
      <w:r>
        <w:rPr>
          <w:rFonts w:eastAsia="方正小标宋_GBK"/>
          <w:kern w:val="0"/>
          <w:sz w:val="48"/>
          <w:szCs w:val="48"/>
        </w:rPr>
        <w:t>项目支出绩效评价</w:t>
      </w:r>
    </w:p>
    <w:p w14:paraId="0E4C8724">
      <w:pPr>
        <w:spacing w:line="540" w:lineRule="exact"/>
        <w:jc w:val="center"/>
        <w:rPr>
          <w:rFonts w:eastAsia="方正小标宋_GBK"/>
          <w:kern w:val="0"/>
          <w:sz w:val="48"/>
          <w:szCs w:val="48"/>
        </w:rPr>
      </w:pPr>
      <w:r>
        <w:rPr>
          <w:rFonts w:eastAsia="方正小标宋_GBK"/>
          <w:kern w:val="0"/>
          <w:sz w:val="48"/>
          <w:szCs w:val="48"/>
        </w:rPr>
        <w:t>报告</w:t>
      </w:r>
    </w:p>
    <w:p w14:paraId="28E92654">
      <w:pPr>
        <w:spacing w:line="540" w:lineRule="exact"/>
        <w:jc w:val="center"/>
        <w:rPr>
          <w:rFonts w:eastAsia="华文中宋"/>
          <w:b/>
          <w:kern w:val="0"/>
          <w:sz w:val="52"/>
          <w:szCs w:val="52"/>
        </w:rPr>
      </w:pPr>
    </w:p>
    <w:p w14:paraId="13702B7A">
      <w:pPr>
        <w:spacing w:line="540" w:lineRule="exact"/>
        <w:jc w:val="center"/>
        <w:rPr>
          <w:rFonts w:eastAsia="仿宋_GB2312"/>
          <w:kern w:val="0"/>
          <w:sz w:val="36"/>
          <w:szCs w:val="36"/>
        </w:rPr>
      </w:pPr>
      <w:r>
        <w:rPr>
          <w:rFonts w:eastAsia="仿宋_GB2312"/>
          <w:kern w:val="0"/>
          <w:sz w:val="36"/>
          <w:szCs w:val="36"/>
        </w:rPr>
        <w:t>（2024年度）</w:t>
      </w:r>
    </w:p>
    <w:p w14:paraId="51409B52">
      <w:pPr>
        <w:spacing w:line="540" w:lineRule="exact"/>
        <w:jc w:val="center"/>
        <w:rPr>
          <w:rFonts w:eastAsia="仿宋_GB2312"/>
          <w:kern w:val="0"/>
          <w:sz w:val="30"/>
          <w:szCs w:val="30"/>
        </w:rPr>
      </w:pPr>
    </w:p>
    <w:p w14:paraId="369374E0">
      <w:pPr>
        <w:spacing w:line="540" w:lineRule="exact"/>
        <w:jc w:val="center"/>
        <w:rPr>
          <w:rFonts w:eastAsia="仿宋_GB2312"/>
          <w:kern w:val="0"/>
          <w:sz w:val="30"/>
          <w:szCs w:val="30"/>
        </w:rPr>
      </w:pPr>
    </w:p>
    <w:p w14:paraId="51F79848">
      <w:pPr>
        <w:spacing w:line="540" w:lineRule="exact"/>
        <w:jc w:val="center"/>
        <w:rPr>
          <w:rFonts w:eastAsia="仿宋_GB2312"/>
          <w:kern w:val="0"/>
          <w:sz w:val="30"/>
          <w:szCs w:val="30"/>
        </w:rPr>
      </w:pPr>
    </w:p>
    <w:p w14:paraId="2299D302">
      <w:pPr>
        <w:spacing w:line="700" w:lineRule="exact"/>
        <w:rPr>
          <w:rFonts w:eastAsia="仿宋_GB2312"/>
          <w:kern w:val="0"/>
          <w:sz w:val="36"/>
          <w:szCs w:val="36"/>
        </w:rPr>
      </w:pPr>
      <w:r>
        <w:rPr>
          <w:rFonts w:eastAsia="仿宋_GB2312"/>
          <w:kern w:val="0"/>
          <w:sz w:val="36"/>
          <w:szCs w:val="36"/>
        </w:rPr>
        <w:t>项目名称：</w:t>
      </w:r>
      <w:r>
        <w:rPr>
          <w:rStyle w:val="16"/>
          <w:rFonts w:hint="eastAsia" w:ascii="楷体" w:hAnsi="楷体" w:eastAsia="楷体"/>
          <w:spacing w:val="-4"/>
          <w:sz w:val="32"/>
          <w:szCs w:val="32"/>
        </w:rPr>
        <w:t>民族贸易和民族特需商品生产贷款贴息引导支持资金</w:t>
      </w:r>
    </w:p>
    <w:p w14:paraId="0240A6D5">
      <w:pPr>
        <w:spacing w:line="700" w:lineRule="exact"/>
        <w:rPr>
          <w:rFonts w:eastAsia="仿宋_GB2312"/>
          <w:kern w:val="0"/>
          <w:sz w:val="36"/>
          <w:szCs w:val="36"/>
        </w:rPr>
      </w:pPr>
      <w:r>
        <w:rPr>
          <w:rFonts w:eastAsia="仿宋_GB2312"/>
          <w:kern w:val="0"/>
          <w:sz w:val="36"/>
          <w:szCs w:val="36"/>
        </w:rPr>
        <w:t>实施单位（公章）：</w:t>
      </w:r>
      <w:r>
        <w:rPr>
          <w:rStyle w:val="16"/>
          <w:rFonts w:hint="eastAsia" w:ascii="楷体" w:hAnsi="楷体" w:eastAsia="楷体"/>
          <w:spacing w:val="-4"/>
          <w:sz w:val="28"/>
          <w:szCs w:val="28"/>
        </w:rPr>
        <w:t>中共托里县委统战部</w:t>
      </w:r>
    </w:p>
    <w:p w14:paraId="054CE837">
      <w:pPr>
        <w:spacing w:line="700" w:lineRule="exact"/>
        <w:rPr>
          <w:rFonts w:eastAsia="仿宋_GB2312"/>
          <w:kern w:val="0"/>
          <w:sz w:val="36"/>
          <w:szCs w:val="36"/>
        </w:rPr>
      </w:pPr>
      <w:r>
        <w:rPr>
          <w:rFonts w:eastAsia="仿宋_GB2312"/>
          <w:kern w:val="0"/>
          <w:sz w:val="36"/>
          <w:szCs w:val="36"/>
        </w:rPr>
        <w:t>主管部门（公章）：</w:t>
      </w:r>
      <w:r>
        <w:rPr>
          <w:rStyle w:val="16"/>
          <w:rFonts w:hint="eastAsia" w:ascii="楷体" w:hAnsi="楷体" w:eastAsia="楷体"/>
          <w:spacing w:val="-4"/>
          <w:sz w:val="28"/>
          <w:szCs w:val="28"/>
        </w:rPr>
        <w:t>中共托里县委统战部</w:t>
      </w:r>
    </w:p>
    <w:p w14:paraId="72752740">
      <w:pPr>
        <w:spacing w:line="700" w:lineRule="exact"/>
        <w:rPr>
          <w:rFonts w:eastAsia="仿宋_GB2312"/>
          <w:kern w:val="0"/>
          <w:sz w:val="36"/>
          <w:szCs w:val="36"/>
        </w:rPr>
      </w:pPr>
      <w:r>
        <w:rPr>
          <w:rFonts w:eastAsia="仿宋_GB2312"/>
          <w:kern w:val="0"/>
          <w:sz w:val="36"/>
          <w:szCs w:val="36"/>
        </w:rPr>
        <w:t>项目负责人（签章）：</w:t>
      </w:r>
      <w:r>
        <w:rPr>
          <w:rStyle w:val="16"/>
          <w:rFonts w:hint="eastAsia" w:ascii="楷体" w:hAnsi="楷体" w:eastAsia="楷体"/>
          <w:spacing w:val="-4"/>
          <w:sz w:val="28"/>
          <w:szCs w:val="28"/>
        </w:rPr>
        <w:t>哈力木·孜那多拉</w:t>
      </w:r>
    </w:p>
    <w:p w14:paraId="136FA599">
      <w:pPr>
        <w:spacing w:line="700" w:lineRule="exac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 xml:space="preserve">         </w:t>
      </w:r>
      <w:r>
        <w:rPr>
          <w:rStyle w:val="16"/>
          <w:rFonts w:hint="eastAsia" w:ascii="楷体" w:hAnsi="楷体" w:eastAsia="楷体"/>
          <w:spacing w:val="-4"/>
          <w:sz w:val="28"/>
          <w:szCs w:val="28"/>
        </w:rPr>
        <w:t>2024</w:t>
      </w:r>
      <w:r>
        <w:rPr>
          <w:rStyle w:val="16"/>
          <w:rFonts w:ascii="楷体" w:hAnsi="楷体" w:eastAsia="楷体"/>
          <w:spacing w:val="-4"/>
          <w:sz w:val="28"/>
          <w:szCs w:val="28"/>
        </w:rPr>
        <w:t>年</w:t>
      </w:r>
      <w:r>
        <w:rPr>
          <w:rStyle w:val="16"/>
          <w:rFonts w:hint="eastAsia" w:ascii="楷体" w:hAnsi="楷体" w:eastAsia="楷体"/>
          <w:spacing w:val="-4"/>
          <w:sz w:val="28"/>
          <w:szCs w:val="28"/>
        </w:rPr>
        <w:t>3</w:t>
      </w:r>
      <w:r>
        <w:rPr>
          <w:rStyle w:val="16"/>
          <w:rFonts w:ascii="楷体" w:hAnsi="楷体" w:eastAsia="楷体"/>
          <w:spacing w:val="-4"/>
          <w:sz w:val="28"/>
          <w:szCs w:val="28"/>
        </w:rPr>
        <w:t>月</w:t>
      </w:r>
      <w:r>
        <w:rPr>
          <w:rStyle w:val="16"/>
          <w:rFonts w:hint="eastAsia" w:ascii="楷体" w:hAnsi="楷体" w:eastAsia="楷体"/>
          <w:spacing w:val="-4"/>
          <w:sz w:val="28"/>
          <w:szCs w:val="28"/>
        </w:rPr>
        <w:t>27</w:t>
      </w:r>
      <w:r>
        <w:rPr>
          <w:rStyle w:val="16"/>
          <w:rFonts w:ascii="楷体" w:hAnsi="楷体" w:eastAsia="楷体"/>
          <w:spacing w:val="-4"/>
          <w:sz w:val="28"/>
          <w:szCs w:val="28"/>
        </w:rPr>
        <w:t>日</w:t>
      </w:r>
    </w:p>
    <w:p w14:paraId="3D30A3BE">
      <w:pPr>
        <w:spacing w:line="540" w:lineRule="exact"/>
        <w:jc w:val="center"/>
        <w:rPr>
          <w:rFonts w:eastAsia="仿宋_GB2312"/>
          <w:kern w:val="0"/>
          <w:sz w:val="30"/>
          <w:szCs w:val="30"/>
        </w:rPr>
      </w:pPr>
    </w:p>
    <w:p w14:paraId="0E067C9B">
      <w:pPr>
        <w:spacing w:line="540" w:lineRule="exact"/>
        <w:rPr>
          <w:rStyle w:val="16"/>
          <w:rFonts w:eastAsia="黑体"/>
          <w:b w:val="0"/>
          <w:spacing w:val="-4"/>
          <w:sz w:val="32"/>
          <w:szCs w:val="32"/>
        </w:rPr>
      </w:pPr>
    </w:p>
    <w:p w14:paraId="29E6EBD9">
      <w:pPr>
        <w:spacing w:line="540" w:lineRule="exact"/>
        <w:ind w:firstLine="640"/>
        <w:rPr>
          <w:rStyle w:val="16"/>
          <w:rFonts w:eastAsia="黑体"/>
          <w:b w:val="0"/>
          <w:spacing w:val="-4"/>
          <w:sz w:val="32"/>
          <w:szCs w:val="32"/>
        </w:rPr>
      </w:pPr>
    </w:p>
    <w:p w14:paraId="1AF2BDC0">
      <w:pPr>
        <w:spacing w:line="540" w:lineRule="exact"/>
        <w:rPr>
          <w:rStyle w:val="16"/>
          <w:rFonts w:eastAsia="黑体"/>
          <w:b w:val="0"/>
          <w:spacing w:val="-4"/>
          <w:sz w:val="32"/>
          <w:szCs w:val="32"/>
        </w:rPr>
      </w:pPr>
    </w:p>
    <w:p w14:paraId="6D662106">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14:paraId="020DDED1">
      <w:pPr>
        <w:spacing w:line="560" w:lineRule="exact"/>
        <w:ind w:firstLine="640" w:firstLineChars="200"/>
        <w:rPr>
          <w:rFonts w:eastAsia="黑体"/>
          <w:bCs/>
          <w:sz w:val="32"/>
          <w:szCs w:val="32"/>
        </w:rPr>
      </w:pPr>
      <w:r>
        <w:rPr>
          <w:rFonts w:eastAsia="黑体"/>
          <w:bCs/>
          <w:sz w:val="32"/>
          <w:szCs w:val="32"/>
        </w:rPr>
        <w:t>一、基本情况</w:t>
      </w:r>
    </w:p>
    <w:p w14:paraId="6929A04F">
      <w:pPr>
        <w:spacing w:line="560" w:lineRule="exact"/>
        <w:ind w:firstLine="643" w:firstLineChars="200"/>
        <w:rPr>
          <w:rFonts w:eastAsia="楷体_GB2312"/>
          <w:b/>
          <w:bCs/>
          <w:sz w:val="32"/>
          <w:szCs w:val="32"/>
        </w:rPr>
      </w:pPr>
      <w:r>
        <w:rPr>
          <w:rFonts w:eastAsia="楷体_GB2312"/>
          <w:b/>
          <w:bCs/>
          <w:sz w:val="32"/>
          <w:szCs w:val="32"/>
        </w:rPr>
        <w:t>（一）项目概况</w:t>
      </w:r>
    </w:p>
    <w:p w14:paraId="7CF7F33B">
      <w:pPr>
        <w:spacing w:line="560" w:lineRule="exact"/>
        <w:ind w:firstLine="643" w:firstLineChars="200"/>
        <w:rPr>
          <w:rFonts w:eastAsia="仿宋_GB2312"/>
          <w:b/>
          <w:bCs/>
          <w:sz w:val="32"/>
          <w:szCs w:val="32"/>
        </w:rPr>
      </w:pPr>
      <w:r>
        <w:rPr>
          <w:rFonts w:eastAsia="仿宋_GB2312"/>
          <w:b/>
          <w:bCs/>
          <w:sz w:val="32"/>
          <w:szCs w:val="32"/>
        </w:rPr>
        <w:t>1.项目背景</w:t>
      </w:r>
    </w:p>
    <w:p w14:paraId="4F3B0AEE">
      <w:pPr>
        <w:spacing w:line="560" w:lineRule="exact"/>
        <w:ind w:firstLine="600" w:firstLineChars="200"/>
        <w:rPr>
          <w:rStyle w:val="16"/>
          <w:rFonts w:eastAsia="楷体"/>
          <w:b w:val="0"/>
          <w:spacing w:val="-4"/>
          <w:sz w:val="32"/>
          <w:szCs w:val="32"/>
          <w:highlight w:val="yellow"/>
        </w:rPr>
      </w:pPr>
      <w:r>
        <w:rPr>
          <w:rFonts w:hint="eastAsia" w:eastAsia="仿宋_GB2312"/>
          <w:sz w:val="30"/>
          <w:szCs w:val="30"/>
        </w:rPr>
        <w:t>根据《关于下达2022年度中央财政民族贸易和民族特需商品生产企业贷款贴息资金预算的通知》（塔地财金〔2023〕18号文件要求，民族贸易是指我国少数民族之间，少数民族同其他民族之间所发生的商品交换活动的总和，是商品流通在少数民族地区的特殊表现形式。民族贸易和民族特需商品生产企业发展，有效缓解难，融资难</w:t>
      </w:r>
      <w:r>
        <w:rPr>
          <w:rStyle w:val="16"/>
          <w:rFonts w:hint="eastAsia" w:ascii="楷体" w:hAnsi="楷体" w:eastAsia="楷体"/>
          <w:b w:val="0"/>
          <w:bCs w:val="0"/>
          <w:spacing w:val="-4"/>
          <w:sz w:val="32"/>
          <w:szCs w:val="32"/>
        </w:rPr>
        <w:t>。</w:t>
      </w:r>
    </w:p>
    <w:p w14:paraId="271F26E7">
      <w:pPr>
        <w:pStyle w:val="10"/>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7124289B">
      <w:pPr>
        <w:spacing w:line="560" w:lineRule="exact"/>
        <w:ind w:firstLine="600" w:firstLineChars="200"/>
        <w:rPr>
          <w:rFonts w:eastAsia="黑体"/>
          <w:highlight w:val="yellow"/>
        </w:rPr>
      </w:pPr>
      <w:r>
        <w:rPr>
          <w:rFonts w:eastAsia="仿宋_GB2312"/>
          <w:sz w:val="30"/>
          <w:szCs w:val="30"/>
        </w:rPr>
        <w:t>项目主要内容：</w:t>
      </w:r>
      <w:r>
        <w:rPr>
          <w:rFonts w:hint="eastAsia" w:eastAsia="仿宋_GB2312"/>
          <w:sz w:val="30"/>
          <w:szCs w:val="30"/>
        </w:rPr>
        <w:t>用于支持托里县4家民贸民品企业（托里县粮食收储公司贷款贴息、托里县兵锦棉业有限公司贷款贴息、托里县绿之风农业发展有限公司贷款贴息、托里县天山小哥农业科技有限公司）生产经营，切实发挥民贸民品贷款贴息资金惠企利民作用。</w:t>
      </w:r>
    </w:p>
    <w:p w14:paraId="1336C776">
      <w:pPr>
        <w:spacing w:line="560" w:lineRule="exact"/>
        <w:ind w:firstLine="640" w:firstLineChars="200"/>
      </w:pPr>
      <w:r>
        <w:rPr>
          <w:rFonts w:eastAsia="仿宋_GB2312"/>
          <w:sz w:val="32"/>
          <w:szCs w:val="32"/>
        </w:rPr>
        <w:t>项目实施情况：</w:t>
      </w:r>
      <w:r>
        <w:rPr>
          <w:rFonts w:hint="eastAsia" w:eastAsia="仿宋_GB2312"/>
          <w:sz w:val="32"/>
          <w:szCs w:val="32"/>
        </w:rPr>
        <w:t>2024年项目资金373.43万元，截至2024年6月30日，已支付373.43万元用于支持4家民贸民品企业，对资金使用情况进行监督检查1次，保证资金规范使用，不断提升企业发展效果，有效提升民贸民品企业带动当地就业，企业满意度达到96%。</w:t>
      </w:r>
    </w:p>
    <w:p w14:paraId="378EA4CD">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76552961">
      <w:pPr>
        <w:spacing w:line="600" w:lineRule="exact"/>
        <w:ind w:firstLine="640" w:firstLineChars="200"/>
        <w:outlineLvl w:val="0"/>
        <w:rPr>
          <w:rFonts w:eastAsia="仿宋_GB2312"/>
          <w:sz w:val="32"/>
          <w:szCs w:val="32"/>
        </w:rPr>
      </w:pPr>
      <w:r>
        <w:rPr>
          <w:rFonts w:eastAsia="仿宋_GB2312"/>
          <w:sz w:val="32"/>
          <w:szCs w:val="32"/>
        </w:rPr>
        <w:t>（1）资金投入情况</w:t>
      </w:r>
    </w:p>
    <w:p w14:paraId="3C21776F">
      <w:pPr>
        <w:spacing w:line="600" w:lineRule="exact"/>
        <w:ind w:firstLine="640" w:firstLineChars="200"/>
        <w:outlineLvl w:val="0"/>
        <w:rPr>
          <w:rFonts w:eastAsia="仿宋_GB2312"/>
          <w:color w:val="FF0000"/>
          <w:sz w:val="32"/>
          <w:szCs w:val="32"/>
        </w:rPr>
      </w:pPr>
      <w:r>
        <w:rPr>
          <w:rFonts w:eastAsia="仿宋_GB2312"/>
          <w:sz w:val="32"/>
          <w:szCs w:val="32"/>
        </w:rPr>
        <w:t>该项目年初预算数</w:t>
      </w:r>
      <w:r>
        <w:rPr>
          <w:rFonts w:hint="eastAsia" w:eastAsia="仿宋_GB2312"/>
          <w:sz w:val="32"/>
          <w:szCs w:val="32"/>
        </w:rPr>
        <w:t>373.43</w:t>
      </w:r>
      <w:r>
        <w:rPr>
          <w:rFonts w:eastAsia="仿宋_GB2312"/>
          <w:sz w:val="32"/>
          <w:szCs w:val="32"/>
        </w:rPr>
        <w:t>万元，全年预算数</w:t>
      </w:r>
      <w:r>
        <w:rPr>
          <w:rFonts w:hint="eastAsia" w:eastAsia="仿宋_GB2312"/>
          <w:sz w:val="32"/>
          <w:szCs w:val="32"/>
        </w:rPr>
        <w:t>373.43</w:t>
      </w:r>
      <w:r>
        <w:rPr>
          <w:rFonts w:eastAsia="仿宋_GB2312"/>
          <w:sz w:val="32"/>
          <w:szCs w:val="32"/>
        </w:rPr>
        <w:t>万元，该项目资金已全部落实到位，资金来源为</w:t>
      </w:r>
      <w:r>
        <w:rPr>
          <w:rFonts w:hint="eastAsia" w:eastAsia="仿宋_GB2312"/>
          <w:sz w:val="32"/>
          <w:szCs w:val="32"/>
        </w:rPr>
        <w:t>财政拨款资金</w:t>
      </w:r>
      <w:r>
        <w:rPr>
          <w:rFonts w:eastAsia="仿宋_GB2312"/>
          <w:sz w:val="32"/>
          <w:szCs w:val="32"/>
        </w:rPr>
        <w:t>。</w:t>
      </w:r>
    </w:p>
    <w:p w14:paraId="6AEFA747">
      <w:pPr>
        <w:spacing w:line="600" w:lineRule="exact"/>
        <w:ind w:firstLine="640" w:firstLineChars="200"/>
        <w:outlineLvl w:val="0"/>
        <w:rPr>
          <w:rFonts w:eastAsia="仿宋_GB2312"/>
          <w:sz w:val="32"/>
          <w:szCs w:val="32"/>
        </w:rPr>
      </w:pPr>
      <w:r>
        <w:rPr>
          <w:rFonts w:eastAsia="仿宋_GB2312"/>
          <w:sz w:val="32"/>
          <w:szCs w:val="32"/>
        </w:rPr>
        <w:t>（2）资金使用情况</w:t>
      </w:r>
    </w:p>
    <w:p w14:paraId="06F1335A">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373.43</w:t>
      </w:r>
      <w:r>
        <w:rPr>
          <w:rFonts w:eastAsia="仿宋_GB2312"/>
          <w:sz w:val="32"/>
          <w:szCs w:val="32"/>
        </w:rPr>
        <w:t>万元，全年预算数</w:t>
      </w:r>
      <w:r>
        <w:rPr>
          <w:rFonts w:hint="eastAsia" w:eastAsia="仿宋_GB2312"/>
          <w:sz w:val="32"/>
          <w:szCs w:val="32"/>
        </w:rPr>
        <w:t>373.43</w:t>
      </w:r>
      <w:r>
        <w:rPr>
          <w:rFonts w:eastAsia="仿宋_GB2312"/>
          <w:sz w:val="32"/>
          <w:szCs w:val="32"/>
        </w:rPr>
        <w:t>万元，全年执行数</w:t>
      </w:r>
      <w:r>
        <w:rPr>
          <w:rFonts w:hint="eastAsia" w:eastAsia="仿宋_GB2312"/>
          <w:sz w:val="32"/>
          <w:szCs w:val="32"/>
        </w:rPr>
        <w:t>373.43</w:t>
      </w:r>
      <w:r>
        <w:rPr>
          <w:rFonts w:eastAsia="仿宋_GB2312"/>
          <w:sz w:val="32"/>
          <w:szCs w:val="32"/>
        </w:rPr>
        <w:t>万元，预算执行率为</w:t>
      </w:r>
      <w:r>
        <w:rPr>
          <w:rFonts w:hint="eastAsia" w:eastAsia="仿宋_GB2312"/>
          <w:sz w:val="32"/>
          <w:szCs w:val="32"/>
        </w:rPr>
        <w:t>100</w:t>
      </w:r>
      <w:r>
        <w:rPr>
          <w:rFonts w:eastAsia="仿宋_GB2312"/>
          <w:sz w:val="32"/>
          <w:szCs w:val="32"/>
        </w:rPr>
        <w:t>%，主要用于：</w:t>
      </w:r>
      <w:r>
        <w:rPr>
          <w:rFonts w:hint="eastAsia" w:eastAsia="仿宋_GB2312"/>
          <w:sz w:val="32"/>
          <w:szCs w:val="32"/>
        </w:rPr>
        <w:t>符合政策要求民族贸易和民族特需商品生产贷款贴息引导支持资金项目支出</w:t>
      </w:r>
      <w:r>
        <w:rPr>
          <w:rFonts w:eastAsia="仿宋_GB2312"/>
          <w:sz w:val="32"/>
          <w:szCs w:val="32"/>
        </w:rPr>
        <w:t>。</w:t>
      </w:r>
    </w:p>
    <w:p w14:paraId="6E4BAE2D">
      <w:pPr>
        <w:spacing w:line="560" w:lineRule="exact"/>
        <w:ind w:firstLine="643" w:firstLineChars="200"/>
        <w:rPr>
          <w:rFonts w:eastAsia="楷体_GB2312"/>
          <w:b/>
          <w:bCs/>
          <w:sz w:val="32"/>
          <w:szCs w:val="32"/>
        </w:rPr>
      </w:pPr>
      <w:r>
        <w:rPr>
          <w:rFonts w:eastAsia="楷体_GB2312"/>
          <w:b/>
          <w:bCs/>
          <w:sz w:val="32"/>
          <w:szCs w:val="32"/>
        </w:rPr>
        <w:t>（二）项目绩效目标</w:t>
      </w:r>
    </w:p>
    <w:p w14:paraId="6865F42C">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2A5537B1">
      <w:pPr>
        <w:spacing w:line="560" w:lineRule="exact"/>
        <w:ind w:firstLine="640" w:firstLineChars="200"/>
        <w:rPr>
          <w:rFonts w:eastAsia="黑体"/>
          <w:bCs/>
        </w:rPr>
      </w:pPr>
      <w:r>
        <w:rPr>
          <w:rFonts w:hint="eastAsia" w:eastAsia="仿宋_GB2312"/>
          <w:sz w:val="32"/>
          <w:szCs w:val="32"/>
        </w:rPr>
        <w:t>解决民贸民品企业融资成本，发挥民贸民品贷款贴息资金惠企利民作用。</w:t>
      </w:r>
    </w:p>
    <w:p w14:paraId="224656DF">
      <w:pPr>
        <w:spacing w:line="560" w:lineRule="exact"/>
        <w:ind w:firstLine="640" w:firstLineChars="200"/>
        <w:rPr>
          <w:rFonts w:eastAsia="仿宋_GB2312"/>
          <w:color w:val="FF0000"/>
          <w:sz w:val="30"/>
          <w:szCs w:val="30"/>
        </w:rPr>
      </w:pPr>
      <w:r>
        <w:rPr>
          <w:rFonts w:eastAsia="仿宋_GB2312"/>
          <w:sz w:val="32"/>
          <w:szCs w:val="32"/>
        </w:rPr>
        <w:t>2</w:t>
      </w:r>
      <w:r>
        <w:rPr>
          <w:rFonts w:eastAsia="仿宋_GB2312"/>
          <w:b/>
          <w:bCs/>
          <w:sz w:val="32"/>
          <w:szCs w:val="32"/>
        </w:rPr>
        <w:t>.</w:t>
      </w:r>
      <w:r>
        <w:rPr>
          <w:rFonts w:eastAsia="仿宋_GB2312"/>
          <w:sz w:val="32"/>
          <w:szCs w:val="32"/>
        </w:rPr>
        <w:t>阶段性目标</w:t>
      </w:r>
    </w:p>
    <w:p w14:paraId="7F7F6D1E">
      <w:pPr>
        <w:spacing w:line="560" w:lineRule="exact"/>
        <w:ind w:firstLine="640" w:firstLineChars="200"/>
        <w:rPr>
          <w:rFonts w:eastAsia="黑体"/>
          <w:bCs/>
        </w:rPr>
      </w:pPr>
      <w:r>
        <w:rPr>
          <w:rFonts w:hint="eastAsia" w:eastAsia="仿宋_GB2312"/>
          <w:sz w:val="32"/>
          <w:szCs w:val="32"/>
        </w:rPr>
        <w:t>项目资金373.43万元，2024年项目资金373.43万元,用于支持4家民贸民品企业（粮食收储公司贷款贴息、兵锦棉业有限公司贷款贴息、绿之风农业发展有限公司贷款贴息、天山小哥农业科技有限公司贷款贴息）对资金使用情况进行监督检查1次，保证资金规范使用,不断提升企业发展效果,有效提升民贸民品企业带动当地就业，企业满意度达到96%</w:t>
      </w:r>
      <w:r>
        <w:rPr>
          <w:rStyle w:val="16"/>
          <w:rFonts w:hint="eastAsia" w:eastAsia="黑体"/>
          <w:b w:val="0"/>
          <w:spacing w:val="-4"/>
          <w:sz w:val="32"/>
          <w:szCs w:val="32"/>
        </w:rPr>
        <w:t>。</w:t>
      </w:r>
    </w:p>
    <w:p w14:paraId="568A1C5F">
      <w:pPr>
        <w:spacing w:line="560" w:lineRule="exact"/>
        <w:ind w:firstLine="640" w:firstLineChars="200"/>
        <w:rPr>
          <w:rFonts w:eastAsia="黑体"/>
          <w:sz w:val="32"/>
          <w:szCs w:val="32"/>
        </w:rPr>
      </w:pPr>
      <w:r>
        <w:rPr>
          <w:rFonts w:eastAsia="黑体"/>
          <w:sz w:val="32"/>
          <w:szCs w:val="32"/>
        </w:rPr>
        <w:t>二、绩效评价工作开展情况</w:t>
      </w:r>
    </w:p>
    <w:p w14:paraId="0B6F47C0">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47203F0E">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3B1FDFAB">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w:t>
      </w:r>
      <w:r>
        <w:rPr>
          <w:rFonts w:hint="eastAsia" w:eastAsia="仿宋_GB2312"/>
          <w:sz w:val="32"/>
          <w:szCs w:val="32"/>
          <w:lang w:eastAsia="zh-CN"/>
        </w:rPr>
        <w:t>地</w:t>
      </w:r>
      <w:r>
        <w:rPr>
          <w:rFonts w:eastAsia="仿宋_GB2312"/>
          <w:sz w:val="32"/>
          <w:szCs w:val="32"/>
        </w:rPr>
        <w:t>梳理与评估。</w:t>
      </w:r>
    </w:p>
    <w:p w14:paraId="50D465F5">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在评价指标体系的构建上，充分考虑了项目的性质、目标以及预期成果，选取了具有代表性和可衡量性的关键指标，涵盖了社会效益，力求全方位反映项目的绩效状况。同时，</w:t>
      </w:r>
      <w:r>
        <w:rPr>
          <w:rFonts w:hint="eastAsia" w:eastAsia="仿宋_GB2312"/>
          <w:sz w:val="32"/>
          <w:szCs w:val="32"/>
          <w:lang w:eastAsia="zh-CN"/>
        </w:rPr>
        <w:t>对</w:t>
      </w:r>
      <w:r>
        <w:rPr>
          <w:rFonts w:eastAsia="仿宋_GB2312"/>
          <w:sz w:val="32"/>
          <w:szCs w:val="32"/>
        </w:rPr>
        <w:t>每个指标的评价标准和数据来源均进行了明确说明，确保评价结果的客观性和可追溯性。</w:t>
      </w:r>
    </w:p>
    <w:p w14:paraId="7F5842BD">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w:t>
      </w:r>
      <w:r>
        <w:rPr>
          <w:rFonts w:hint="eastAsia" w:eastAsia="仿宋_GB2312"/>
          <w:sz w:val="32"/>
          <w:szCs w:val="32"/>
          <w:lang w:eastAsia="zh-CN"/>
        </w:rPr>
        <w:t>地</w:t>
      </w:r>
      <w:r>
        <w:rPr>
          <w:rFonts w:eastAsia="仿宋_GB2312"/>
          <w:sz w:val="32"/>
          <w:szCs w:val="32"/>
        </w:rPr>
        <w:t>处理和说明，保证了评价数据的真实性和有效性。</w:t>
      </w:r>
    </w:p>
    <w:p w14:paraId="78054B96">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E31AE4D">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2F8C711">
      <w:pPr>
        <w:spacing w:line="560" w:lineRule="exact"/>
        <w:ind w:firstLine="640" w:firstLineChars="200"/>
        <w:rPr>
          <w:rFonts w:eastAsia="仿宋_GB2312"/>
          <w:sz w:val="32"/>
          <w:szCs w:val="32"/>
        </w:rPr>
      </w:pPr>
      <w:r>
        <w:rPr>
          <w:rFonts w:eastAsia="仿宋_GB2312"/>
          <w:sz w:val="32"/>
          <w:szCs w:val="32"/>
        </w:rPr>
        <w:t>2.绩效评价的目的</w:t>
      </w:r>
    </w:p>
    <w:p w14:paraId="2CF9C433">
      <w:pPr>
        <w:spacing w:line="560" w:lineRule="exact"/>
        <w:ind w:firstLine="640" w:firstLineChars="200"/>
        <w:rPr>
          <w:rFonts w:eastAsia="仿宋_GB2312"/>
          <w:sz w:val="32"/>
          <w:szCs w:val="32"/>
        </w:rPr>
      </w:pPr>
      <w:r>
        <w:rPr>
          <w:rFonts w:eastAsia="仿宋_GB2312"/>
          <w:sz w:val="32"/>
          <w:szCs w:val="32"/>
        </w:rPr>
        <w:t>（1）评估项目实施效果</w:t>
      </w:r>
    </w:p>
    <w:p w14:paraId="04E89705">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通过对项目预算执行情况及各项绩效目标达成程度的系统性分析，全面、客观地评估项目在预定周期内的实施效果，包括社会效益维度指标，为项目后续的改进与优化提供科学依据。</w:t>
      </w:r>
    </w:p>
    <w:p w14:paraId="69F66106">
      <w:pPr>
        <w:spacing w:line="560" w:lineRule="exact"/>
        <w:ind w:firstLine="640" w:firstLineChars="200"/>
        <w:rPr>
          <w:rFonts w:eastAsia="仿宋_GB2312"/>
          <w:sz w:val="32"/>
          <w:szCs w:val="32"/>
        </w:rPr>
      </w:pPr>
      <w:r>
        <w:rPr>
          <w:rFonts w:eastAsia="仿宋_GB2312"/>
          <w:sz w:val="32"/>
          <w:szCs w:val="32"/>
        </w:rPr>
        <w:t>（2）提升资源利用效率</w:t>
      </w:r>
    </w:p>
    <w:p w14:paraId="2BF50497">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1BDCD6C">
      <w:pPr>
        <w:spacing w:line="560" w:lineRule="exact"/>
        <w:ind w:firstLine="640" w:firstLineChars="200"/>
        <w:rPr>
          <w:rFonts w:eastAsia="仿宋_GB2312"/>
          <w:sz w:val="32"/>
          <w:szCs w:val="32"/>
        </w:rPr>
      </w:pPr>
      <w:r>
        <w:rPr>
          <w:rFonts w:eastAsia="仿宋_GB2312"/>
          <w:sz w:val="32"/>
          <w:szCs w:val="32"/>
        </w:rPr>
        <w:t>（3）强化项目管理责任</w:t>
      </w:r>
    </w:p>
    <w:p w14:paraId="197EADC2">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BDCB954">
      <w:pPr>
        <w:spacing w:line="560" w:lineRule="exact"/>
        <w:ind w:firstLine="640" w:firstLineChars="200"/>
        <w:rPr>
          <w:rFonts w:eastAsia="仿宋_GB2312"/>
          <w:sz w:val="32"/>
          <w:szCs w:val="32"/>
        </w:rPr>
      </w:pPr>
      <w:r>
        <w:rPr>
          <w:rFonts w:eastAsia="仿宋_GB2312"/>
          <w:sz w:val="32"/>
          <w:szCs w:val="32"/>
        </w:rPr>
        <w:t>（4）为决策提供支持</w:t>
      </w:r>
    </w:p>
    <w:p w14:paraId="4DBE9ACA">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44517F8">
      <w:pPr>
        <w:spacing w:line="560" w:lineRule="exact"/>
        <w:ind w:firstLine="640" w:firstLineChars="200"/>
        <w:rPr>
          <w:rFonts w:eastAsia="仿宋_GB2312"/>
          <w:sz w:val="32"/>
          <w:szCs w:val="32"/>
        </w:rPr>
      </w:pPr>
      <w:r>
        <w:rPr>
          <w:rFonts w:eastAsia="仿宋_GB2312"/>
          <w:sz w:val="32"/>
          <w:szCs w:val="32"/>
        </w:rPr>
        <w:t>（5）促进项目持续改进</w:t>
      </w:r>
    </w:p>
    <w:p w14:paraId="09B53DBE">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90E61CB">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7CA4BF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76D10471">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kern w:val="2"/>
        </w:rPr>
        <w:t>民族贸易和民族特需商品生产贷款贴息引导支持资金</w:t>
      </w:r>
      <w:r>
        <w:rPr>
          <w:rFonts w:ascii="Times New Roman" w:hAnsi="Times New Roman" w:eastAsia="仿宋_GB2312"/>
          <w:b w:val="0"/>
          <w:bCs w:val="0"/>
        </w:rPr>
        <w:t>及其预算执行情况。该项目由</w:t>
      </w:r>
      <w:r>
        <w:rPr>
          <w:rFonts w:hint="eastAsia" w:ascii="Times New Roman" w:hAnsi="Times New Roman" w:eastAsia="仿宋_GB2312"/>
          <w:b w:val="0"/>
          <w:bCs w:val="0"/>
        </w:rPr>
        <w:t>托里县委统战部</w:t>
      </w:r>
      <w:r>
        <w:rPr>
          <w:rFonts w:ascii="Times New Roman" w:hAnsi="Times New Roman" w:eastAsia="仿宋_GB2312"/>
          <w:b w:val="0"/>
          <w:bCs w:val="0"/>
        </w:rPr>
        <w:t>负责实施，旨在</w:t>
      </w:r>
      <w:r>
        <w:rPr>
          <w:rFonts w:hint="eastAsia" w:ascii="Times New Roman" w:hAnsi="Times New Roman" w:eastAsia="仿宋_GB2312"/>
          <w:b w:val="0"/>
          <w:bCs w:val="0"/>
          <w:kern w:val="2"/>
        </w:rPr>
        <w:t>解决民贸民品企业融资成本，发挥民贸民品贷款贴息资金惠企利民作用</w:t>
      </w:r>
      <w:r>
        <w:rPr>
          <w:rFonts w:ascii="Times New Roman" w:hAnsi="Times New Roman" w:eastAsia="仿宋_GB2312"/>
          <w:b w:val="0"/>
          <w:bCs w:val="0"/>
          <w:kern w:val="2"/>
        </w:rPr>
        <w:t>。项目预算涵盖从</w:t>
      </w:r>
      <w:r>
        <w:rPr>
          <w:rFonts w:hint="eastAsia" w:ascii="Times New Roman" w:hAnsi="Times New Roman" w:eastAsia="仿宋_GB2312"/>
          <w:b w:val="0"/>
          <w:bCs w:val="0"/>
          <w:kern w:val="2"/>
        </w:rPr>
        <w:t>2024年1月1日</w:t>
      </w:r>
      <w:r>
        <w:rPr>
          <w:rFonts w:ascii="Times New Roman" w:hAnsi="Times New Roman" w:eastAsia="仿宋_GB2312"/>
          <w:b w:val="0"/>
          <w:bCs w:val="0"/>
          <w:kern w:val="2"/>
        </w:rPr>
        <w:t>至</w:t>
      </w:r>
      <w:r>
        <w:rPr>
          <w:rFonts w:hint="eastAsia" w:ascii="Times New Roman" w:hAnsi="Times New Roman" w:eastAsia="仿宋_GB2312"/>
          <w:b w:val="0"/>
          <w:bCs w:val="0"/>
          <w:kern w:val="2"/>
        </w:rPr>
        <w:t>2024年12月25日</w:t>
      </w:r>
      <w:r>
        <w:rPr>
          <w:rFonts w:ascii="Times New Roman" w:hAnsi="Times New Roman" w:eastAsia="仿宋_GB2312"/>
          <w:b w:val="0"/>
          <w:bCs w:val="0"/>
          <w:kern w:val="2"/>
        </w:rPr>
        <w:t>的全</w:t>
      </w:r>
      <w:r>
        <w:rPr>
          <w:rFonts w:ascii="Times New Roman" w:hAnsi="Times New Roman" w:eastAsia="仿宋_GB2312"/>
          <w:b w:val="0"/>
          <w:bCs w:val="0"/>
        </w:rPr>
        <w:t>部资金投入与支出，涉及资金总额为</w:t>
      </w:r>
      <w:r>
        <w:rPr>
          <w:rFonts w:hint="eastAsia" w:ascii="Times New Roman" w:hAnsi="Times New Roman" w:eastAsia="仿宋_GB2312"/>
          <w:b w:val="0"/>
          <w:bCs w:val="0"/>
        </w:rPr>
        <w:t>373.43</w:t>
      </w:r>
      <w:r>
        <w:rPr>
          <w:rFonts w:ascii="Times New Roman" w:hAnsi="Times New Roman" w:eastAsia="仿宋_GB2312"/>
          <w:b w:val="0"/>
          <w:bCs w:val="0"/>
        </w:rPr>
        <w:t>万元。</w:t>
      </w:r>
    </w:p>
    <w:p w14:paraId="4BA4485A">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787894B6">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44EDF929">
      <w:pPr>
        <w:pStyle w:val="10"/>
        <w:widowControl w:val="0"/>
        <w:numPr>
          <w:ilvl w:val="0"/>
          <w:numId w:val="1"/>
        </w:numPr>
        <w:spacing w:before="0" w:after="0" w:line="560" w:lineRule="exact"/>
        <w:ind w:firstLine="64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787C7B39">
      <w:pPr>
        <w:pStyle w:val="10"/>
        <w:widowControl w:val="0"/>
        <w:numPr>
          <w:ilvl w:val="0"/>
          <w:numId w:val="1"/>
        </w:numPr>
        <w:spacing w:before="0" w:after="0" w:line="560" w:lineRule="exact"/>
        <w:ind w:firstLine="64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5A903809">
      <w:pPr>
        <w:pStyle w:val="10"/>
        <w:widowControl w:val="0"/>
        <w:numPr>
          <w:ilvl w:val="0"/>
          <w:numId w:val="1"/>
        </w:numPr>
        <w:spacing w:before="0" w:after="0" w:line="560" w:lineRule="exact"/>
        <w:ind w:firstLine="64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69C294B2">
      <w:pPr>
        <w:pStyle w:val="10"/>
        <w:widowControl w:val="0"/>
        <w:numPr>
          <w:ilvl w:val="0"/>
          <w:numId w:val="1"/>
        </w:numPr>
        <w:spacing w:before="0" w:after="0" w:line="560" w:lineRule="exact"/>
        <w:ind w:firstLine="640"/>
        <w:jc w:val="both"/>
        <w:outlineLvl w:val="9"/>
        <w:rPr>
          <w:rFonts w:ascii="Times New Roman" w:hAnsi="Times New Roman" w:eastAsia="仿宋_GB2312"/>
          <w:b w:val="0"/>
          <w:bCs w:val="0"/>
        </w:rPr>
      </w:pPr>
      <w:r>
        <w:rPr>
          <w:rFonts w:ascii="Times New Roman" w:hAnsi="Times New Roman" w:eastAsia="仿宋_GB2312"/>
          <w:b w:val="0"/>
          <w:bCs w:val="0"/>
        </w:rPr>
        <w:t>社会影响：考察项目对社会方面的综合影响。</w:t>
      </w:r>
    </w:p>
    <w:p w14:paraId="68CF724A">
      <w:pPr>
        <w:spacing w:line="560" w:lineRule="exact"/>
        <w:ind w:firstLine="643" w:firstLineChars="200"/>
      </w:pPr>
      <w:r>
        <w:rPr>
          <w:rFonts w:eastAsia="楷体_GB2312"/>
          <w:b/>
          <w:bCs/>
          <w:sz w:val="32"/>
          <w:szCs w:val="32"/>
        </w:rPr>
        <w:t>（二）绩效评价原则、评价指标体系（详情见表1）、评价方法、评价标准。</w:t>
      </w:r>
    </w:p>
    <w:p w14:paraId="796063DC">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01E3ED1B">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200BD3CA">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w:t>
      </w:r>
      <w:r>
        <w:rPr>
          <w:rFonts w:hint="eastAsia" w:ascii="Times New Roman" w:hAnsi="Times New Roman" w:eastAsia="仿宋_GB2312"/>
          <w:b w:val="0"/>
          <w:bCs w:val="0"/>
          <w:lang w:eastAsia="zh-CN"/>
        </w:rPr>
        <w:t>地</w:t>
      </w:r>
      <w:r>
        <w:rPr>
          <w:rFonts w:ascii="Times New Roman" w:hAnsi="Times New Roman" w:eastAsia="仿宋_GB2312"/>
          <w:b w:val="0"/>
          <w:bCs w:val="0"/>
        </w:rPr>
        <w:t>反映。</w:t>
      </w:r>
    </w:p>
    <w:p w14:paraId="00C8C1F5">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30C588C1">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w:t>
      </w:r>
      <w:r>
        <w:rPr>
          <w:rFonts w:hint="eastAsia" w:ascii="Times New Roman" w:hAnsi="Times New Roman" w:eastAsia="仿宋_GB2312"/>
          <w:b w:val="0"/>
          <w:bCs w:val="0"/>
          <w:lang w:eastAsia="zh-CN"/>
        </w:rPr>
        <w:t>调减</w:t>
      </w:r>
      <w:r>
        <w:rPr>
          <w:rFonts w:ascii="Times New Roman" w:hAnsi="Times New Roman" w:eastAsia="仿宋_GB2312"/>
          <w:b w:val="0"/>
          <w:bCs w:val="0"/>
        </w:rPr>
        <w:t>、无效要问责。</w:t>
      </w:r>
    </w:p>
    <w:p w14:paraId="251C2929">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4463CF1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440C8899">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2FE132A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6D60AE5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10D4DF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6675016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31C4A6B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603D68F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EF0B06F">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14:paraId="62AD70F5">
      <w:pPr>
        <w:pStyle w:val="10"/>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32D350A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6FC9F4D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31C3356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8E45A9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 xml:space="preserve">（一）成本效益分析法。是指将投入与产出、效益进行关联性分析的方法。 </w:t>
      </w:r>
    </w:p>
    <w:p w14:paraId="5B74A9E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（二）比较法。是指将实施情况与绩效目标、历史情况、不同部门和地区同类支出情况进行比较的方法。</w:t>
      </w:r>
    </w:p>
    <w:p w14:paraId="25A6C23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三</w:t>
      </w:r>
      <w:r>
        <w:rPr>
          <w:rFonts w:eastAsia="仿宋_GB2312"/>
          <w:color w:val="000000"/>
          <w:spacing w:val="17"/>
          <w:sz w:val="32"/>
          <w:szCs w:val="32"/>
        </w:rPr>
        <w:t>）公众评判法。是指通过</w:t>
      </w:r>
      <w:r>
        <w:rPr>
          <w:rFonts w:hint="eastAsia" w:eastAsia="仿宋_GB2312"/>
          <w:color w:val="000000"/>
          <w:spacing w:val="17"/>
          <w:sz w:val="32"/>
          <w:szCs w:val="32"/>
        </w:rPr>
        <w:t>企业</w:t>
      </w:r>
      <w:r>
        <w:rPr>
          <w:rFonts w:eastAsia="仿宋_GB2312"/>
          <w:color w:val="000000"/>
          <w:spacing w:val="17"/>
          <w:sz w:val="32"/>
          <w:szCs w:val="32"/>
        </w:rPr>
        <w:t>问卷及抽样调查等方式进行评判的方法。</w:t>
      </w:r>
    </w:p>
    <w:p w14:paraId="09763DEF">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1832ADE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14:paraId="6B46339C">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p>
    <w:p w14:paraId="7F36C674">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（2）行业标准。指参照国家公布的行业指标数据制定的评价标准。</w:t>
      </w:r>
    </w:p>
    <w:p w14:paraId="736847CC">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（3）历史标准。指参照历史数据制定的评价标准，为体现绩效改进的原则，在可实现的条件下应当确定相对较高的评价标准。</w:t>
      </w:r>
    </w:p>
    <w:p w14:paraId="02976076">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（4）财政部门和预算部门确认或认可的其他标准。</w:t>
      </w:r>
    </w:p>
    <w:p w14:paraId="045C5262">
      <w:pPr>
        <w:pStyle w:val="10"/>
        <w:numPr>
          <w:ilvl w:val="0"/>
          <w:numId w:val="2"/>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64D11FF7">
      <w:pPr>
        <w:spacing w:line="560" w:lineRule="exact"/>
        <w:ind w:firstLine="640" w:firstLineChars="200"/>
        <w:rPr>
          <w:rFonts w:eastAsia="仿宋_GB2312"/>
          <w:sz w:val="32"/>
          <w:szCs w:val="32"/>
        </w:rPr>
      </w:pPr>
      <w:r>
        <w:rPr>
          <w:rFonts w:eastAsia="仿宋_GB2312"/>
          <w:sz w:val="32"/>
          <w:szCs w:val="32"/>
        </w:rPr>
        <w:t>（1）前期准备与规划</w:t>
      </w:r>
    </w:p>
    <w:p w14:paraId="45C43790">
      <w:pPr>
        <w:spacing w:line="560" w:lineRule="exact"/>
        <w:ind w:firstLine="640" w:firstLineChars="200"/>
        <w:rPr>
          <w:rFonts w:eastAsia="仿宋_GB2312"/>
          <w:kern w:val="28"/>
          <w:sz w:val="32"/>
          <w:szCs w:val="32"/>
        </w:rPr>
      </w:pPr>
      <w:r>
        <w:rPr>
          <w:rFonts w:eastAsia="仿宋_GB2312"/>
          <w:kern w:val="28"/>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13946F00">
      <w:pPr>
        <w:spacing w:line="560" w:lineRule="exact"/>
        <w:ind w:firstLine="640" w:firstLineChars="200"/>
        <w:rPr>
          <w:rFonts w:eastAsia="仿宋_GB2312"/>
          <w:sz w:val="32"/>
          <w:szCs w:val="32"/>
        </w:rPr>
      </w:pPr>
      <w:r>
        <w:rPr>
          <w:rFonts w:eastAsia="仿宋_GB2312"/>
          <w:sz w:val="32"/>
          <w:szCs w:val="32"/>
        </w:rPr>
        <w:t>（2）指标体系构建</w:t>
      </w:r>
    </w:p>
    <w:p w14:paraId="407304C1">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178A2AF8">
      <w:pPr>
        <w:spacing w:line="560" w:lineRule="exact"/>
        <w:ind w:firstLine="640" w:firstLineChars="200"/>
        <w:rPr>
          <w:rFonts w:eastAsia="仿宋_GB2312"/>
          <w:sz w:val="32"/>
          <w:szCs w:val="32"/>
        </w:rPr>
      </w:pPr>
      <w:r>
        <w:rPr>
          <w:rFonts w:eastAsia="仿宋_GB2312"/>
          <w:sz w:val="32"/>
          <w:szCs w:val="32"/>
        </w:rPr>
        <w:t>（3）数据收集与整理</w:t>
      </w:r>
    </w:p>
    <w:p w14:paraId="2A9F312E">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广泛收集与项目相关的各类数据，包括财务报表、项目文档、业务数据、用户反馈等。在数据收集过程中，注重数据的质量与完整性，对缺失或异常的数据进行了合理</w:t>
      </w:r>
      <w:r>
        <w:rPr>
          <w:rFonts w:hint="eastAsia" w:eastAsia="仿宋_GB2312"/>
          <w:sz w:val="32"/>
          <w:szCs w:val="32"/>
          <w:lang w:eastAsia="zh-CN"/>
        </w:rPr>
        <w:t>地</w:t>
      </w:r>
      <w:r>
        <w:rPr>
          <w:rFonts w:eastAsia="仿宋_GB2312"/>
          <w:sz w:val="32"/>
          <w:szCs w:val="32"/>
        </w:rPr>
        <w:t>处理和补充。随后，对收集到的数据进行了系统的整理与分类，为后续的数据分析提供了有力支持。</w:t>
      </w:r>
    </w:p>
    <w:p w14:paraId="382E7752">
      <w:pPr>
        <w:spacing w:line="560" w:lineRule="exact"/>
        <w:ind w:firstLine="640" w:firstLineChars="200"/>
        <w:rPr>
          <w:rFonts w:eastAsia="仿宋_GB2312"/>
          <w:sz w:val="32"/>
          <w:szCs w:val="32"/>
        </w:rPr>
      </w:pPr>
      <w:r>
        <w:rPr>
          <w:rFonts w:eastAsia="仿宋_GB2312"/>
          <w:sz w:val="32"/>
          <w:szCs w:val="32"/>
        </w:rPr>
        <w:t>（4）数据分析与评估</w:t>
      </w:r>
    </w:p>
    <w:p w14:paraId="69A454CF">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056891A">
      <w:pPr>
        <w:spacing w:line="560" w:lineRule="exact"/>
        <w:ind w:firstLine="640" w:firstLineChars="200"/>
        <w:rPr>
          <w:rFonts w:eastAsia="仿宋_GB2312"/>
          <w:sz w:val="32"/>
          <w:szCs w:val="32"/>
        </w:rPr>
      </w:pPr>
      <w:r>
        <w:rPr>
          <w:rFonts w:eastAsia="仿宋_GB2312"/>
          <w:sz w:val="32"/>
          <w:szCs w:val="32"/>
        </w:rPr>
        <w:t>（5）报告撰写与反馈</w:t>
      </w:r>
    </w:p>
    <w:p w14:paraId="72D6869B">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AF6D22F">
      <w:pPr>
        <w:spacing w:line="560" w:lineRule="exact"/>
        <w:ind w:firstLine="640" w:firstLineChars="200"/>
        <w:rPr>
          <w:rFonts w:eastAsia="仿宋_GB2312"/>
          <w:sz w:val="32"/>
          <w:szCs w:val="32"/>
        </w:rPr>
      </w:pPr>
      <w:r>
        <w:rPr>
          <w:rFonts w:eastAsia="仿宋_GB2312"/>
          <w:sz w:val="32"/>
          <w:szCs w:val="32"/>
        </w:rPr>
        <w:t>（6）后续跟踪与改进</w:t>
      </w:r>
    </w:p>
    <w:p w14:paraId="59EA21E0">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6226F30">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72102B9F">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14:paraId="716672E3">
      <w:pPr>
        <w:spacing w:line="70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w:t>
      </w:r>
      <w:r>
        <w:rPr>
          <w:rFonts w:hint="eastAsia" w:eastAsia="仿宋_GB2312"/>
          <w:sz w:val="32"/>
          <w:szCs w:val="32"/>
        </w:rPr>
        <w:t>民族贸易和民族特需商品生产贷款贴息引导支持资金</w:t>
      </w:r>
      <w:r>
        <w:rPr>
          <w:rFonts w:eastAsia="仿宋_GB2312"/>
          <w:sz w:val="32"/>
          <w:szCs w:val="32"/>
        </w:rPr>
        <w:t>在</w:t>
      </w:r>
      <w:r>
        <w:rPr>
          <w:rFonts w:hint="eastAsia" w:eastAsia="仿宋_GB2312"/>
          <w:sz w:val="32"/>
          <w:szCs w:val="32"/>
        </w:rPr>
        <w:t>解决民贸民品企业融资成本，发挥民贸民品贷款贴息资金惠企利民作用</w:t>
      </w:r>
      <w:r>
        <w:rPr>
          <w:rFonts w:eastAsia="仿宋_GB2312"/>
          <w:sz w:val="32"/>
          <w:szCs w:val="32"/>
        </w:rPr>
        <w:t>等方面表现出色，达到了预期的标准与要求。同时，项目也在</w:t>
      </w:r>
      <w:r>
        <w:rPr>
          <w:rFonts w:hint="eastAsia" w:eastAsia="仿宋_GB2312"/>
          <w:sz w:val="32"/>
          <w:szCs w:val="32"/>
        </w:rPr>
        <w:t>资金监管环节</w:t>
      </w:r>
      <w:r>
        <w:rPr>
          <w:rFonts w:eastAsia="仿宋_GB2312"/>
          <w:sz w:val="32"/>
          <w:szCs w:val="32"/>
        </w:rPr>
        <w:t>取得了显著的成效，如</w:t>
      </w:r>
      <w:r>
        <w:rPr>
          <w:rFonts w:hint="eastAsia" w:eastAsia="仿宋_GB2312"/>
          <w:sz w:val="32"/>
          <w:szCs w:val="32"/>
        </w:rPr>
        <w:t>项目对资金使用情况进行监督检查1次，保证资金规范使用,不断提升企业发展效果,有效提升民贸民品企业带动当地就业，企业满意度达到96%</w:t>
      </w:r>
      <w:r>
        <w:rPr>
          <w:rFonts w:eastAsia="仿宋_GB2312"/>
          <w:sz w:val="32"/>
          <w:szCs w:val="32"/>
        </w:rPr>
        <w:t>。</w:t>
      </w:r>
    </w:p>
    <w:p w14:paraId="02525FB0">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托里县委统战部</w:t>
      </w:r>
      <w:r>
        <w:rPr>
          <w:rFonts w:eastAsia="仿宋_GB2312"/>
          <w:sz w:val="32"/>
          <w:szCs w:val="32"/>
        </w:rPr>
        <w:t>通过有效</w:t>
      </w:r>
      <w:r>
        <w:rPr>
          <w:rFonts w:hint="eastAsia" w:eastAsia="仿宋_GB2312"/>
          <w:sz w:val="32"/>
          <w:szCs w:val="32"/>
          <w:lang w:eastAsia="zh-CN"/>
        </w:rPr>
        <w:t>地</w:t>
      </w:r>
      <w:r>
        <w:rPr>
          <w:rFonts w:eastAsia="仿宋_GB2312"/>
          <w:sz w:val="32"/>
          <w:szCs w:val="32"/>
        </w:rPr>
        <w:t>规划、组织与协调，项目得以顺利实施，并在预算与时间上保持了良好的控制。</w:t>
      </w:r>
    </w:p>
    <w:p w14:paraId="2D2D81BC">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从项目效益的角度来看，本项目不仅实现了预期的社会效益方面产生了积极的影响。具体而言，</w:t>
      </w:r>
      <w:r>
        <w:rPr>
          <w:rFonts w:hint="eastAsia" w:eastAsia="仿宋_GB2312"/>
          <w:sz w:val="32"/>
          <w:szCs w:val="32"/>
        </w:rPr>
        <w:t>社会效益</w:t>
      </w:r>
      <w:r>
        <w:rPr>
          <w:rFonts w:eastAsia="仿宋_GB2312"/>
          <w:sz w:val="32"/>
          <w:szCs w:val="32"/>
        </w:rPr>
        <w:t>方面的提升，为项目的利益相关者带来了实实在在的利益。</w:t>
      </w:r>
    </w:p>
    <w:p w14:paraId="45D6D5E0">
      <w:pPr>
        <w:pStyle w:val="9"/>
        <w:widowControl/>
        <w:spacing w:beforeAutospacing="0" w:afterAutospacing="0" w:line="560" w:lineRule="exact"/>
        <w:ind w:firstLine="640" w:firstLineChars="200"/>
      </w:pPr>
      <w:r>
        <w:rPr>
          <w:rFonts w:eastAsia="仿宋_GB2312"/>
          <w:sz w:val="32"/>
          <w:szCs w:val="32"/>
        </w:rPr>
        <w:t>综上所述，</w:t>
      </w:r>
      <w:r>
        <w:rPr>
          <w:rFonts w:hint="eastAsia" w:eastAsia="仿宋_GB2312"/>
          <w:sz w:val="32"/>
          <w:szCs w:val="32"/>
        </w:rPr>
        <w:t>民族贸易和民族特需商品生产贷款贴息引导支持资金</w:t>
      </w:r>
      <w:r>
        <w:rPr>
          <w:rFonts w:eastAsia="仿宋_GB2312"/>
          <w:sz w:val="32"/>
          <w:szCs w:val="32"/>
        </w:rPr>
        <w:t>在绩效评价中表现出色，达到了项目的预期目标，并在多个方面取得了显著的成效。</w:t>
      </w:r>
    </w:p>
    <w:p w14:paraId="5DD7D547">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r>
        <w:rPr>
          <w:rFonts w:hint="eastAsia" w:ascii="Times New Roman" w:hAnsi="Times New Roman" w:eastAsia="楷体_GB2312"/>
        </w:rPr>
        <w:t>（评分表）</w:t>
      </w:r>
    </w:p>
    <w:p w14:paraId="3C1DFC01">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rPr>
        <w:t>100</w:t>
      </w:r>
      <w:r>
        <w:rPr>
          <w:rFonts w:ascii="Times New Roman" w:hAnsi="Times New Roman" w:eastAsia="仿宋_GB2312"/>
          <w:b w:val="0"/>
          <w:bCs w:val="0"/>
        </w:rPr>
        <w:t>分，属于“优”。其中，项目决策类指标权重为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，得分率为</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65598BD3">
      <w:pPr>
        <w:pStyle w:val="10"/>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4998" w:type="pct"/>
        <w:jc w:val="center"/>
        <w:tblLayout w:type="autofit"/>
        <w:tblCellMar>
          <w:top w:w="0" w:type="dxa"/>
          <w:left w:w="108" w:type="dxa"/>
          <w:bottom w:w="0" w:type="dxa"/>
          <w:right w:w="108" w:type="dxa"/>
        </w:tblCellMar>
      </w:tblPr>
      <w:tblGrid>
        <w:gridCol w:w="2787"/>
        <w:gridCol w:w="1927"/>
        <w:gridCol w:w="2023"/>
        <w:gridCol w:w="2023"/>
      </w:tblGrid>
      <w:tr w14:paraId="0994827D">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7561936">
            <w:pPr>
              <w:jc w:val="center"/>
              <w:rPr>
                <w:rFonts w:eastAsia="仿宋_GB2312"/>
                <w:b/>
                <w:bCs/>
                <w:color w:val="000000"/>
                <w:szCs w:val="21"/>
              </w:rPr>
            </w:pPr>
            <w:r>
              <w:rPr>
                <w:rFonts w:eastAsia="仿宋_GB2312"/>
                <w:b/>
                <w:bCs/>
                <w:color w:val="000000"/>
                <w:szCs w:val="21"/>
              </w:rPr>
              <w:t>一级指标</w:t>
            </w:r>
          </w:p>
        </w:tc>
        <w:tc>
          <w:tcPr>
            <w:tcW w:w="1099"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D11F43F">
            <w:pPr>
              <w:jc w:val="center"/>
              <w:rPr>
                <w:rFonts w:eastAsia="仿宋_GB2312"/>
                <w:b/>
                <w:bCs/>
                <w:color w:val="000000"/>
                <w:szCs w:val="21"/>
              </w:rPr>
            </w:pPr>
            <w:r>
              <w:rPr>
                <w:rFonts w:eastAsia="仿宋_GB2312"/>
                <w:b/>
                <w:bCs/>
                <w:color w:val="000000"/>
                <w:szCs w:val="21"/>
              </w:rPr>
              <w:t>权重分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4D4079A">
            <w:pPr>
              <w:jc w:val="center"/>
              <w:rPr>
                <w:rFonts w:eastAsia="仿宋_GB2312"/>
                <w:b/>
                <w:bCs/>
                <w:color w:val="000000"/>
                <w:szCs w:val="21"/>
              </w:rPr>
            </w:pPr>
            <w:r>
              <w:rPr>
                <w:rFonts w:eastAsia="仿宋_GB2312"/>
                <w:b/>
                <w:bCs/>
                <w:color w:val="000000"/>
                <w:szCs w:val="21"/>
              </w:rPr>
              <w:t>得分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5347C62">
            <w:pPr>
              <w:jc w:val="center"/>
              <w:rPr>
                <w:rFonts w:eastAsia="仿宋_GB2312"/>
                <w:b/>
                <w:bCs/>
                <w:color w:val="000000"/>
                <w:szCs w:val="21"/>
              </w:rPr>
            </w:pPr>
            <w:r>
              <w:rPr>
                <w:rFonts w:hint="eastAsia" w:eastAsia="仿宋_GB2312"/>
                <w:b/>
                <w:bCs/>
                <w:color w:val="000000"/>
                <w:szCs w:val="21"/>
              </w:rPr>
              <w:t>得分率</w:t>
            </w:r>
          </w:p>
        </w:tc>
      </w:tr>
      <w:tr w14:paraId="10672B4B">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15EA272">
            <w:pPr>
              <w:jc w:val="center"/>
              <w:rPr>
                <w:rFonts w:eastAsia="仿宋_GB2312"/>
                <w:color w:val="000000"/>
                <w:szCs w:val="21"/>
              </w:rPr>
            </w:pPr>
            <w:r>
              <w:rPr>
                <w:rFonts w:eastAsia="仿宋_GB2312"/>
                <w:color w:val="000000"/>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468AA942">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508C2B82">
            <w:pPr>
              <w:jc w:val="center"/>
              <w:rPr>
                <w:rFonts w:hint="eastAsia" w:eastAsia="仿宋_GB2312"/>
                <w:color w:val="000000"/>
                <w:szCs w:val="21"/>
              </w:rPr>
            </w:pPr>
            <w:r>
              <w:rPr>
                <w:rFonts w:hint="eastAsia"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2C6DEE99">
            <w:pPr>
              <w:jc w:val="center"/>
              <w:rPr>
                <w:rFonts w:eastAsia="仿宋_GB2312"/>
                <w:color w:val="000000"/>
                <w:szCs w:val="21"/>
              </w:rPr>
            </w:pPr>
            <w:r>
              <w:rPr>
                <w:rFonts w:hint="eastAsia" w:eastAsia="仿宋_GB2312"/>
                <w:color w:val="000000"/>
                <w:szCs w:val="21"/>
              </w:rPr>
              <w:t>100%</w:t>
            </w:r>
          </w:p>
        </w:tc>
      </w:tr>
      <w:tr w14:paraId="18C7E2A2">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0F48934">
            <w:pPr>
              <w:jc w:val="center"/>
              <w:rPr>
                <w:rFonts w:eastAsia="仿宋_GB2312"/>
                <w:color w:val="000000"/>
                <w:szCs w:val="21"/>
              </w:rPr>
            </w:pPr>
            <w:r>
              <w:rPr>
                <w:rFonts w:eastAsia="仿宋_GB2312"/>
                <w:color w:val="000000"/>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20406922">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620DFDA3">
            <w:pPr>
              <w:jc w:val="center"/>
              <w:rPr>
                <w:rFonts w:eastAsia="仿宋_GB2312"/>
                <w:color w:val="000000"/>
                <w:szCs w:val="21"/>
              </w:rPr>
            </w:pPr>
            <w:r>
              <w:rPr>
                <w:rFonts w:hint="eastAsia"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4DC85092">
            <w:pPr>
              <w:jc w:val="center"/>
              <w:rPr>
                <w:rFonts w:eastAsia="仿宋_GB2312"/>
                <w:color w:val="000000"/>
                <w:szCs w:val="21"/>
              </w:rPr>
            </w:pPr>
            <w:r>
              <w:rPr>
                <w:rFonts w:hint="eastAsia" w:eastAsia="仿宋_GB2312"/>
                <w:color w:val="000000"/>
                <w:szCs w:val="21"/>
              </w:rPr>
              <w:t>100%</w:t>
            </w:r>
          </w:p>
        </w:tc>
      </w:tr>
      <w:tr w14:paraId="33DEDCA6">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74E226A">
            <w:pPr>
              <w:jc w:val="center"/>
              <w:rPr>
                <w:rFonts w:eastAsia="仿宋_GB2312"/>
                <w:color w:val="000000"/>
                <w:szCs w:val="21"/>
              </w:rPr>
            </w:pPr>
            <w:r>
              <w:rPr>
                <w:rFonts w:eastAsia="仿宋_GB2312"/>
                <w:color w:val="000000"/>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1B8B13E0">
            <w:pPr>
              <w:jc w:val="center"/>
              <w:rPr>
                <w:rFonts w:eastAsia="仿宋_GB2312"/>
                <w:color w:val="000000"/>
                <w:szCs w:val="21"/>
              </w:rPr>
            </w:pPr>
            <w:r>
              <w:rPr>
                <w:rFonts w:eastAsia="仿宋_GB2312"/>
                <w:color w:val="000000"/>
                <w:szCs w:val="21"/>
              </w:rPr>
              <w:t>40</w:t>
            </w:r>
          </w:p>
        </w:tc>
        <w:tc>
          <w:tcPr>
            <w:tcW w:w="1154" w:type="pct"/>
            <w:tcBorders>
              <w:top w:val="nil"/>
              <w:left w:val="nil"/>
              <w:bottom w:val="single" w:color="auto" w:sz="4" w:space="0"/>
              <w:right w:val="single" w:color="auto" w:sz="4" w:space="0"/>
            </w:tcBorders>
            <w:shd w:val="clear" w:color="auto" w:fill="auto"/>
            <w:vAlign w:val="center"/>
          </w:tcPr>
          <w:p w14:paraId="41864A46">
            <w:pPr>
              <w:jc w:val="center"/>
              <w:rPr>
                <w:rFonts w:eastAsia="仿宋_GB2312"/>
                <w:color w:val="000000"/>
                <w:szCs w:val="21"/>
              </w:rPr>
            </w:pPr>
            <w:r>
              <w:rPr>
                <w:rFonts w:hint="eastAsia" w:eastAsia="仿宋_GB2312"/>
                <w:color w:val="000000"/>
                <w:szCs w:val="21"/>
              </w:rPr>
              <w:t>40</w:t>
            </w:r>
          </w:p>
        </w:tc>
        <w:tc>
          <w:tcPr>
            <w:tcW w:w="1154" w:type="pct"/>
            <w:tcBorders>
              <w:top w:val="nil"/>
              <w:left w:val="nil"/>
              <w:bottom w:val="single" w:color="auto" w:sz="4" w:space="0"/>
              <w:right w:val="single" w:color="auto" w:sz="4" w:space="0"/>
            </w:tcBorders>
            <w:shd w:val="clear" w:color="auto" w:fill="auto"/>
            <w:vAlign w:val="center"/>
          </w:tcPr>
          <w:p w14:paraId="57DC275C">
            <w:pPr>
              <w:jc w:val="center"/>
              <w:rPr>
                <w:rFonts w:eastAsia="仿宋_GB2312"/>
                <w:color w:val="000000"/>
                <w:szCs w:val="21"/>
              </w:rPr>
            </w:pPr>
            <w:r>
              <w:rPr>
                <w:rFonts w:hint="eastAsia" w:eastAsia="仿宋_GB2312"/>
                <w:color w:val="000000"/>
                <w:szCs w:val="21"/>
              </w:rPr>
              <w:t>100%</w:t>
            </w:r>
          </w:p>
        </w:tc>
      </w:tr>
      <w:tr w14:paraId="03564B13">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7C3992F">
            <w:pPr>
              <w:jc w:val="center"/>
              <w:rPr>
                <w:rFonts w:eastAsia="仿宋_GB2312"/>
                <w:color w:val="000000"/>
                <w:szCs w:val="21"/>
              </w:rPr>
            </w:pPr>
            <w:r>
              <w:rPr>
                <w:rFonts w:eastAsia="仿宋_GB2312"/>
                <w:color w:val="000000"/>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75D8617C">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0920C1D8">
            <w:pPr>
              <w:jc w:val="center"/>
              <w:rPr>
                <w:rFonts w:eastAsia="仿宋_GB2312"/>
                <w:color w:val="000000"/>
                <w:szCs w:val="21"/>
              </w:rPr>
            </w:pPr>
            <w:r>
              <w:rPr>
                <w:rFonts w:hint="eastAsia"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48B92F3E">
            <w:pPr>
              <w:jc w:val="center"/>
              <w:rPr>
                <w:rFonts w:eastAsia="仿宋_GB2312"/>
                <w:color w:val="000000"/>
                <w:szCs w:val="21"/>
              </w:rPr>
            </w:pPr>
            <w:r>
              <w:rPr>
                <w:rFonts w:hint="eastAsia" w:eastAsia="仿宋_GB2312"/>
                <w:color w:val="000000"/>
                <w:szCs w:val="21"/>
              </w:rPr>
              <w:t>100%</w:t>
            </w:r>
          </w:p>
        </w:tc>
      </w:tr>
      <w:tr w14:paraId="641A3E7F">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08ABA72">
            <w:pPr>
              <w:jc w:val="center"/>
              <w:rPr>
                <w:rFonts w:eastAsia="仿宋_GB2312"/>
                <w:b/>
                <w:bCs/>
                <w:color w:val="000000"/>
                <w:szCs w:val="21"/>
              </w:rPr>
            </w:pPr>
            <w:r>
              <w:rPr>
                <w:rFonts w:eastAsia="仿宋_GB2312"/>
                <w:b/>
                <w:bCs/>
                <w:color w:val="000000"/>
                <w:szCs w:val="21"/>
              </w:rPr>
              <w:t>合计</w:t>
            </w:r>
          </w:p>
        </w:tc>
        <w:tc>
          <w:tcPr>
            <w:tcW w:w="1099" w:type="pct"/>
            <w:tcBorders>
              <w:top w:val="nil"/>
              <w:left w:val="nil"/>
              <w:bottom w:val="single" w:color="auto" w:sz="4" w:space="0"/>
              <w:right w:val="single" w:color="auto" w:sz="4" w:space="0"/>
            </w:tcBorders>
            <w:shd w:val="clear" w:color="auto" w:fill="auto"/>
            <w:vAlign w:val="center"/>
          </w:tcPr>
          <w:p w14:paraId="051F7724">
            <w:pPr>
              <w:jc w:val="center"/>
              <w:rPr>
                <w:rFonts w:eastAsia="仿宋_GB2312"/>
                <w:b/>
                <w:bCs/>
                <w:color w:val="000000"/>
                <w:szCs w:val="21"/>
              </w:rPr>
            </w:pPr>
            <w:r>
              <w:rPr>
                <w:rFonts w:hint="eastAsia" w:eastAsia="仿宋_GB2312"/>
                <w:b/>
                <w:bCs/>
                <w:color w:val="000000"/>
                <w:szCs w:val="21"/>
              </w:rPr>
              <w:t>100</w:t>
            </w:r>
          </w:p>
        </w:tc>
        <w:tc>
          <w:tcPr>
            <w:tcW w:w="1154" w:type="pct"/>
            <w:tcBorders>
              <w:top w:val="nil"/>
              <w:left w:val="nil"/>
              <w:bottom w:val="single" w:color="auto" w:sz="4" w:space="0"/>
              <w:right w:val="single" w:color="auto" w:sz="4" w:space="0"/>
            </w:tcBorders>
            <w:shd w:val="clear" w:color="auto" w:fill="auto"/>
            <w:vAlign w:val="center"/>
          </w:tcPr>
          <w:p w14:paraId="232A5DBF">
            <w:pPr>
              <w:jc w:val="center"/>
              <w:rPr>
                <w:rFonts w:hint="eastAsia" w:eastAsia="仿宋_GB2312"/>
                <w:b/>
                <w:bCs/>
                <w:color w:val="000000"/>
                <w:szCs w:val="21"/>
              </w:rPr>
            </w:pPr>
            <w:r>
              <w:rPr>
                <w:rFonts w:hint="eastAsia" w:eastAsia="仿宋_GB2312"/>
                <w:b/>
                <w:bCs/>
                <w:color w:val="000000"/>
                <w:szCs w:val="21"/>
              </w:rPr>
              <w:t>100</w:t>
            </w:r>
          </w:p>
        </w:tc>
        <w:tc>
          <w:tcPr>
            <w:tcW w:w="1154" w:type="pct"/>
            <w:tcBorders>
              <w:top w:val="nil"/>
              <w:left w:val="nil"/>
              <w:bottom w:val="single" w:color="auto" w:sz="4" w:space="0"/>
              <w:right w:val="single" w:color="auto" w:sz="4" w:space="0"/>
            </w:tcBorders>
            <w:shd w:val="clear" w:color="auto" w:fill="auto"/>
            <w:vAlign w:val="center"/>
          </w:tcPr>
          <w:p w14:paraId="2B5B2EAC">
            <w:pPr>
              <w:jc w:val="center"/>
              <w:rPr>
                <w:rFonts w:eastAsia="仿宋_GB2312"/>
                <w:b/>
                <w:bCs/>
                <w:color w:val="000000"/>
                <w:szCs w:val="21"/>
              </w:rPr>
            </w:pPr>
            <w:r>
              <w:rPr>
                <w:rFonts w:hint="eastAsia" w:eastAsia="仿宋_GB2312"/>
                <w:b/>
                <w:bCs/>
                <w:color w:val="000000"/>
                <w:szCs w:val="21"/>
              </w:rPr>
              <w:t>100%</w:t>
            </w:r>
          </w:p>
        </w:tc>
      </w:tr>
    </w:tbl>
    <w:p w14:paraId="5DDC68F3">
      <w:pPr>
        <w:spacing w:line="560" w:lineRule="exact"/>
        <w:ind w:firstLine="640" w:firstLineChars="200"/>
        <w:rPr>
          <w:rFonts w:eastAsia="黑体"/>
          <w:sz w:val="32"/>
          <w:szCs w:val="32"/>
        </w:rPr>
      </w:pPr>
      <w:r>
        <w:rPr>
          <w:rFonts w:eastAsia="黑体"/>
          <w:sz w:val="32"/>
          <w:szCs w:val="32"/>
        </w:rPr>
        <w:t>四、绩效评价指标分析</w:t>
      </w:r>
    </w:p>
    <w:p w14:paraId="6BB311CF">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4FBF22BE">
      <w:pPr>
        <w:spacing w:line="600" w:lineRule="exact"/>
        <w:ind w:firstLine="640" w:firstLineChars="200"/>
        <w:outlineLvl w:val="0"/>
        <w:rPr>
          <w:rFonts w:eastAsia="仿宋_GB2312"/>
          <w:sz w:val="32"/>
          <w:szCs w:val="32"/>
          <w:highlight w:val="yellow"/>
        </w:rPr>
      </w:pPr>
      <w:r>
        <w:rPr>
          <w:rFonts w:eastAsia="仿宋_GB2312"/>
          <w:sz w:val="32"/>
          <w:szCs w:val="32"/>
        </w:rPr>
        <w:t>项目决策类指标包括项目立项、绩效目标和资金投入三方面的内容，由6个三级指标构成，权重分值为20分，实际得分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72A4A644">
      <w:pPr>
        <w:pStyle w:val="19"/>
        <w:spacing w:line="560" w:lineRule="exact"/>
        <w:ind w:firstLine="640"/>
        <w:rPr>
          <w:rFonts w:eastAsia="仿宋_GB2312"/>
          <w:b/>
          <w:bCs/>
          <w:sz w:val="32"/>
          <w:szCs w:val="32"/>
        </w:rPr>
      </w:pPr>
      <w:r>
        <w:rPr>
          <w:rFonts w:eastAsia="仿宋_GB2312"/>
          <w:b/>
          <w:bCs/>
          <w:sz w:val="32"/>
          <w:szCs w:val="32"/>
        </w:rPr>
        <w:t>1.项目立项</w:t>
      </w:r>
    </w:p>
    <w:p w14:paraId="318B7757">
      <w:pPr>
        <w:spacing w:line="600" w:lineRule="exact"/>
        <w:ind w:firstLine="640" w:firstLineChars="200"/>
        <w:outlineLvl w:val="0"/>
        <w:rPr>
          <w:rFonts w:eastAsia="仿宋_GB2312"/>
          <w:sz w:val="32"/>
          <w:szCs w:val="32"/>
        </w:rPr>
      </w:pPr>
      <w:r>
        <w:rPr>
          <w:rFonts w:eastAsia="仿宋_GB2312"/>
          <w:sz w:val="32"/>
          <w:szCs w:val="32"/>
        </w:rPr>
        <w:t>（1）立项依据充分性</w:t>
      </w:r>
    </w:p>
    <w:p w14:paraId="4E6E092A">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E6271D0">
      <w:pPr>
        <w:spacing w:line="600" w:lineRule="exact"/>
        <w:ind w:firstLine="640" w:firstLineChars="200"/>
        <w:outlineLvl w:val="0"/>
        <w:rPr>
          <w:rFonts w:eastAsia="仿宋_GB2312"/>
          <w:sz w:val="32"/>
          <w:szCs w:val="32"/>
        </w:rPr>
      </w:pPr>
      <w:r>
        <w:rPr>
          <w:rFonts w:eastAsia="仿宋_GB2312"/>
          <w:sz w:val="32"/>
          <w:szCs w:val="32"/>
        </w:rPr>
        <w:t>（2）立项程序规范性</w:t>
      </w:r>
    </w:p>
    <w:p w14:paraId="51B5256F">
      <w:pPr>
        <w:spacing w:line="600" w:lineRule="exact"/>
        <w:ind w:firstLine="640" w:firstLineChars="20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D69EA51">
      <w:pPr>
        <w:pStyle w:val="19"/>
        <w:spacing w:line="560" w:lineRule="exact"/>
        <w:ind w:firstLine="640"/>
        <w:rPr>
          <w:rFonts w:eastAsia="仿宋_GB2312"/>
          <w:b/>
          <w:bCs/>
          <w:sz w:val="32"/>
          <w:szCs w:val="32"/>
        </w:rPr>
      </w:pPr>
      <w:r>
        <w:rPr>
          <w:rFonts w:eastAsia="仿宋_GB2312"/>
          <w:b/>
          <w:bCs/>
          <w:sz w:val="32"/>
          <w:szCs w:val="32"/>
        </w:rPr>
        <w:t>2.绩效目标</w:t>
      </w:r>
    </w:p>
    <w:p w14:paraId="534EFAD8">
      <w:pPr>
        <w:spacing w:line="600" w:lineRule="exact"/>
        <w:ind w:firstLine="640" w:firstLineChars="200"/>
        <w:outlineLvl w:val="0"/>
        <w:rPr>
          <w:rFonts w:eastAsia="仿宋_GB2312"/>
          <w:sz w:val="32"/>
          <w:szCs w:val="32"/>
        </w:rPr>
      </w:pPr>
      <w:r>
        <w:rPr>
          <w:rFonts w:eastAsia="仿宋_GB2312"/>
          <w:sz w:val="32"/>
          <w:szCs w:val="32"/>
        </w:rPr>
        <w:t>（1）绩效目标合理性</w:t>
      </w:r>
    </w:p>
    <w:p w14:paraId="17FA0D02">
      <w:pPr>
        <w:spacing w:line="600" w:lineRule="exact"/>
        <w:ind w:firstLine="640" w:firstLineChars="20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w:t>
      </w:r>
      <w:r>
        <w:rPr>
          <w:rFonts w:hint="eastAsia" w:eastAsia="仿宋_GB2312"/>
          <w:sz w:val="32"/>
          <w:szCs w:val="32"/>
          <w:lang w:eastAsia="zh-CN"/>
        </w:rPr>
        <w:t>的</w:t>
      </w:r>
      <w:r>
        <w:rPr>
          <w:rFonts w:eastAsia="仿宋_GB2312"/>
          <w:sz w:val="32"/>
          <w:szCs w:val="32"/>
        </w:rPr>
        <w:t>细化情况。绩效目标表经过审核，绩效目标与实际工作内容具有相关性，预算与确定的项目投资额相匹配，对项目任务进行了详细分解。项目预期产出效益及效果符合正常的业绩水平。</w:t>
      </w:r>
    </w:p>
    <w:p w14:paraId="6ED1C5B6">
      <w:pPr>
        <w:spacing w:line="600" w:lineRule="exact"/>
        <w:ind w:firstLine="640" w:firstLineChars="200"/>
        <w:outlineLvl w:val="0"/>
        <w:rPr>
          <w:rFonts w:eastAsia="仿宋_GB2312"/>
          <w:sz w:val="32"/>
          <w:szCs w:val="32"/>
        </w:rPr>
      </w:pPr>
      <w:r>
        <w:rPr>
          <w:rFonts w:eastAsia="仿宋_GB2312"/>
          <w:sz w:val="32"/>
          <w:szCs w:val="32"/>
        </w:rPr>
        <w:t>（2）绩效指标明确性</w:t>
      </w:r>
    </w:p>
    <w:p w14:paraId="009ADBF8">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4FF56E84">
      <w:pPr>
        <w:pStyle w:val="19"/>
        <w:spacing w:line="560" w:lineRule="exact"/>
        <w:ind w:firstLine="640"/>
        <w:rPr>
          <w:rFonts w:eastAsia="仿宋_GB2312"/>
          <w:b/>
          <w:bCs/>
          <w:sz w:val="32"/>
          <w:szCs w:val="32"/>
        </w:rPr>
      </w:pPr>
      <w:r>
        <w:rPr>
          <w:rFonts w:eastAsia="仿宋_GB2312"/>
          <w:b/>
          <w:bCs/>
          <w:sz w:val="32"/>
          <w:szCs w:val="32"/>
        </w:rPr>
        <w:t>3.资金投入</w:t>
      </w:r>
    </w:p>
    <w:p w14:paraId="159DAB5A">
      <w:pPr>
        <w:spacing w:line="600" w:lineRule="exact"/>
        <w:ind w:firstLine="640" w:firstLineChars="200"/>
        <w:outlineLvl w:val="0"/>
        <w:rPr>
          <w:rFonts w:eastAsia="仿宋_GB2312"/>
          <w:sz w:val="32"/>
          <w:szCs w:val="32"/>
        </w:rPr>
      </w:pPr>
      <w:r>
        <w:rPr>
          <w:rFonts w:eastAsia="仿宋_GB2312"/>
          <w:sz w:val="32"/>
          <w:szCs w:val="32"/>
        </w:rPr>
        <w:t>（1）预算编制科学性</w:t>
      </w:r>
    </w:p>
    <w:p w14:paraId="5CC36220">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w:t>
      </w:r>
      <w:r>
        <w:rPr>
          <w:rFonts w:hint="eastAsia" w:eastAsia="仿宋_GB2312"/>
          <w:sz w:val="32"/>
          <w:szCs w:val="32"/>
          <w:lang w:eastAsia="zh-CN"/>
        </w:rPr>
        <w:t>地</w:t>
      </w:r>
      <w:r>
        <w:rPr>
          <w:rFonts w:eastAsia="仿宋_GB2312"/>
          <w:sz w:val="32"/>
          <w:szCs w:val="32"/>
        </w:rPr>
        <w:t>分析与计算。</w:t>
      </w:r>
    </w:p>
    <w:p w14:paraId="4E985BF0">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60BD8C2">
      <w:pPr>
        <w:spacing w:line="600" w:lineRule="exact"/>
        <w:ind w:firstLine="640" w:firstLineChars="200"/>
        <w:outlineLvl w:val="0"/>
        <w:rPr>
          <w:rFonts w:eastAsia="仿宋_GB2312"/>
          <w:sz w:val="32"/>
          <w:szCs w:val="32"/>
        </w:rPr>
      </w:pPr>
      <w:r>
        <w:rPr>
          <w:rFonts w:eastAsia="仿宋_GB2312"/>
          <w:sz w:val="32"/>
          <w:szCs w:val="32"/>
        </w:rPr>
        <w:t>（2）资金分配合理性</w:t>
      </w:r>
    </w:p>
    <w:p w14:paraId="4F876AC2">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w:t>
      </w:r>
      <w:r>
        <w:rPr>
          <w:rFonts w:hint="eastAsia" w:eastAsia="仿宋_GB2312"/>
          <w:sz w:val="32"/>
          <w:szCs w:val="32"/>
          <w:lang w:eastAsia="zh-CN"/>
        </w:rPr>
        <w:t>地</w:t>
      </w:r>
      <w:r>
        <w:rPr>
          <w:rFonts w:eastAsia="仿宋_GB2312"/>
          <w:sz w:val="32"/>
          <w:szCs w:val="32"/>
        </w:rPr>
        <w:t>规划与安排。</w:t>
      </w:r>
    </w:p>
    <w:p w14:paraId="19177DFA">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548B012">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0976A9F">
      <w:pPr>
        <w:pStyle w:val="10"/>
        <w:numPr>
          <w:ilvl w:val="0"/>
          <w:numId w:val="4"/>
        </w:numPr>
        <w:spacing w:before="0" w:after="0" w:line="560" w:lineRule="exact"/>
        <w:ind w:firstLine="643"/>
        <w:jc w:val="both"/>
        <w:rPr>
          <w:rFonts w:ascii="Times New Roman" w:hAnsi="Times New Roman" w:eastAsia="楷体"/>
        </w:rPr>
      </w:pPr>
      <w:r>
        <w:rPr>
          <w:rFonts w:ascii="Times New Roman" w:hAnsi="Times New Roman" w:eastAsia="楷体"/>
        </w:rPr>
        <w:t>项目过程情况</w:t>
      </w:r>
    </w:p>
    <w:p w14:paraId="0BE22590">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7DC7C9F2">
      <w:pPr>
        <w:pStyle w:val="19"/>
        <w:spacing w:line="560" w:lineRule="exact"/>
        <w:ind w:firstLine="640"/>
        <w:rPr>
          <w:rFonts w:eastAsia="仿宋_GB2312"/>
          <w:b/>
          <w:bCs/>
          <w:sz w:val="32"/>
          <w:szCs w:val="32"/>
        </w:rPr>
      </w:pPr>
      <w:r>
        <w:rPr>
          <w:rFonts w:eastAsia="仿宋_GB2312"/>
          <w:b/>
          <w:bCs/>
          <w:sz w:val="32"/>
          <w:szCs w:val="32"/>
        </w:rPr>
        <w:t>1.资金管理</w:t>
      </w:r>
    </w:p>
    <w:p w14:paraId="749B3170">
      <w:pPr>
        <w:spacing w:line="600" w:lineRule="exact"/>
        <w:ind w:firstLine="640" w:firstLineChars="200"/>
        <w:outlineLvl w:val="0"/>
        <w:rPr>
          <w:rFonts w:eastAsia="仿宋_GB2312"/>
          <w:sz w:val="32"/>
          <w:szCs w:val="32"/>
        </w:rPr>
      </w:pPr>
      <w:r>
        <w:rPr>
          <w:rFonts w:eastAsia="仿宋_GB2312"/>
          <w:sz w:val="32"/>
          <w:szCs w:val="32"/>
        </w:rPr>
        <w:t>（1）资金到位率</w:t>
      </w:r>
    </w:p>
    <w:p w14:paraId="00C47E84">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373.43</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0D3645EE">
      <w:pPr>
        <w:spacing w:line="600" w:lineRule="exact"/>
        <w:ind w:firstLine="640" w:firstLineChars="200"/>
        <w:outlineLvl w:val="0"/>
        <w:rPr>
          <w:rFonts w:eastAsia="仿宋_GB2312"/>
          <w:sz w:val="32"/>
          <w:szCs w:val="32"/>
        </w:rPr>
      </w:pPr>
      <w:r>
        <w:rPr>
          <w:rFonts w:eastAsia="仿宋_GB2312"/>
          <w:sz w:val="32"/>
          <w:szCs w:val="32"/>
        </w:rPr>
        <w:t>（2）预算执行率</w:t>
      </w:r>
    </w:p>
    <w:p w14:paraId="762562DF">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373.43</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14:paraId="134EFF2F">
      <w:pPr>
        <w:spacing w:line="600" w:lineRule="exact"/>
        <w:ind w:firstLine="640" w:firstLineChars="200"/>
        <w:outlineLvl w:val="0"/>
        <w:rPr>
          <w:rFonts w:eastAsia="仿宋_GB2312"/>
          <w:sz w:val="32"/>
          <w:szCs w:val="32"/>
        </w:rPr>
      </w:pPr>
      <w:r>
        <w:rPr>
          <w:rFonts w:eastAsia="仿宋_GB2312"/>
          <w:sz w:val="32"/>
          <w:szCs w:val="32"/>
        </w:rPr>
        <w:t>（3）资金使用合规性</w:t>
      </w:r>
    </w:p>
    <w:p w14:paraId="58A07B2D">
      <w:pPr>
        <w:spacing w:line="560" w:lineRule="exact"/>
        <w:ind w:firstLine="640" w:firstLineChars="200"/>
        <w:rPr>
          <w:rFonts w:eastAsia="仿宋_GB2312"/>
          <w:sz w:val="32"/>
          <w:szCs w:val="32"/>
        </w:rPr>
      </w:pPr>
      <w:r>
        <w:rPr>
          <w:rFonts w:eastAsia="仿宋_GB2312"/>
          <w:sz w:val="32"/>
          <w:szCs w:val="32"/>
        </w:rPr>
        <w:t>本项目的资金使用严格</w:t>
      </w:r>
      <w:r>
        <w:rPr>
          <w:rFonts w:hint="eastAsia" w:eastAsia="仿宋_GB2312"/>
          <w:sz w:val="32"/>
          <w:szCs w:val="32"/>
          <w:lang w:eastAsia="zh-CN"/>
        </w:rPr>
        <w:t>遵循</w:t>
      </w:r>
      <w:r>
        <w:rPr>
          <w:rFonts w:eastAsia="仿宋_GB2312"/>
          <w:sz w:val="32"/>
          <w:szCs w:val="32"/>
        </w:rPr>
        <w:t>国家相关法律法规与财务制度，确保了资金的合规性与安全性。在资金使用过程中，我们建立了完善的财务管理体系，对资金的流动进行了全程监控与记录。</w:t>
      </w:r>
    </w:p>
    <w:p w14:paraId="1FA243AB">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F0AB430">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8AF70B3">
      <w:pPr>
        <w:pStyle w:val="19"/>
        <w:spacing w:line="560" w:lineRule="exact"/>
        <w:ind w:firstLine="640"/>
        <w:rPr>
          <w:rFonts w:eastAsia="仿宋_GB2312"/>
          <w:b/>
          <w:bCs/>
          <w:sz w:val="32"/>
          <w:szCs w:val="32"/>
        </w:rPr>
      </w:pPr>
      <w:r>
        <w:rPr>
          <w:rFonts w:eastAsia="仿宋_GB2312"/>
          <w:b/>
          <w:bCs/>
          <w:sz w:val="32"/>
          <w:szCs w:val="32"/>
        </w:rPr>
        <w:t>2.组织实施</w:t>
      </w:r>
    </w:p>
    <w:p w14:paraId="0D836603">
      <w:pPr>
        <w:spacing w:line="600" w:lineRule="exact"/>
        <w:ind w:firstLine="640" w:firstLineChars="200"/>
        <w:outlineLvl w:val="0"/>
        <w:rPr>
          <w:rFonts w:eastAsia="仿宋_GB2312"/>
          <w:sz w:val="32"/>
          <w:szCs w:val="32"/>
        </w:rPr>
      </w:pPr>
      <w:r>
        <w:rPr>
          <w:rFonts w:eastAsia="仿宋_GB2312"/>
          <w:sz w:val="32"/>
          <w:szCs w:val="32"/>
        </w:rPr>
        <w:t>（1）管理制度健全性</w:t>
      </w:r>
    </w:p>
    <w:p w14:paraId="04ED328C">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1AB8D3D8">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3FA3B4AD">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065714F6">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55CBD91D">
      <w:pPr>
        <w:spacing w:line="600" w:lineRule="exact"/>
        <w:ind w:firstLine="640" w:firstLineChars="200"/>
        <w:outlineLvl w:val="0"/>
        <w:rPr>
          <w:rFonts w:eastAsia="仿宋_GB2312"/>
          <w:sz w:val="32"/>
          <w:szCs w:val="32"/>
        </w:rPr>
      </w:pPr>
      <w:r>
        <w:rPr>
          <w:rFonts w:eastAsia="仿宋_GB2312"/>
          <w:sz w:val="32"/>
          <w:szCs w:val="32"/>
        </w:rPr>
        <w:t>（2）制度执行有效性</w:t>
      </w:r>
    </w:p>
    <w:p w14:paraId="08550CC6">
      <w:pPr>
        <w:spacing w:line="560" w:lineRule="exact"/>
        <w:ind w:firstLine="640" w:firstLineChars="200"/>
        <w:rPr>
          <w:rFonts w:eastAsia="仿宋_GB2312"/>
          <w:sz w:val="32"/>
          <w:szCs w:val="32"/>
        </w:rPr>
      </w:pPr>
      <w:r>
        <w:rPr>
          <w:rFonts w:eastAsia="仿宋_GB2312"/>
          <w:sz w:val="32"/>
          <w:szCs w:val="32"/>
        </w:rPr>
        <w:t>本项目在执行过程中，管理制度得到了全面、有效</w:t>
      </w:r>
      <w:r>
        <w:rPr>
          <w:rFonts w:hint="eastAsia" w:eastAsia="仿宋_GB2312"/>
          <w:sz w:val="32"/>
          <w:szCs w:val="32"/>
          <w:lang w:eastAsia="zh-CN"/>
        </w:rPr>
        <w:t>地</w:t>
      </w:r>
      <w:r>
        <w:rPr>
          <w:rFonts w:eastAsia="仿宋_GB2312"/>
          <w:sz w:val="32"/>
          <w:szCs w:val="32"/>
        </w:rPr>
        <w:t>落实，为确保项目的顺利实施与目标实现提供了坚实的保障。项目单位重视制度执行的重要性，通过明确责任分工、制定详细执行计划、加强监督考核等措施，确保了各项管理制度能够得到有效执行。</w:t>
      </w:r>
    </w:p>
    <w:p w14:paraId="41D7B63C">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0B76FF61">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6F2FEF12">
      <w:pPr>
        <w:pStyle w:val="12"/>
        <w:numPr>
          <w:ilvl w:val="0"/>
          <w:numId w:val="4"/>
        </w:numPr>
        <w:spacing w:line="560" w:lineRule="exact"/>
        <w:ind w:firstLine="643" w:firstLineChars="0"/>
        <w:rPr>
          <w:rFonts w:eastAsia="楷体_GB2312"/>
          <w:b/>
          <w:bCs/>
          <w:sz w:val="32"/>
          <w:szCs w:val="32"/>
        </w:rPr>
      </w:pPr>
      <w:r>
        <w:rPr>
          <w:rFonts w:eastAsia="楷体_GB2312"/>
          <w:b/>
          <w:bCs/>
          <w:sz w:val="32"/>
          <w:szCs w:val="32"/>
        </w:rPr>
        <w:t>项目产出情况</w:t>
      </w:r>
    </w:p>
    <w:p w14:paraId="1CF386A5">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10</w:t>
      </w:r>
      <w:r>
        <w:rPr>
          <w:rFonts w:eastAsia="仿宋_GB2312"/>
          <w:sz w:val="32"/>
          <w:szCs w:val="32"/>
        </w:rPr>
        <w:t>个三级指标构成，权重分为40分，实际得分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45811A38">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04D7AB9E">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支持民贸民品企业数量</w:t>
      </w:r>
      <w:r>
        <w:rPr>
          <w:rFonts w:eastAsia="仿宋_GB2312"/>
          <w:sz w:val="32"/>
          <w:szCs w:val="32"/>
        </w:rPr>
        <w:t>，指标值：</w:t>
      </w:r>
      <w:r>
        <w:rPr>
          <w:rFonts w:hint="eastAsia" w:eastAsia="仿宋_GB2312"/>
          <w:sz w:val="32"/>
          <w:szCs w:val="32"/>
        </w:rPr>
        <w:t>=4家</w:t>
      </w:r>
      <w:r>
        <w:rPr>
          <w:rFonts w:eastAsia="仿宋_GB2312"/>
          <w:sz w:val="32"/>
          <w:szCs w:val="32"/>
        </w:rPr>
        <w:t>，实际完成值：</w:t>
      </w:r>
      <w:r>
        <w:rPr>
          <w:rFonts w:hint="eastAsia" w:eastAsia="仿宋_GB2312"/>
          <w:sz w:val="32"/>
          <w:szCs w:val="32"/>
        </w:rPr>
        <w:t>=4家</w:t>
      </w:r>
      <w:r>
        <w:rPr>
          <w:rFonts w:eastAsia="仿宋_GB2312"/>
          <w:sz w:val="32"/>
          <w:szCs w:val="32"/>
        </w:rPr>
        <w:t>，指标完成率</w:t>
      </w:r>
      <w:r>
        <w:rPr>
          <w:rFonts w:hint="eastAsia" w:eastAsia="仿宋_GB2312"/>
          <w:sz w:val="32"/>
          <w:szCs w:val="32"/>
        </w:rPr>
        <w:t>100</w:t>
      </w:r>
      <w:r>
        <w:rPr>
          <w:rFonts w:eastAsia="仿宋_GB2312"/>
          <w:sz w:val="32"/>
          <w:szCs w:val="32"/>
        </w:rPr>
        <w:t>%</w:t>
      </w:r>
    </w:p>
    <w:p w14:paraId="60DF74A2">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项目监督检查次数，指标值：=1次，实际完成值1家，指标完成率100%</w:t>
      </w:r>
    </w:p>
    <w:p w14:paraId="11964827">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4D5ABCA2">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：贴息支持政策覆盖率，指标值：=100%，实际完成值100%，指标完成率100%</w:t>
      </w:r>
    </w:p>
    <w:p w14:paraId="2D038318">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2：贴息资金管理规范率，指标值：=100%，实际完成值100%，指标完成率100%</w:t>
      </w:r>
    </w:p>
    <w:p w14:paraId="7AC90D4D">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0E103E28">
      <w:pPr>
        <w:spacing w:line="600" w:lineRule="exact"/>
        <w:ind w:firstLine="640" w:firstLineChars="200"/>
        <w:outlineLvl w:val="0"/>
        <w:rPr>
          <w:rFonts w:eastAsia="仿宋_GB2312"/>
          <w:sz w:val="32"/>
          <w:szCs w:val="32"/>
        </w:rPr>
      </w:pPr>
      <w:r>
        <w:rPr>
          <w:rFonts w:hint="eastAsia" w:eastAsia="仿宋_GB2312"/>
          <w:sz w:val="32"/>
          <w:szCs w:val="32"/>
        </w:rPr>
        <w:t>指标1：资金支付及时率，指标值=100%，实际完成值100%，指标完成率100%</w:t>
      </w:r>
    </w:p>
    <w:p w14:paraId="202D4FB0">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2：项目完工时间，指标值：2024年12月25日，实际完成值2024年12月25日，指标完成率100%</w:t>
      </w:r>
    </w:p>
    <w:p w14:paraId="0556CD89">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6E17B5E4">
      <w:pPr>
        <w:spacing w:line="600" w:lineRule="exact"/>
        <w:ind w:firstLine="640" w:firstLineChars="200"/>
        <w:outlineLvl w:val="0"/>
        <w:rPr>
          <w:rFonts w:eastAsia="仿宋_GB2312"/>
          <w:sz w:val="32"/>
          <w:szCs w:val="32"/>
        </w:rPr>
      </w:pPr>
      <w:r>
        <w:rPr>
          <w:rFonts w:hint="eastAsia" w:eastAsia="仿宋_GB2312"/>
          <w:sz w:val="32"/>
          <w:szCs w:val="32"/>
        </w:rPr>
        <w:t>指标1：粮食收储公司贷款贴息成本，指标值：&lt;=291.40万元/家，实际完成值291.40万元/家，指标完成率100%</w:t>
      </w:r>
    </w:p>
    <w:p w14:paraId="1EA9E3B7">
      <w:pPr>
        <w:spacing w:line="600" w:lineRule="exact"/>
        <w:ind w:firstLine="640" w:firstLineChars="200"/>
        <w:outlineLvl w:val="0"/>
        <w:rPr>
          <w:rFonts w:eastAsia="仿宋_GB2312"/>
          <w:sz w:val="32"/>
          <w:szCs w:val="32"/>
        </w:rPr>
      </w:pPr>
      <w:r>
        <w:rPr>
          <w:rFonts w:hint="eastAsia" w:eastAsia="仿宋_GB2312"/>
          <w:sz w:val="32"/>
          <w:szCs w:val="32"/>
        </w:rPr>
        <w:t>指标2：兵锦棉业有限公司贷款贴息成本，指标值：&lt;=53.23元/次，实际完成值：53.23元/家，指标完成率100%</w:t>
      </w:r>
    </w:p>
    <w:p w14:paraId="7691AEEE">
      <w:pPr>
        <w:spacing w:line="600" w:lineRule="exact"/>
        <w:ind w:firstLine="640" w:firstLineChars="200"/>
        <w:outlineLvl w:val="0"/>
        <w:rPr>
          <w:rFonts w:eastAsia="仿宋_GB2312"/>
          <w:sz w:val="32"/>
          <w:szCs w:val="32"/>
        </w:rPr>
      </w:pPr>
      <w:r>
        <w:rPr>
          <w:rFonts w:hint="eastAsia" w:eastAsia="仿宋_GB2312"/>
          <w:sz w:val="32"/>
          <w:szCs w:val="32"/>
        </w:rPr>
        <w:t>指标3：绿之风农业发展有限公司贷款贴息成本，指标值：&lt;=18.30万元/家，实际完成值18.30万元/家，指标完成率100%</w:t>
      </w:r>
    </w:p>
    <w:p w14:paraId="4DF0DD4A">
      <w:pPr>
        <w:spacing w:line="600" w:lineRule="exact"/>
        <w:ind w:firstLine="640" w:firstLineChars="200"/>
        <w:outlineLvl w:val="0"/>
        <w:rPr>
          <w:rFonts w:eastAsia="仿宋_GB2312"/>
          <w:sz w:val="32"/>
          <w:szCs w:val="32"/>
        </w:rPr>
      </w:pPr>
      <w:r>
        <w:rPr>
          <w:rFonts w:hint="eastAsia" w:eastAsia="仿宋_GB2312"/>
          <w:sz w:val="32"/>
          <w:szCs w:val="32"/>
        </w:rPr>
        <w:t>指标4：天山小哥农业科技有限公司贴息成本，指标值：&lt;=10.50万元/家，实际完成值10.50万元/家，指标完成率100%</w:t>
      </w:r>
    </w:p>
    <w:p w14:paraId="2C665167">
      <w:pPr>
        <w:pStyle w:val="12"/>
        <w:numPr>
          <w:ilvl w:val="0"/>
          <w:numId w:val="4"/>
        </w:numPr>
        <w:spacing w:line="560" w:lineRule="exact"/>
        <w:ind w:firstLine="643" w:firstLineChars="0"/>
        <w:rPr>
          <w:rFonts w:eastAsia="楷体_GB2312"/>
          <w:b/>
          <w:bCs/>
          <w:sz w:val="32"/>
          <w:szCs w:val="32"/>
        </w:rPr>
      </w:pPr>
      <w:r>
        <w:rPr>
          <w:rFonts w:eastAsia="楷体_GB2312"/>
          <w:b/>
          <w:bCs/>
          <w:sz w:val="32"/>
          <w:szCs w:val="32"/>
        </w:rPr>
        <w:t>项目效益情况</w:t>
      </w:r>
    </w:p>
    <w:p w14:paraId="6C4D9702">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1</w:t>
      </w:r>
      <w:r>
        <w:rPr>
          <w:rFonts w:eastAsia="仿宋_GB2312"/>
          <w:sz w:val="32"/>
          <w:szCs w:val="32"/>
        </w:rPr>
        <w:t>个三级指标构成，权重分为20分，实际得分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14:paraId="77A72993">
      <w:pPr>
        <w:spacing w:line="600" w:lineRule="exact"/>
        <w:ind w:firstLine="640" w:firstLineChars="200"/>
        <w:outlineLvl w:val="0"/>
        <w:rPr>
          <w:rFonts w:eastAsia="仿宋_GB2312"/>
          <w:color w:val="FF0000"/>
          <w:sz w:val="32"/>
          <w:szCs w:val="32"/>
        </w:rPr>
      </w:pPr>
      <w:r>
        <w:rPr>
          <w:rFonts w:eastAsia="仿宋_GB2312"/>
          <w:sz w:val="32"/>
          <w:szCs w:val="32"/>
        </w:rPr>
        <w:t>1.实施效益</w:t>
      </w:r>
    </w:p>
    <w:p w14:paraId="62F2E45C">
      <w:pPr>
        <w:spacing w:line="600" w:lineRule="exact"/>
        <w:ind w:firstLine="640" w:firstLineChars="200"/>
        <w:outlineLvl w:val="0"/>
        <w:rPr>
          <w:rFonts w:eastAsia="仿宋_GB2312"/>
          <w:sz w:val="32"/>
          <w:szCs w:val="32"/>
        </w:rPr>
      </w:pPr>
      <w:r>
        <w:rPr>
          <w:rFonts w:eastAsia="仿宋_GB2312"/>
          <w:sz w:val="32"/>
          <w:szCs w:val="32"/>
        </w:rPr>
        <w:t>①社会效益指标：</w:t>
      </w:r>
      <w:r>
        <w:rPr>
          <w:rFonts w:hint="eastAsia" w:eastAsia="仿宋_GB2312"/>
          <w:sz w:val="32"/>
          <w:szCs w:val="32"/>
        </w:rPr>
        <w:t>评价指标“提升民贸民品企业带动当地就业”，指标值：有效提升，实际完成值：100%。本项目的实施，支持民族贸易和民族特需商品生产企业发展</w:t>
      </w:r>
    </w:p>
    <w:p w14:paraId="1B2F9649">
      <w:pPr>
        <w:spacing w:line="600" w:lineRule="exact"/>
        <w:ind w:firstLine="640" w:firstLineChars="200"/>
        <w:outlineLvl w:val="0"/>
        <w:rPr>
          <w:rFonts w:eastAsia="仿宋_GB2312"/>
          <w:sz w:val="32"/>
          <w:szCs w:val="32"/>
        </w:rPr>
      </w:pPr>
      <w:r>
        <w:rPr>
          <w:rFonts w:eastAsia="仿宋_GB2312"/>
          <w:sz w:val="32"/>
          <w:szCs w:val="32"/>
        </w:rPr>
        <w:t>2.满意度</w:t>
      </w:r>
    </w:p>
    <w:p w14:paraId="0BA52179">
      <w:pPr>
        <w:spacing w:line="600" w:lineRule="exact"/>
        <w:ind w:firstLine="640" w:firstLineChars="200"/>
        <w:outlineLvl w:val="0"/>
        <w:rPr>
          <w:rFonts w:eastAsia="仿宋_GB2312"/>
          <w:sz w:val="32"/>
          <w:szCs w:val="32"/>
        </w:rPr>
      </w:pPr>
      <w:r>
        <w:rPr>
          <w:rFonts w:hint="eastAsia" w:eastAsia="仿宋_GB2312"/>
          <w:sz w:val="32"/>
          <w:szCs w:val="32"/>
        </w:rPr>
        <w:t>评价指标“企业满意度”，指标值：&gt;=96%，实际完成值：96%。通过设置问卷调查的方式进行考评评价，共计调查样本总量为66份，有效调查问卷66份。其中，统计“企业满意度”的平均值为96</w:t>
      </w:r>
    </w:p>
    <w:p w14:paraId="5901E636">
      <w:pPr>
        <w:spacing w:line="560" w:lineRule="exact"/>
        <w:ind w:firstLine="643" w:firstLineChars="200"/>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38E99BDB">
      <w:pPr>
        <w:pStyle w:val="19"/>
        <w:spacing w:line="560" w:lineRule="exact"/>
        <w:ind w:firstLine="640"/>
        <w:rPr>
          <w:rFonts w:eastAsia="方正仿宋_GBK"/>
          <w:sz w:val="32"/>
          <w:szCs w:val="32"/>
          <w:highlight w:val="yellow"/>
        </w:rPr>
      </w:pPr>
      <w:r>
        <w:rPr>
          <w:rStyle w:val="16"/>
          <w:rFonts w:hint="eastAsia" w:ascii="楷体" w:hAnsi="楷体" w:eastAsia="楷体"/>
          <w:spacing w:val="-4"/>
          <w:sz w:val="32"/>
          <w:szCs w:val="32"/>
        </w:rPr>
        <w:t>民族贸易和民族特需商品生产贷款贴息引导支持资金</w:t>
      </w:r>
      <w:r>
        <w:rPr>
          <w:rFonts w:eastAsia="仿宋_GB2312"/>
          <w:kern w:val="2"/>
          <w:sz w:val="32"/>
          <w:szCs w:val="32"/>
        </w:rPr>
        <w:t>项目年初预算</w:t>
      </w:r>
      <w:r>
        <w:rPr>
          <w:rFonts w:hint="eastAsia" w:eastAsia="仿宋_GB2312"/>
          <w:kern w:val="2"/>
          <w:sz w:val="32"/>
          <w:szCs w:val="32"/>
        </w:rPr>
        <w:t>373.43</w:t>
      </w:r>
      <w:r>
        <w:rPr>
          <w:rFonts w:eastAsia="仿宋_GB2312"/>
          <w:kern w:val="2"/>
          <w:sz w:val="32"/>
          <w:szCs w:val="32"/>
        </w:rPr>
        <w:t>万元，全年预算</w:t>
      </w:r>
      <w:r>
        <w:rPr>
          <w:rFonts w:hint="eastAsia" w:eastAsia="仿宋_GB2312"/>
          <w:kern w:val="2"/>
          <w:sz w:val="32"/>
          <w:szCs w:val="32"/>
        </w:rPr>
        <w:t>373.43</w:t>
      </w:r>
      <w:r>
        <w:rPr>
          <w:rFonts w:eastAsia="仿宋_GB2312"/>
          <w:kern w:val="2"/>
          <w:sz w:val="32"/>
          <w:szCs w:val="32"/>
        </w:rPr>
        <w:t>万元，实际支出</w:t>
      </w:r>
      <w:r>
        <w:rPr>
          <w:rFonts w:hint="eastAsia" w:eastAsia="仿宋_GB2312"/>
          <w:kern w:val="2"/>
          <w:sz w:val="32"/>
          <w:szCs w:val="32"/>
        </w:rPr>
        <w:t>373.43</w:t>
      </w:r>
      <w:r>
        <w:rPr>
          <w:rFonts w:eastAsia="仿宋_GB2312"/>
          <w:kern w:val="2"/>
          <w:sz w:val="32"/>
          <w:szCs w:val="32"/>
        </w:rPr>
        <w:t>万元，预算执行率为</w:t>
      </w:r>
      <w:r>
        <w:rPr>
          <w:rFonts w:hint="eastAsia" w:eastAsia="仿宋_GB2312"/>
          <w:kern w:val="2"/>
          <w:sz w:val="32"/>
          <w:szCs w:val="32"/>
        </w:rPr>
        <w:t>100</w:t>
      </w:r>
      <w:r>
        <w:rPr>
          <w:rFonts w:eastAsia="仿宋_GB2312"/>
          <w:kern w:val="2"/>
          <w:sz w:val="32"/>
          <w:szCs w:val="32"/>
        </w:rPr>
        <w:t>%，项目绩效指标总体完成率为</w:t>
      </w:r>
      <w:r>
        <w:rPr>
          <w:rFonts w:hint="eastAsia" w:eastAsia="仿宋_GB2312"/>
          <w:kern w:val="2"/>
          <w:sz w:val="32"/>
          <w:szCs w:val="32"/>
        </w:rPr>
        <w:t>100</w:t>
      </w:r>
      <w:r>
        <w:rPr>
          <w:rFonts w:eastAsia="仿宋_GB2312"/>
          <w:kern w:val="2"/>
          <w:sz w:val="32"/>
          <w:szCs w:val="32"/>
        </w:rPr>
        <w:t>%，</w:t>
      </w:r>
      <w:r>
        <w:rPr>
          <w:rFonts w:eastAsia="仿宋_GB2312"/>
          <w:kern w:val="2"/>
          <w:sz w:val="32"/>
          <w:szCs w:val="32"/>
          <w:lang w:eastAsia="zh-Hans"/>
        </w:rPr>
        <w:t>总体</w:t>
      </w:r>
      <w:r>
        <w:rPr>
          <w:rFonts w:eastAsia="仿宋_GB2312"/>
          <w:kern w:val="2"/>
          <w:sz w:val="32"/>
          <w:szCs w:val="32"/>
        </w:rPr>
        <w:t>偏差率为</w:t>
      </w:r>
      <w:r>
        <w:rPr>
          <w:rFonts w:hint="eastAsia" w:eastAsia="仿宋_GB2312"/>
          <w:kern w:val="2"/>
          <w:sz w:val="32"/>
          <w:szCs w:val="32"/>
        </w:rPr>
        <w:t>0，因此，本项目完成年度总体目标，财政资金使用效益和效率较高</w:t>
      </w:r>
    </w:p>
    <w:p w14:paraId="750CEC29">
      <w:pPr>
        <w:spacing w:line="560" w:lineRule="exact"/>
        <w:ind w:firstLine="640" w:firstLineChars="200"/>
        <w:rPr>
          <w:rStyle w:val="18"/>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14:paraId="0BCCC54D">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49B9DDBC">
      <w:pPr>
        <w:pStyle w:val="10"/>
        <w:spacing w:before="0" w:after="0" w:line="560" w:lineRule="exact"/>
        <w:ind w:firstLine="640" w:firstLineChars="200"/>
        <w:jc w:val="left"/>
        <w:rPr>
          <w:rFonts w:ascii="Times New Roman" w:hAnsi="Times New Roman" w:eastAsia="仿宋_GB2312"/>
          <w:b w:val="0"/>
          <w:bCs w:val="0"/>
          <w:kern w:val="2"/>
        </w:rPr>
      </w:pPr>
      <w:r>
        <w:rPr>
          <w:rFonts w:hint="eastAsia" w:ascii="Times New Roman" w:hAnsi="Times New Roman" w:eastAsia="仿宋_GB2312"/>
          <w:b w:val="0"/>
          <w:bCs w:val="0"/>
          <w:kern w:val="2"/>
        </w:rPr>
        <w:t>1.财政按进度拨付专项资金，经分管领导、财务负责人、项目负责人等审核后结算资金。实行专款专用，加强对资金使用情况的管理与检查，自觉接受审计部门的监督，杜绝挤占、截留、挪用现金的发生，提高资金使用效益。</w:t>
      </w:r>
      <w:r>
        <w:rPr>
          <w:rFonts w:hint="eastAsia" w:ascii="Times New Roman" w:hAnsi="Times New Roman" w:eastAsia="仿宋_GB2312"/>
          <w:b w:val="0"/>
          <w:bCs w:val="0"/>
          <w:kern w:val="2"/>
        </w:rPr>
        <w:br w:type="textWrapping"/>
      </w:r>
      <w:r>
        <w:rPr>
          <w:rFonts w:hint="eastAsia" w:ascii="Times New Roman" w:hAnsi="Times New Roman" w:eastAsia="仿宋_GB2312"/>
          <w:b w:val="0"/>
          <w:bCs w:val="0"/>
          <w:kern w:val="2"/>
        </w:rPr>
        <w:t xml:space="preserve">    2.项目管理过程规范，按照实施方案完成了预期绩效目标，通过科技特派员项目的实施，在依靠科技进步，发展教育工作，推进人才培养等方面取得了重大成就。</w:t>
      </w:r>
      <w:r>
        <w:rPr>
          <w:rFonts w:hint="eastAsia" w:ascii="Times New Roman" w:hAnsi="Times New Roman" w:eastAsia="仿宋_GB2312"/>
          <w:b w:val="0"/>
          <w:bCs w:val="0"/>
          <w:kern w:val="2"/>
        </w:rPr>
        <w:br w:type="textWrapping"/>
      </w:r>
      <w:r>
        <w:rPr>
          <w:rFonts w:hint="eastAsia" w:ascii="Times New Roman" w:hAnsi="Times New Roman" w:eastAsia="仿宋_GB2312"/>
          <w:b w:val="0"/>
          <w:bCs w:val="0"/>
          <w:kern w:val="2"/>
        </w:rPr>
        <w:t xml:space="preserve">    3.通过年初制定项目目标，年中对项目进行跟踪，按照规定合理规范使用上级下达资金，在2024年12月</w:t>
      </w:r>
      <w:r>
        <w:rPr>
          <w:rFonts w:hint="eastAsia" w:ascii="Times New Roman" w:hAnsi="Times New Roman" w:eastAsia="仿宋_GB2312"/>
          <w:b w:val="0"/>
          <w:bCs w:val="0"/>
          <w:kern w:val="2"/>
          <w:lang w:eastAsia="zh-CN"/>
        </w:rPr>
        <w:t>25日</w:t>
      </w:r>
      <w:r>
        <w:rPr>
          <w:rFonts w:hint="eastAsia" w:ascii="Times New Roman" w:hAnsi="Times New Roman" w:eastAsia="仿宋_GB2312"/>
          <w:b w:val="0"/>
          <w:bCs w:val="0"/>
          <w:kern w:val="2"/>
        </w:rPr>
        <w:t>前将下达资金支付完毕。循序渐进，积极稳妥地办事，坚持依法办事，规范操作的原则。</w:t>
      </w:r>
    </w:p>
    <w:p w14:paraId="7A7C4910">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0D0BEDDE">
      <w:pPr>
        <w:spacing w:line="560" w:lineRule="exact"/>
        <w:ind w:firstLine="640" w:firstLineChars="200"/>
        <w:rPr>
          <w:rStyle w:val="16"/>
          <w:rFonts w:hint="eastAsia" w:ascii="楷体" w:hAnsi="楷体" w:eastAsia="楷体"/>
          <w:b w:val="0"/>
          <w:bCs w:val="0"/>
          <w:spacing w:val="-4"/>
          <w:sz w:val="32"/>
          <w:szCs w:val="32"/>
        </w:rPr>
      </w:pPr>
      <w:r>
        <w:rPr>
          <w:rFonts w:hint="eastAsia" w:eastAsia="仿宋_GB2312"/>
          <w:sz w:val="32"/>
          <w:szCs w:val="32"/>
        </w:rPr>
        <w:t>一是绩效制度建设不完善。未及时完善绩效管理和评价制度，不能为资金资产的合理配置提供有效依据。未能增强预算编制的前瞻性，未能及时按照新</w:t>
      </w:r>
      <w:r>
        <w:rPr>
          <w:rFonts w:hint="eastAsia" w:eastAsia="仿宋_GB2312"/>
          <w:sz w:val="32"/>
          <w:szCs w:val="32"/>
          <w:lang w:eastAsia="zh-CN"/>
        </w:rPr>
        <w:t>《中华人民共和国预算法》</w:t>
      </w:r>
      <w:r>
        <w:rPr>
          <w:rFonts w:hint="eastAsia" w:eastAsia="仿宋_GB2312"/>
          <w:sz w:val="32"/>
          <w:szCs w:val="32"/>
        </w:rPr>
        <w:t>及其实施条例的相关规定，按政策规定及本部门的发展规划，结合上一年度预算执行情况和本年度预算收支变化因素，科学、合理地编制本</w:t>
      </w:r>
      <w:r>
        <w:rPr>
          <w:rFonts w:hint="eastAsia" w:eastAsia="仿宋_GB2312"/>
          <w:sz w:val="32"/>
          <w:szCs w:val="32"/>
          <w:lang w:eastAsia="zh-CN"/>
        </w:rPr>
        <w:t>年度</w:t>
      </w:r>
      <w:r>
        <w:rPr>
          <w:rFonts w:hint="eastAsia" w:eastAsia="仿宋_GB2312"/>
          <w:sz w:val="32"/>
          <w:szCs w:val="32"/>
        </w:rPr>
        <w:t>预算草案。</w:t>
      </w:r>
      <w:r>
        <w:rPr>
          <w:rFonts w:hint="eastAsia" w:eastAsia="仿宋_GB2312"/>
          <w:sz w:val="32"/>
          <w:szCs w:val="32"/>
        </w:rPr>
        <w:br w:type="textWrapping"/>
      </w:r>
      <w:r>
        <w:rPr>
          <w:rFonts w:hint="eastAsia" w:eastAsia="仿宋_GB2312"/>
          <w:sz w:val="32"/>
          <w:szCs w:val="32"/>
        </w:rPr>
        <w:t xml:space="preserve">    二是未能强化绩效目标管理。未能及时把绩效目标作为项目实施的前置条件，提高资金使用的合理性和科学性。能及时严格《会计法</w:t>
      </w:r>
      <w:bookmarkStart w:id="1" w:name="_GoBack"/>
      <w:r>
        <w:rPr>
          <w:rFonts w:hint="eastAsia" w:eastAsia="仿宋_GB2312"/>
          <w:sz w:val="32"/>
          <w:szCs w:val="32"/>
        </w:rPr>
        <w:t>〉</w:t>
      </w:r>
      <w:bookmarkEnd w:id="1"/>
      <w:r>
        <w:rPr>
          <w:rFonts w:hint="eastAsia" w:eastAsia="仿宋_GB2312"/>
          <w:sz w:val="32"/>
          <w:szCs w:val="32"/>
        </w:rPr>
        <w:t>》事业单位会计制度》、《事业单位财务规定》等规定执行财务核算，并结合实际情况，但是未能及时准确完成披露相关信息，尽可能地做到决算与预算相衔接</w:t>
      </w:r>
      <w:r>
        <w:rPr>
          <w:rStyle w:val="16"/>
          <w:rFonts w:hint="eastAsia" w:ascii="楷体" w:hAnsi="楷体" w:eastAsia="楷体"/>
          <w:b w:val="0"/>
          <w:bCs w:val="0"/>
          <w:spacing w:val="-4"/>
          <w:sz w:val="32"/>
          <w:szCs w:val="32"/>
        </w:rPr>
        <w:t>。</w:t>
      </w:r>
    </w:p>
    <w:p w14:paraId="1DB1054A">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14:paraId="2B249EBB">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w:t>
      </w:r>
    </w:p>
    <w:p w14:paraId="36EA4446">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14:paraId="544A1130">
      <w:pPr>
        <w:spacing w:line="600" w:lineRule="exact"/>
        <w:ind w:firstLine="640" w:firstLineChars="200"/>
        <w:outlineLvl w:val="0"/>
        <w:rPr>
          <w:rFonts w:eastAsia="仿宋_GB2312"/>
          <w:sz w:val="32"/>
          <w:szCs w:val="32"/>
        </w:rPr>
      </w:pPr>
      <w:r>
        <w:rPr>
          <w:rFonts w:eastAsia="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8823D86">
      <w:pPr>
        <w:spacing w:line="600" w:lineRule="exact"/>
        <w:ind w:firstLine="640" w:firstLineChars="200"/>
        <w:outlineLvl w:val="0"/>
        <w:rPr>
          <w:sz w:val="22"/>
          <w:szCs w:val="28"/>
        </w:rPr>
      </w:pPr>
      <w:r>
        <w:rPr>
          <w:rFonts w:eastAsia="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777F0469">
      <w:pPr>
        <w:spacing w:line="600" w:lineRule="exact"/>
        <w:ind w:firstLine="640" w:firstLineChars="200"/>
        <w:outlineLvl w:val="0"/>
        <w:rPr>
          <w:rFonts w:eastAsia="仿宋_GB2312"/>
          <w:sz w:val="32"/>
          <w:szCs w:val="32"/>
        </w:rPr>
      </w:pPr>
      <w:r>
        <w:rPr>
          <w:rFonts w:eastAsia="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ED91BF7">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0" w:name="page8"/>
      <w:bookmarkEnd w:id="0"/>
      <w:r>
        <w:rPr>
          <w:rFonts w:eastAsia="黑体"/>
          <w:sz w:val="32"/>
          <w:szCs w:val="32"/>
        </w:rPr>
        <w:t>明的问题</w:t>
      </w:r>
    </w:p>
    <w:p w14:paraId="4A12BB41">
      <w:pPr>
        <w:pStyle w:val="13"/>
        <w:spacing w:after="0" w:line="560" w:lineRule="exact"/>
        <w:ind w:left="0" w:leftChars="0" w:firstLine="640"/>
        <w:rPr>
          <w:rFonts w:ascii="Times New Roman" w:hAnsi="Times New Roman" w:eastAsia="仿宋_GB2312"/>
          <w:sz w:val="32"/>
          <w:szCs w:val="32"/>
        </w:rPr>
      </w:pPr>
      <w:r>
        <w:rPr>
          <w:rFonts w:hint="eastAsia" w:ascii="Times New Roman" w:hAnsi="Times New Roman" w:eastAsia="仿宋_GB2312"/>
          <w:sz w:val="32"/>
          <w:szCs w:val="32"/>
        </w:rPr>
        <w:t>无</w:t>
      </w:r>
    </w:p>
    <w:p w14:paraId="4BA6955D">
      <w:pPr>
        <w:pStyle w:val="13"/>
        <w:spacing w:after="0" w:line="560" w:lineRule="exact"/>
        <w:ind w:left="0" w:leftChars="0" w:firstLine="640"/>
        <w:rPr>
          <w:rFonts w:ascii="Times New Roman" w:hAnsi="Times New Roman" w:eastAsia="仿宋_GB2312"/>
          <w:sz w:val="32"/>
          <w:szCs w:val="32"/>
        </w:rPr>
      </w:pPr>
    </w:p>
    <w:p w14:paraId="50BCE813">
      <w:pPr>
        <w:pStyle w:val="13"/>
        <w:spacing w:after="0" w:line="560" w:lineRule="exact"/>
        <w:ind w:left="0" w:leftChars="0" w:firstLine="640"/>
        <w:rPr>
          <w:rFonts w:ascii="Times New Roman" w:hAnsi="Times New Roman" w:eastAsia="仿宋_GB2312"/>
          <w:sz w:val="32"/>
          <w:szCs w:val="32"/>
        </w:rPr>
      </w:pPr>
    </w:p>
    <w:p w14:paraId="7A201231">
      <w:pPr>
        <w:spacing w:line="600" w:lineRule="exact"/>
        <w:rPr>
          <w:rFonts w:eastAsia="黑体"/>
          <w:sz w:val="32"/>
          <w:szCs w:val="32"/>
        </w:rPr>
      </w:pPr>
    </w:p>
    <w:p w14:paraId="3B66D438">
      <w:pPr>
        <w:spacing w:line="600" w:lineRule="exact"/>
        <w:rPr>
          <w:rFonts w:eastAsia="黑体"/>
          <w:sz w:val="32"/>
          <w:szCs w:val="32"/>
        </w:rPr>
      </w:pPr>
    </w:p>
    <w:p w14:paraId="72E829E7">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14:paraId="4F9C80A6"/>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2081A86">
        <w:pPr>
          <w:pStyle w:val="7"/>
          <w:jc w:val="center"/>
        </w:pPr>
        <w:r>
          <w:fldChar w:fldCharType="begin"/>
        </w:r>
        <w:r>
          <w:instrText xml:space="preserve">PAGE   \* MERGEFORMAT</w:instrText>
        </w:r>
        <w:r>
          <w:fldChar w:fldCharType="separate"/>
        </w:r>
        <w:r>
          <w:rPr>
            <w:lang w:val="zh-CN"/>
          </w:rPr>
          <w:t>13</w:t>
        </w:r>
        <w:r>
          <w:fldChar w:fldCharType="end"/>
        </w:r>
      </w:p>
    </w:sdtContent>
  </w:sdt>
  <w:p w14:paraId="7BEE6071">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pPr>
        <w:ind w:left="-220"/>
      </w:pPr>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177E9C"/>
    <w:rsid w:val="0026164B"/>
    <w:rsid w:val="00371E41"/>
    <w:rsid w:val="006F7242"/>
    <w:rsid w:val="00784482"/>
    <w:rsid w:val="007B168A"/>
    <w:rsid w:val="008B2CFE"/>
    <w:rsid w:val="00CE2606"/>
    <w:rsid w:val="00EF68E4"/>
    <w:rsid w:val="00F26FF6"/>
    <w:rsid w:val="01610122"/>
    <w:rsid w:val="01925C30"/>
    <w:rsid w:val="02510197"/>
    <w:rsid w:val="02CB6B37"/>
    <w:rsid w:val="03EC461B"/>
    <w:rsid w:val="0558263C"/>
    <w:rsid w:val="07397B77"/>
    <w:rsid w:val="0AD007F3"/>
    <w:rsid w:val="0E3C619F"/>
    <w:rsid w:val="0E453331"/>
    <w:rsid w:val="0F6273CA"/>
    <w:rsid w:val="100F38EC"/>
    <w:rsid w:val="106519DD"/>
    <w:rsid w:val="10A07563"/>
    <w:rsid w:val="11170296"/>
    <w:rsid w:val="11F23BCF"/>
    <w:rsid w:val="12780651"/>
    <w:rsid w:val="12C66037"/>
    <w:rsid w:val="12CD1ABC"/>
    <w:rsid w:val="13471461"/>
    <w:rsid w:val="13B90F01"/>
    <w:rsid w:val="143A2D39"/>
    <w:rsid w:val="155E4C4D"/>
    <w:rsid w:val="169C1327"/>
    <w:rsid w:val="16F81842"/>
    <w:rsid w:val="181066D2"/>
    <w:rsid w:val="184F2319"/>
    <w:rsid w:val="19EE3040"/>
    <w:rsid w:val="1A4C4F54"/>
    <w:rsid w:val="1C671E73"/>
    <w:rsid w:val="1C7A2C22"/>
    <w:rsid w:val="1CCC7AFC"/>
    <w:rsid w:val="1D322C47"/>
    <w:rsid w:val="1E3649B9"/>
    <w:rsid w:val="22C322E5"/>
    <w:rsid w:val="23616034"/>
    <w:rsid w:val="23696C97"/>
    <w:rsid w:val="24480FA2"/>
    <w:rsid w:val="249240F3"/>
    <w:rsid w:val="25227A45"/>
    <w:rsid w:val="25485291"/>
    <w:rsid w:val="26AC3A6A"/>
    <w:rsid w:val="2B9D7E25"/>
    <w:rsid w:val="2C7C7A3B"/>
    <w:rsid w:val="2CCC01B8"/>
    <w:rsid w:val="2D7B562D"/>
    <w:rsid w:val="2F364819"/>
    <w:rsid w:val="2FD63906"/>
    <w:rsid w:val="30574EF3"/>
    <w:rsid w:val="32E97DF4"/>
    <w:rsid w:val="33F14847"/>
    <w:rsid w:val="3515498C"/>
    <w:rsid w:val="35154F4E"/>
    <w:rsid w:val="37215DAE"/>
    <w:rsid w:val="38C61EE3"/>
    <w:rsid w:val="38CA40DD"/>
    <w:rsid w:val="395F2B56"/>
    <w:rsid w:val="3971794A"/>
    <w:rsid w:val="3AB704E3"/>
    <w:rsid w:val="3B4744EA"/>
    <w:rsid w:val="3BBA0580"/>
    <w:rsid w:val="3BECE841"/>
    <w:rsid w:val="3C5937DB"/>
    <w:rsid w:val="3CDE204C"/>
    <w:rsid w:val="3D363C36"/>
    <w:rsid w:val="3DCC18D5"/>
    <w:rsid w:val="3E9C3F6D"/>
    <w:rsid w:val="3FEA37D4"/>
    <w:rsid w:val="3FF7797D"/>
    <w:rsid w:val="43BB54B0"/>
    <w:rsid w:val="46544599"/>
    <w:rsid w:val="46690BD8"/>
    <w:rsid w:val="474F7F18"/>
    <w:rsid w:val="49F70BF1"/>
    <w:rsid w:val="4B215701"/>
    <w:rsid w:val="4B4340EE"/>
    <w:rsid w:val="4C201254"/>
    <w:rsid w:val="4DD04F26"/>
    <w:rsid w:val="4E154C6C"/>
    <w:rsid w:val="4E5C618D"/>
    <w:rsid w:val="4EDF1907"/>
    <w:rsid w:val="4F714772"/>
    <w:rsid w:val="503D507A"/>
    <w:rsid w:val="51FA74D0"/>
    <w:rsid w:val="52AA4A52"/>
    <w:rsid w:val="539D3AD1"/>
    <w:rsid w:val="568C4501"/>
    <w:rsid w:val="56C53B94"/>
    <w:rsid w:val="5931156E"/>
    <w:rsid w:val="59737197"/>
    <w:rsid w:val="59943D66"/>
    <w:rsid w:val="59E051FD"/>
    <w:rsid w:val="59E6355E"/>
    <w:rsid w:val="5A026F42"/>
    <w:rsid w:val="5A6011D0"/>
    <w:rsid w:val="5B821531"/>
    <w:rsid w:val="5BE92308"/>
    <w:rsid w:val="5BFF6039"/>
    <w:rsid w:val="5C013599"/>
    <w:rsid w:val="5D76A616"/>
    <w:rsid w:val="5D7F20B9"/>
    <w:rsid w:val="5DAC7D0E"/>
    <w:rsid w:val="5E123D66"/>
    <w:rsid w:val="5ED80114"/>
    <w:rsid w:val="5F98B5AF"/>
    <w:rsid w:val="5FFE8511"/>
    <w:rsid w:val="5FFEACE2"/>
    <w:rsid w:val="606B1CF5"/>
    <w:rsid w:val="609D5BF6"/>
    <w:rsid w:val="61073070"/>
    <w:rsid w:val="61B9080E"/>
    <w:rsid w:val="61DF3FED"/>
    <w:rsid w:val="62D96711"/>
    <w:rsid w:val="637D1D0F"/>
    <w:rsid w:val="639F0918"/>
    <w:rsid w:val="642B176B"/>
    <w:rsid w:val="643EE26D"/>
    <w:rsid w:val="656019A0"/>
    <w:rsid w:val="65F242EE"/>
    <w:rsid w:val="663C7081"/>
    <w:rsid w:val="664275D7"/>
    <w:rsid w:val="664B0C26"/>
    <w:rsid w:val="666D7E19"/>
    <w:rsid w:val="67A051EB"/>
    <w:rsid w:val="68376930"/>
    <w:rsid w:val="68F91E38"/>
    <w:rsid w:val="6B3158B9"/>
    <w:rsid w:val="6BA02A3F"/>
    <w:rsid w:val="6BD3582A"/>
    <w:rsid w:val="6C105349"/>
    <w:rsid w:val="6C1E5A53"/>
    <w:rsid w:val="6F5C41AC"/>
    <w:rsid w:val="6FAF6C78"/>
    <w:rsid w:val="70732445"/>
    <w:rsid w:val="71333EA0"/>
    <w:rsid w:val="716167CC"/>
    <w:rsid w:val="718A7AD1"/>
    <w:rsid w:val="72A44BC2"/>
    <w:rsid w:val="7317C656"/>
    <w:rsid w:val="734ED73F"/>
    <w:rsid w:val="73B11835"/>
    <w:rsid w:val="73C82B32"/>
    <w:rsid w:val="73F94DAE"/>
    <w:rsid w:val="74220495"/>
    <w:rsid w:val="74674895"/>
    <w:rsid w:val="747D1B6F"/>
    <w:rsid w:val="749E5641"/>
    <w:rsid w:val="753A73A1"/>
    <w:rsid w:val="76002194"/>
    <w:rsid w:val="76271066"/>
    <w:rsid w:val="77FD8BE9"/>
    <w:rsid w:val="78000AED"/>
    <w:rsid w:val="78531DBF"/>
    <w:rsid w:val="79A9BD3F"/>
    <w:rsid w:val="7A51217D"/>
    <w:rsid w:val="7A5658FB"/>
    <w:rsid w:val="7B776F12"/>
    <w:rsid w:val="7BFFFDD0"/>
    <w:rsid w:val="7C336E5F"/>
    <w:rsid w:val="7C8D4919"/>
    <w:rsid w:val="7D7A5F86"/>
    <w:rsid w:val="7E1D78CD"/>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9750</Words>
  <Characters>10120</Characters>
  <Lines>415</Lines>
  <Paragraphs>254</Paragraphs>
  <TotalTime>101</TotalTime>
  <ScaleCrop>false</ScaleCrop>
  <LinksUpToDate>false</LinksUpToDate>
  <CharactersWithSpaces>10144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忆</cp:lastModifiedBy>
  <dcterms:modified xsi:type="dcterms:W3CDTF">2025-10-31T08:25:18Z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C692B91B7B5349A0B0C752C44AE1E45E</vt:lpwstr>
  </property>
  <property fmtid="{D5CDD505-2E9C-101B-9397-08002B2CF9AE}" pid="4" name="KSOTemplateDocerSaveRecord">
    <vt:lpwstr>eyJoZGlkIjoiZWE5M2E4OTRkNmEwYTUyNjM2Mzg3NThiMTA5NmIzZWUiLCJ1c2VySWQiOiI0OTMxMTE3MjUifQ==</vt:lpwstr>
  </property>
</Properties>
</file>