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3AD22">
      <w:pPr>
        <w:rPr>
          <w:color w:val="auto"/>
          <w:highlight w:val="none"/>
        </w:rPr>
      </w:pPr>
    </w:p>
    <w:p w14:paraId="1700B4AD">
      <w:pPr>
        <w:spacing w:line="540" w:lineRule="exact"/>
        <w:jc w:val="center"/>
        <w:rPr>
          <w:rFonts w:hint="default" w:ascii="Times New Roman" w:hAnsi="Times New Roman" w:eastAsia="华文中宋" w:cs="Times New Roman"/>
          <w:b/>
          <w:color w:val="auto"/>
          <w:kern w:val="0"/>
          <w:sz w:val="52"/>
          <w:szCs w:val="52"/>
          <w:highlight w:val="none"/>
        </w:rPr>
      </w:pPr>
    </w:p>
    <w:p w14:paraId="05A727A2">
      <w:pPr>
        <w:spacing w:line="540" w:lineRule="exact"/>
        <w:rPr>
          <w:rFonts w:hint="default" w:ascii="Times New Roman" w:hAnsi="Times New Roman" w:eastAsia="华文中宋" w:cs="Times New Roman"/>
          <w:b/>
          <w:color w:val="auto"/>
          <w:kern w:val="0"/>
          <w:sz w:val="52"/>
          <w:szCs w:val="52"/>
          <w:highlight w:val="none"/>
        </w:rPr>
      </w:pPr>
    </w:p>
    <w:p w14:paraId="3F1F8EE9">
      <w:pPr>
        <w:spacing w:line="540" w:lineRule="exact"/>
        <w:jc w:val="center"/>
        <w:rPr>
          <w:rFonts w:hint="default" w:ascii="Times New Roman" w:hAnsi="Times New Roman" w:eastAsia="华文中宋" w:cs="Times New Roman"/>
          <w:b/>
          <w:color w:val="auto"/>
          <w:kern w:val="0"/>
          <w:sz w:val="52"/>
          <w:szCs w:val="52"/>
          <w:highlight w:val="none"/>
        </w:rPr>
      </w:pPr>
    </w:p>
    <w:p w14:paraId="2C6BC2C7">
      <w:pPr>
        <w:spacing w:line="540" w:lineRule="exact"/>
        <w:jc w:val="center"/>
        <w:rPr>
          <w:rFonts w:hint="default" w:ascii="Times New Roman" w:hAnsi="Times New Roman" w:eastAsia="华文中宋" w:cs="Times New Roman"/>
          <w:b/>
          <w:color w:val="auto"/>
          <w:kern w:val="0"/>
          <w:sz w:val="52"/>
          <w:szCs w:val="52"/>
          <w:highlight w:val="none"/>
        </w:rPr>
      </w:pPr>
    </w:p>
    <w:p w14:paraId="3F78AB38">
      <w:pPr>
        <w:spacing w:line="540" w:lineRule="exact"/>
        <w:jc w:val="center"/>
        <w:rPr>
          <w:rFonts w:hint="default" w:ascii="Times New Roman" w:hAnsi="Times New Roman" w:eastAsia="方正小标宋_GBK" w:cs="Times New Roman"/>
          <w:color w:val="auto"/>
          <w:kern w:val="0"/>
          <w:sz w:val="48"/>
          <w:szCs w:val="48"/>
          <w:highlight w:val="none"/>
        </w:rPr>
      </w:pPr>
      <w:r>
        <w:rPr>
          <w:rFonts w:hint="eastAsia" w:eastAsia="方正小标宋_GBK" w:cs="Times New Roman"/>
          <w:color w:val="auto"/>
          <w:kern w:val="0"/>
          <w:sz w:val="48"/>
          <w:szCs w:val="48"/>
          <w:highlight w:val="none"/>
          <w:lang w:eastAsia="zh-CN"/>
        </w:rPr>
        <w:t>托里县残疾人联合会</w:t>
      </w:r>
      <w:r>
        <w:rPr>
          <w:rFonts w:hint="default" w:ascii="Times New Roman" w:hAnsi="Times New Roman" w:eastAsia="方正小标宋_GBK" w:cs="Times New Roman"/>
          <w:color w:val="auto"/>
          <w:kern w:val="0"/>
          <w:sz w:val="48"/>
          <w:szCs w:val="48"/>
          <w:highlight w:val="none"/>
        </w:rPr>
        <w:t>项目支出绩效评价</w:t>
      </w:r>
    </w:p>
    <w:p w14:paraId="6F137F62">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报告</w:t>
      </w:r>
    </w:p>
    <w:p w14:paraId="71C19E6C">
      <w:pPr>
        <w:spacing w:line="540" w:lineRule="exact"/>
        <w:jc w:val="center"/>
        <w:rPr>
          <w:rFonts w:hint="default" w:ascii="Times New Roman" w:hAnsi="Times New Roman" w:eastAsia="华文中宋" w:cs="Times New Roman"/>
          <w:b/>
          <w:color w:val="auto"/>
          <w:kern w:val="0"/>
          <w:sz w:val="52"/>
          <w:szCs w:val="52"/>
          <w:highlight w:val="none"/>
        </w:rPr>
      </w:pPr>
    </w:p>
    <w:p w14:paraId="6CE577B9">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55F4616C">
      <w:pPr>
        <w:spacing w:line="540" w:lineRule="exact"/>
        <w:jc w:val="center"/>
        <w:rPr>
          <w:rFonts w:hint="default" w:ascii="Times New Roman" w:hAnsi="Times New Roman" w:eastAsia="仿宋_GB2312" w:cs="Times New Roman"/>
          <w:color w:val="auto"/>
          <w:kern w:val="0"/>
          <w:sz w:val="30"/>
          <w:szCs w:val="30"/>
          <w:highlight w:val="none"/>
        </w:rPr>
      </w:pPr>
    </w:p>
    <w:p w14:paraId="4C66A542">
      <w:pPr>
        <w:spacing w:line="540" w:lineRule="exact"/>
        <w:jc w:val="center"/>
        <w:rPr>
          <w:rFonts w:hint="default" w:ascii="Times New Roman" w:hAnsi="Times New Roman" w:eastAsia="仿宋_GB2312" w:cs="Times New Roman"/>
          <w:color w:val="auto"/>
          <w:kern w:val="0"/>
          <w:sz w:val="30"/>
          <w:szCs w:val="30"/>
          <w:highlight w:val="none"/>
        </w:rPr>
      </w:pPr>
    </w:p>
    <w:p w14:paraId="1558612F">
      <w:pPr>
        <w:spacing w:line="540" w:lineRule="exact"/>
        <w:jc w:val="center"/>
        <w:rPr>
          <w:rFonts w:hint="default" w:ascii="Times New Roman" w:hAnsi="Times New Roman" w:eastAsia="仿宋_GB2312" w:cs="Times New Roman"/>
          <w:color w:val="auto"/>
          <w:kern w:val="0"/>
          <w:sz w:val="30"/>
          <w:szCs w:val="30"/>
          <w:highlight w:val="none"/>
        </w:rPr>
      </w:pPr>
    </w:p>
    <w:p w14:paraId="42D981E6">
      <w:pPr>
        <w:pStyle w:val="9"/>
        <w:rPr>
          <w:rFonts w:hint="default" w:ascii="Times New Roman" w:hAnsi="Times New Roman" w:cs="Times New Roman"/>
          <w:color w:val="auto"/>
          <w:highlight w:val="none"/>
        </w:rPr>
      </w:pPr>
    </w:p>
    <w:p w14:paraId="069DF6B5">
      <w:pPr>
        <w:spacing w:line="540" w:lineRule="exact"/>
        <w:jc w:val="center"/>
        <w:rPr>
          <w:rFonts w:hint="default" w:ascii="Times New Roman" w:hAnsi="Times New Roman" w:eastAsia="仿宋_GB2312" w:cs="Times New Roman"/>
          <w:color w:val="auto"/>
          <w:kern w:val="0"/>
          <w:sz w:val="30"/>
          <w:szCs w:val="30"/>
          <w:highlight w:val="none"/>
        </w:rPr>
      </w:pPr>
    </w:p>
    <w:p w14:paraId="6F073BC7">
      <w:pPr>
        <w:spacing w:line="540" w:lineRule="exact"/>
        <w:rPr>
          <w:rFonts w:hint="default" w:ascii="Times New Roman" w:hAnsi="Times New Roman" w:eastAsia="仿宋_GB2312" w:cs="Times New Roman"/>
          <w:color w:val="auto"/>
          <w:kern w:val="0"/>
          <w:sz w:val="30"/>
          <w:szCs w:val="30"/>
          <w:highlight w:val="none"/>
        </w:rPr>
      </w:pPr>
    </w:p>
    <w:p w14:paraId="4EE32A40">
      <w:pPr>
        <w:spacing w:line="700" w:lineRule="exact"/>
        <w:ind w:left="1436" w:leftChars="684" w:firstLine="0" w:firstLineChars="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项目名称：</w:t>
      </w:r>
      <w:r>
        <w:rPr>
          <w:rFonts w:hint="eastAsia" w:eastAsia="仿宋_GB2312" w:cs="Times New Roman"/>
          <w:color w:val="auto"/>
          <w:kern w:val="0"/>
          <w:sz w:val="36"/>
          <w:szCs w:val="36"/>
          <w:highlight w:val="none"/>
          <w:lang w:eastAsia="zh-CN"/>
        </w:rPr>
        <w:t>托里县残疾人联合会残疾人事业发展补助资金</w:t>
      </w:r>
    </w:p>
    <w:p w14:paraId="2E71D037">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实施单位（公章）：</w:t>
      </w:r>
      <w:r>
        <w:rPr>
          <w:rFonts w:hint="eastAsia" w:eastAsia="仿宋_GB2312" w:cs="Times New Roman"/>
          <w:color w:val="auto"/>
          <w:kern w:val="0"/>
          <w:sz w:val="36"/>
          <w:szCs w:val="36"/>
          <w:highlight w:val="none"/>
          <w:lang w:eastAsia="zh-CN"/>
        </w:rPr>
        <w:t>托里县残疾人联合会</w:t>
      </w:r>
    </w:p>
    <w:p w14:paraId="2D0831F4">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eastAsia="zh-CN"/>
        </w:rPr>
        <w:t>托里县残疾人联合会</w:t>
      </w:r>
    </w:p>
    <w:p w14:paraId="18FE9038">
      <w:pPr>
        <w:spacing w:line="700" w:lineRule="exact"/>
        <w:ind w:firstLine="1440" w:firstLineChars="400"/>
        <w:jc w:val="left"/>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eastAsia="zh-CN"/>
        </w:rPr>
        <w:t>哈森</w:t>
      </w:r>
      <w:r>
        <w:rPr>
          <w:rFonts w:hint="eastAsia" w:eastAsia="仿宋_GB2312" w:cs="Times New Roman"/>
          <w:color w:val="auto"/>
          <w:kern w:val="0"/>
          <w:sz w:val="36"/>
          <w:szCs w:val="36"/>
          <w:highlight w:val="none"/>
          <w:lang w:val="en-US" w:eastAsia="zh-CN"/>
        </w:rPr>
        <w:t>·达木</w:t>
      </w:r>
    </w:p>
    <w:p w14:paraId="59CDAD9E">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18</w:t>
      </w:r>
      <w:r>
        <w:rPr>
          <w:rFonts w:hint="default" w:ascii="Times New Roman" w:hAnsi="Times New Roman" w:eastAsia="仿宋_GB2312" w:cs="Times New Roman"/>
          <w:color w:val="auto"/>
          <w:kern w:val="0"/>
          <w:sz w:val="36"/>
          <w:szCs w:val="36"/>
          <w:highlight w:val="none"/>
        </w:rPr>
        <w:t>日</w:t>
      </w:r>
    </w:p>
    <w:p w14:paraId="1CDAF1D7">
      <w:pPr>
        <w:spacing w:line="540" w:lineRule="exact"/>
        <w:jc w:val="center"/>
        <w:rPr>
          <w:rFonts w:hint="default" w:ascii="Times New Roman" w:hAnsi="Times New Roman" w:eastAsia="仿宋_GB2312" w:cs="Times New Roman"/>
          <w:color w:val="auto"/>
          <w:kern w:val="0"/>
          <w:sz w:val="30"/>
          <w:szCs w:val="30"/>
          <w:highlight w:val="none"/>
        </w:rPr>
      </w:pPr>
    </w:p>
    <w:p w14:paraId="2A14A096">
      <w:pPr>
        <w:spacing w:line="540" w:lineRule="exact"/>
        <w:rPr>
          <w:rStyle w:val="15"/>
          <w:rFonts w:hint="default" w:ascii="Times New Roman" w:hAnsi="Times New Roman" w:eastAsia="黑体" w:cs="Times New Roman"/>
          <w:b w:val="0"/>
          <w:color w:val="auto"/>
          <w:spacing w:val="-4"/>
          <w:sz w:val="32"/>
          <w:szCs w:val="32"/>
          <w:highlight w:val="none"/>
        </w:rPr>
      </w:pPr>
    </w:p>
    <w:p w14:paraId="2D355B8B">
      <w:pPr>
        <w:spacing w:line="540" w:lineRule="exact"/>
        <w:ind w:firstLine="640"/>
        <w:rPr>
          <w:rStyle w:val="15"/>
          <w:rFonts w:hint="default" w:ascii="Times New Roman" w:hAnsi="Times New Roman" w:eastAsia="黑体" w:cs="Times New Roman"/>
          <w:b w:val="0"/>
          <w:color w:val="auto"/>
          <w:spacing w:val="-4"/>
          <w:sz w:val="32"/>
          <w:szCs w:val="32"/>
          <w:highlight w:val="none"/>
        </w:rPr>
      </w:pPr>
    </w:p>
    <w:p w14:paraId="610B56A7">
      <w:pPr>
        <w:spacing w:line="540" w:lineRule="exact"/>
        <w:rPr>
          <w:rStyle w:val="15"/>
          <w:rFonts w:hint="default" w:ascii="Times New Roman" w:hAnsi="Times New Roman" w:eastAsia="黑体" w:cs="Times New Roman"/>
          <w:b w:val="0"/>
          <w:color w:val="auto"/>
          <w:spacing w:val="-4"/>
          <w:sz w:val="32"/>
          <w:szCs w:val="32"/>
          <w:highlight w:val="none"/>
        </w:rPr>
      </w:pPr>
    </w:p>
    <w:p w14:paraId="2F2EA517">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14:paraId="43164A83">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1F710BDE">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070A61D9">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407DF594">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b w:val="0"/>
          <w:bCs/>
          <w:color w:val="auto"/>
          <w:spacing w:val="-4"/>
          <w:sz w:val="32"/>
          <w:szCs w:val="32"/>
          <w:highlight w:val="none"/>
          <w:lang w:val="en-US" w:eastAsia="zh-CN"/>
        </w:rPr>
      </w:pPr>
      <w:r>
        <w:rPr>
          <w:rFonts w:hint="eastAsia" w:ascii="仿宋_GB2312" w:hAnsi="楷体" w:eastAsia="仿宋_GB2312"/>
          <w:b w:val="0"/>
          <w:bCs/>
          <w:color w:val="auto"/>
          <w:spacing w:val="-4"/>
          <w:sz w:val="32"/>
          <w:szCs w:val="32"/>
          <w:highlight w:val="none"/>
          <w:lang w:val="en-US" w:eastAsia="zh-CN"/>
        </w:rPr>
        <w:t>关于提前下达2024年中央残疾人事业发展补助资金一般公共预算指标的通知塔地财社【2023】68号，关于提前下达2024年自治区财政残疾人事业发展补助资金预算的通知（塔地财社【2023】91号）。 塔</w:t>
      </w:r>
      <w:bookmarkStart w:id="1" w:name="_GoBack"/>
      <w:bookmarkEnd w:id="1"/>
      <w:r>
        <w:rPr>
          <w:rFonts w:hint="eastAsia" w:ascii="仿宋_GB2312" w:hAnsi="楷体" w:eastAsia="仿宋_GB2312"/>
          <w:b w:val="0"/>
          <w:bCs/>
          <w:color w:val="auto"/>
          <w:spacing w:val="-4"/>
          <w:sz w:val="32"/>
          <w:szCs w:val="32"/>
          <w:highlight w:val="none"/>
          <w:lang w:val="en-US" w:eastAsia="zh-CN"/>
        </w:rPr>
        <w:t>地财社【2024】22号文件 关于拨付2024年中央财政残疾人事业发展补助资金， 塔地财综【2024】17号文件 关于下达2024年中央专项彩票公益金支出地方社会公益性事业发展补助资金2024年其他项目类-残疾人保障项目资金2.8万。</w:t>
      </w:r>
    </w:p>
    <w:p w14:paraId="79D11986">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楷体" w:eastAsia="仿宋_GB2312"/>
          <w:b w:val="0"/>
          <w:bCs/>
          <w:color w:val="auto"/>
          <w:spacing w:val="-4"/>
          <w:sz w:val="32"/>
          <w:szCs w:val="32"/>
          <w:highlight w:val="none"/>
          <w:lang w:val="en-US" w:eastAsia="zh-CN"/>
        </w:rPr>
      </w:pPr>
      <w:r>
        <w:rPr>
          <w:rFonts w:hint="eastAsia" w:ascii="仿宋_GB2312" w:hAnsi="楷体" w:eastAsia="仿宋_GB2312"/>
          <w:b w:val="0"/>
          <w:bCs/>
          <w:color w:val="auto"/>
          <w:spacing w:val="-4"/>
          <w:sz w:val="32"/>
          <w:szCs w:val="32"/>
          <w:highlight w:val="none"/>
          <w:lang w:val="en-US" w:eastAsia="zh-CN"/>
        </w:rPr>
        <w:t>塔地财社【2023】60号文件 关于提前下达2024年中央财政就业补助资金预算的通知，塔地财社【2024】16号文件 关于下达2024年中央财政就业补助资金（第二批）预算的通知。</w:t>
      </w:r>
    </w:p>
    <w:p w14:paraId="38D68577">
      <w:pPr>
        <w:pStyle w:val="9"/>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36BC0C0C">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_GB2312" w:hAnsi="楷体" w:eastAsia="仿宋_GB2312"/>
          <w:b w:val="0"/>
          <w:bCs/>
          <w:color w:val="auto"/>
          <w:spacing w:val="-4"/>
          <w:sz w:val="32"/>
          <w:szCs w:val="32"/>
          <w:highlight w:val="none"/>
          <w:lang w:val="en-US" w:eastAsia="zh-CN"/>
        </w:rPr>
      </w:pPr>
      <w:r>
        <w:rPr>
          <w:rFonts w:hint="default" w:ascii="Times New Roman" w:hAnsi="Times New Roman" w:eastAsia="仿宋_GB2312" w:cs="Times New Roman"/>
          <w:b/>
          <w:bCs/>
          <w:color w:val="auto"/>
          <w:sz w:val="30"/>
          <w:szCs w:val="30"/>
          <w:highlight w:val="none"/>
          <w:lang w:val="en-US" w:eastAsia="zh-CN"/>
        </w:rPr>
        <w:t>项目主要内容：</w:t>
      </w:r>
      <w:r>
        <w:rPr>
          <w:rFonts w:hint="eastAsia" w:ascii="仿宋_GB2312" w:hAnsi="楷体" w:eastAsia="仿宋_GB2312"/>
          <w:b w:val="0"/>
          <w:bCs/>
          <w:color w:val="auto"/>
          <w:spacing w:val="-4"/>
          <w:sz w:val="32"/>
          <w:szCs w:val="32"/>
          <w:highlight w:val="none"/>
          <w:lang w:val="en-US" w:eastAsia="zh-CN"/>
        </w:rPr>
        <w:t>本年中央残疾人事业发展补助资金，用于残疾人康复，为了提高残疾人融入社会生活质量，农村困难残疾人使用技术培训,就业创业期间残疾人发放生活困难补助，以残疾人事业发展服务为主，综合提供预防、保健和残疾人事业发展服务，加强农村残疾人事业发展服务。</w:t>
      </w:r>
    </w:p>
    <w:p w14:paraId="57C059B7">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宋体" w:hAnsi="宋体" w:eastAsia="宋体" w:cs="宋体"/>
          <w:i w:val="0"/>
          <w:caps w:val="0"/>
          <w:color w:val="auto"/>
          <w:spacing w:val="0"/>
          <w:sz w:val="32"/>
          <w:szCs w:val="32"/>
          <w:highlight w:val="none"/>
          <w:shd w:val="clear" w:color="auto" w:fill="FFFFFF"/>
        </w:rPr>
      </w:pPr>
      <w:r>
        <w:rPr>
          <w:rFonts w:hint="eastAsia" w:ascii="仿宋_GB2312" w:hAnsi="楷体" w:eastAsia="仿宋_GB2312"/>
          <w:b w:val="0"/>
          <w:bCs/>
          <w:color w:val="auto"/>
          <w:spacing w:val="-4"/>
          <w:sz w:val="32"/>
          <w:szCs w:val="32"/>
          <w:highlight w:val="none"/>
          <w:lang w:val="en-US" w:eastAsia="zh-CN"/>
        </w:rPr>
        <w:t>2024年其他项目类-残疾人保障项目资金2.8万，用于残疾人劳务费、残疾儿童康复救助、残疾人慰问。提高残疾人融入社会生活质量，依残疾人事业发展服务为主，综合提供预防，保健和残疾人事业发展服务，提高残疾人的康复服务水平。</w:t>
      </w:r>
    </w:p>
    <w:p w14:paraId="78E9DB3D">
      <w:pPr>
        <w:spacing w:line="560" w:lineRule="exact"/>
        <w:ind w:firstLine="624" w:firstLineChars="200"/>
        <w:rPr>
          <w:rFonts w:hint="eastAsia" w:ascii="仿宋_GB2312" w:hAnsi="楷体" w:eastAsia="仿宋_GB2312"/>
          <w:b w:val="0"/>
          <w:bCs/>
          <w:color w:val="auto"/>
          <w:spacing w:val="-4"/>
          <w:sz w:val="32"/>
          <w:szCs w:val="32"/>
          <w:highlight w:val="none"/>
          <w:lang w:val="en-US" w:eastAsia="zh-CN"/>
        </w:rPr>
      </w:pPr>
      <w:r>
        <w:rPr>
          <w:rFonts w:hint="eastAsia" w:ascii="仿宋_GB2312" w:hAnsi="楷体" w:eastAsia="仿宋_GB2312"/>
          <w:b w:val="0"/>
          <w:bCs/>
          <w:color w:val="auto"/>
          <w:spacing w:val="-4"/>
          <w:sz w:val="32"/>
          <w:szCs w:val="32"/>
          <w:highlight w:val="none"/>
          <w:lang w:val="en-US" w:eastAsia="zh-CN"/>
        </w:rPr>
        <w:t>就业补助资金4.7万用于公益性岗位人员共计4人，有效解决公益性岗位社会保障费用的缴纳，更好的满足公益性岗位医疗保障需求，不断的提升公益性岗位人员的工作热情。</w:t>
      </w:r>
    </w:p>
    <w:p w14:paraId="5ACCAE41">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仿宋_GB2312" w:cs="Times New Roman"/>
          <w:b/>
          <w:bCs/>
          <w:color w:val="auto"/>
          <w:sz w:val="32"/>
          <w:szCs w:val="32"/>
          <w:highlight w:val="none"/>
        </w:rPr>
        <w:t>项目实施情况：</w:t>
      </w:r>
      <w:r>
        <w:rPr>
          <w:rFonts w:hint="eastAsia" w:ascii="仿宋_GB2312" w:hAnsi="仿宋_GB2312" w:eastAsia="仿宋_GB2312" w:cs="仿宋_GB2312"/>
          <w:color w:val="auto"/>
          <w:sz w:val="32"/>
          <w:szCs w:val="32"/>
          <w:highlight w:val="none"/>
          <w:lang w:val="en-US" w:eastAsia="zh-CN"/>
        </w:rPr>
        <w:t>截至2024年12月20日,</w:t>
      </w:r>
      <w:r>
        <w:rPr>
          <w:rFonts w:hint="eastAsia" w:ascii="仿宋_GB2312" w:hAnsi="楷体" w:eastAsia="仿宋_GB2312"/>
          <w:b w:val="0"/>
          <w:bCs/>
          <w:color w:val="auto"/>
          <w:spacing w:val="-4"/>
          <w:sz w:val="32"/>
          <w:szCs w:val="32"/>
          <w:highlight w:val="none"/>
          <w:lang w:val="en-US" w:eastAsia="zh-CN"/>
        </w:rPr>
        <w:t>托里县残疾人联合会项目支出60.95。其中：就业补助资金4.29万元（公益性岗位社会保险补贴），残疾人事业发展补助资金28.67万元（残疾人康复3万元，其他残疾人支出25.69万元），其他支出27.97万元（用于社会福利的彩票公益金支出）。</w:t>
      </w:r>
    </w:p>
    <w:p w14:paraId="7CAEE001">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14:paraId="42F2E2B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30A0BBC7">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45.17</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63.22</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上级专项资金</w:t>
      </w:r>
      <w:r>
        <w:rPr>
          <w:rFonts w:hint="default" w:ascii="Times New Roman" w:hAnsi="Times New Roman" w:eastAsia="仿宋_GB2312" w:cs="Times New Roman"/>
          <w:color w:val="auto"/>
          <w:sz w:val="32"/>
          <w:szCs w:val="32"/>
          <w:highlight w:val="none"/>
          <w:lang w:val="en-US" w:eastAsia="zh-CN"/>
        </w:rPr>
        <w:t>。</w:t>
      </w:r>
    </w:p>
    <w:p w14:paraId="18F518F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3E597637">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45.17</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63.22</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60.95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96.4</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，主要用于：</w:t>
      </w:r>
      <w:r>
        <w:rPr>
          <w:rFonts w:hint="eastAsia" w:ascii="仿宋_GB2312" w:hAnsi="楷体" w:eastAsia="仿宋_GB2312"/>
          <w:b w:val="0"/>
          <w:bCs/>
          <w:color w:val="auto"/>
          <w:spacing w:val="-4"/>
          <w:sz w:val="32"/>
          <w:szCs w:val="32"/>
          <w:highlight w:val="none"/>
          <w:lang w:val="en-US" w:eastAsia="zh-CN"/>
        </w:rPr>
        <w:t>就业补助资金4.29万元（公益性岗位社会保险补贴），残疾人事业发展补助资金28.67万元（残疾人康复3万元，其他残疾人支出25.69万元），其他支出27.97万元（用于社会福利的彩票公益金支出）</w:t>
      </w:r>
    </w:p>
    <w:p w14:paraId="3EAE5903">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79D1E23D">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总体目标</w:t>
      </w:r>
    </w:p>
    <w:p w14:paraId="7051840C">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残疾人事业发展补助目资金55.72万元，用于2024年残疾人事业发展补助目资金，用于辅助器具适配服务人数117人，残疾人基本康复171人，残疾人家庭无障碍改造户数40户，残疾人评定补贴10人，接受托养服务人数次数7人，开展残疾爱耳日日宣传4次，社区协理员培训10人，康复儿童5人，资助困难残疾大学生4人，文化进社区1次。提高残疾人融入社会生活质量，就业创业期间残疾人发放生活困难补助，以残疾人事业发展服务为主，综合提供预防、保健和残疾人事业发展服务，加强农村残疾人事业发展服务，提高残疾人康复服务水平，提高残疾人融入社会生活能力。提高残疾人融入社会生活质量，就业创业期间残疾人发放生活困难补助，以残疾人事业发展服务为主，综合提供预防、保健和残疾人事业发展服务，加强农村残疾人事业发展服务，提高残疾人康复服务水平，提高残疾人融入社会生活能力，残疾人满意度95%。</w:t>
      </w:r>
    </w:p>
    <w:p w14:paraId="3FB7639D">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其他项目类-残疾人保障项目资金2.8万，用于残疾人劳务费1万、7名残疾儿童康复0.685万元、残疾人慰问资金1万元。提高残疾人融入社会生活质量，依残疾人事业发展服务为主，综合提供预防，保健和残疾人事业发展服务，提高残疾人的康复服务水平。</w:t>
      </w:r>
    </w:p>
    <w:p w14:paraId="220E82D3">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项目资金4.7万，用于发放2024年4名公益性岗位人员社保补贴，补助标准1247.26元/人，提高公益性岗位待遇标准，有利于调动公益性岗位人员工作激情，充分发挥人员人士职能作用，促进经济社会发展中发挥积极作用，维护国家统一，民族团结，受益公益性岗位人员满意度95%。</w:t>
      </w:r>
    </w:p>
    <w:p w14:paraId="673829DB">
      <w:pPr>
        <w:numPr>
          <w:ilvl w:val="0"/>
          <w:numId w:val="1"/>
        </w:num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阶段性目标</w:t>
      </w:r>
    </w:p>
    <w:p w14:paraId="68630534">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残疾人事业发展补助资项目预算资金55.72万元，截止2024年12月31日，已经支付53.97万元，项目按照计划正常实行，已经完成了4名残疾大学生补助，已完成了171人残疾人基本康复，残疾人家庭无障碍改造户数40户，残疾预防日宣传次数4次、文化进社区一次，日间照料人数10人，残疾人评定10人，残疾儿童康复6人，辅助器具设配117人，社区协调员培训10人，达到了提高残疾人融入社会生活质量，以残疾人事业发展服务为主，综合提供预防、保健和残疾人事业发展服务，加强农村残疾人事业发展服务，提高残疾人康复服务水平，提高残疾人融入社会生活能力，残疾人满意度95%。</w:t>
      </w:r>
    </w:p>
    <w:p w14:paraId="0AF3A856">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其他项目类-残疾人保障项目资金2.8万，截止2024年12月31日，已经支付2.69万元，项目按照计划正常实行用于我单位自聘1名残疾人就业、7名残疾儿童康复、50名残疾人慰问。提高残疾人融入社会生活质量，以残疾人事业发展服务为主，综合提供预防、保健和残疾人事业发展服务，提高残疾儿童康复服务水平，提高残疾人融入社会生活能力，残疾人满意度95%。</w:t>
      </w:r>
    </w:p>
    <w:p w14:paraId="178BD812">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default" w:ascii="宋体" w:hAnsi="宋体" w:eastAsia="宋体" w:cs="宋体"/>
          <w:i w:val="0"/>
          <w:caps w:val="0"/>
          <w:color w:val="auto"/>
          <w:spacing w:val="0"/>
          <w:sz w:val="21"/>
          <w:szCs w:val="21"/>
          <w:highlight w:val="none"/>
          <w:shd w:val="clear" w:color="auto" w:fill="FFFFFF"/>
          <w:lang w:eastAsia="zh-CN"/>
        </w:rPr>
      </w:pPr>
      <w:r>
        <w:rPr>
          <w:rFonts w:hint="eastAsia" w:ascii="Times New Roman" w:hAnsi="Times New Roman" w:eastAsia="仿宋_GB2312" w:cs="Times New Roman"/>
          <w:color w:val="auto"/>
          <w:sz w:val="32"/>
          <w:szCs w:val="32"/>
          <w:highlight w:val="none"/>
          <w:lang w:val="en-US" w:eastAsia="zh-CN"/>
        </w:rPr>
        <w:t>就业补助资金项目预算资金4.7万元，截止2024年12月31日，已经支付4.29万元，项目按照计划正常实行，已经完成了4名公益性岗位的就业补助，提高了公益性岗位待遇标准，有利于调动公益性岗位人员工作激情，充分发挥人员人士职能作用，促进经济社会发展中发挥积极作用，维护国家统一，民族团结，受益公益性岗位人员满意度95%。</w:t>
      </w:r>
    </w:p>
    <w:p w14:paraId="2F31C6EF">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770D6A57">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2FD32E6E">
      <w:pPr>
        <w:pStyle w:val="9"/>
        <w:widowControl w:val="0"/>
        <w:shd w:val="clear" w:color="auto" w:fill="auto"/>
        <w:spacing w:before="0" w:after="0" w:line="560" w:lineRule="exact"/>
        <w:ind w:firstLine="643" w:firstLineChars="200"/>
        <w:jc w:val="both"/>
        <w:outlineLvl w:val="9"/>
        <w:rPr>
          <w:rFonts w:hint="default" w:ascii="Times New Roman" w:hAnsi="Times New Roman" w:eastAsia="仿宋_GB2312" w:cs="Times New Roman"/>
          <w:b/>
          <w:bCs/>
          <w:color w:val="auto"/>
          <w:highlight w:val="none"/>
          <w:lang w:val="en-US" w:eastAsia="zh-CN"/>
        </w:rPr>
      </w:pPr>
      <w:r>
        <w:rPr>
          <w:rFonts w:hint="default" w:ascii="Times New Roman" w:hAnsi="Times New Roman" w:eastAsia="仿宋_GB2312" w:cs="Times New Roman"/>
          <w:b/>
          <w:bCs/>
          <w:color w:val="auto"/>
          <w:highlight w:val="none"/>
          <w:lang w:val="en-US" w:eastAsia="zh-CN"/>
        </w:rPr>
        <w:t>1.绩效评价完整性</w:t>
      </w:r>
    </w:p>
    <w:p w14:paraId="48BA8E11">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EB35B7A">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在评价指标体系的构建上，充分考虑了项目的性质、目标以及预期成果，选取了具有代表性和可衡量性的关键指标，涵盖了经济效益、社会效益、</w:t>
      </w:r>
      <w:r>
        <w:rPr>
          <w:rFonts w:hint="eastAsia"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14:paraId="4F622D81">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6100787">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4C7BF89">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69C9AA8">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2.</w:t>
      </w:r>
      <w:r>
        <w:rPr>
          <w:rFonts w:hint="default" w:ascii="Times New Roman" w:hAnsi="Times New Roman" w:eastAsia="仿宋_GB2312" w:cs="Times New Roman"/>
          <w:b/>
          <w:bCs/>
          <w:color w:val="auto"/>
          <w:sz w:val="32"/>
          <w:szCs w:val="32"/>
          <w:highlight w:val="none"/>
        </w:rPr>
        <w:t>绩效评价的目的</w:t>
      </w:r>
    </w:p>
    <w:p w14:paraId="5AF79E33">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0CCB4E67">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通过对项目预算执行情况及各项绩效目标达成程度的系统性分析，全面、客观地评估项目在预定周期内的实施效果，包括经济效益、社会效益、</w:t>
      </w:r>
      <w:r>
        <w:rPr>
          <w:rFonts w:hint="eastAsia"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rPr>
        <w:t>效益以及可持续性等多维度指标，为项目后续的改进与优化提供科学依据。</w:t>
      </w:r>
    </w:p>
    <w:p w14:paraId="5F112999">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5708AB1D">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6262476">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D341D3">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22E3287">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38D98801">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80E3FF1">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56314A31">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6B093D2">
      <w:pPr>
        <w:keepNext w:val="0"/>
        <w:keepLines w:val="0"/>
        <w:pageBreakBefore w:val="0"/>
        <w:widowControl w:val="0"/>
        <w:shd w:val="clear" w:color="auto" w:fill="auto"/>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A105EDC">
      <w:pPr>
        <w:pStyle w:val="9"/>
        <w:widowControl w:val="0"/>
        <w:shd w:val="clear" w:color="auto" w:fill="auto"/>
        <w:spacing w:before="0" w:after="0" w:line="560" w:lineRule="exact"/>
        <w:ind w:firstLine="643" w:firstLineChars="200"/>
        <w:jc w:val="both"/>
        <w:outlineLvl w:val="9"/>
        <w:rPr>
          <w:rFonts w:hint="default" w:ascii="Times New Roman" w:hAnsi="Times New Roman" w:eastAsia="仿宋_GB2312" w:cs="Times New Roman"/>
          <w:b/>
          <w:bCs/>
          <w:color w:val="auto"/>
          <w:highlight w:val="none"/>
        </w:rPr>
      </w:pPr>
      <w:r>
        <w:rPr>
          <w:rFonts w:hint="default" w:ascii="Times New Roman" w:hAnsi="Times New Roman" w:eastAsia="仿宋_GB2312" w:cs="Times New Roman"/>
          <w:b/>
          <w:bCs/>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highlight w:val="none"/>
        </w:rPr>
        <w:t>绩效评价的对象</w:t>
      </w:r>
    </w:p>
    <w:p w14:paraId="0F603651">
      <w:pPr>
        <w:pStyle w:val="9"/>
        <w:widowControl w:val="0"/>
        <w:shd w:val="clear" w:color="auto" w:fill="auto"/>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w:t>
      </w:r>
      <w:r>
        <w:rPr>
          <w:rFonts w:hint="eastAsia" w:ascii="Times New Roman" w:hAnsi="Times New Roman" w:eastAsia="仿宋_GB2312" w:cs="Times New Roman"/>
          <w:b w:val="0"/>
          <w:bCs w:val="0"/>
          <w:color w:val="auto"/>
          <w:highlight w:val="none"/>
        </w:rPr>
        <w:t>托里县残疾人联合会残疾人事业发展补助资金</w:t>
      </w: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rPr>
        <w:t>2024年其他项目类-残保慰问金</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就业补助资金及其预算执行情况。该项目由</w:t>
      </w:r>
      <w:r>
        <w:rPr>
          <w:rFonts w:hint="eastAsia" w:ascii="Times New Roman" w:hAnsi="Times New Roman" w:eastAsia="仿宋_GB2312" w:cs="Times New Roman"/>
          <w:b w:val="0"/>
          <w:bCs w:val="0"/>
          <w:color w:val="auto"/>
          <w:highlight w:val="none"/>
          <w:lang w:eastAsia="zh-CN"/>
        </w:rPr>
        <w:t>托里县残疾人联合会</w:t>
      </w:r>
      <w:r>
        <w:rPr>
          <w:rFonts w:hint="default" w:ascii="Times New Roman" w:hAnsi="Times New Roman" w:eastAsia="仿宋_GB2312" w:cs="Times New Roman"/>
          <w:b w:val="0"/>
          <w:bCs w:val="0"/>
          <w:color w:val="auto"/>
          <w:highlight w:val="none"/>
        </w:rPr>
        <w:t>负责实施，旨在</w:t>
      </w:r>
      <w:r>
        <w:rPr>
          <w:rFonts w:hint="eastAsia" w:ascii="Times New Roman" w:hAnsi="Times New Roman" w:eastAsia="仿宋_GB2312" w:cs="Times New Roman"/>
          <w:b w:val="0"/>
          <w:bCs w:val="0"/>
          <w:color w:val="auto"/>
          <w:highlight w:val="none"/>
          <w:lang w:eastAsia="zh-CN"/>
        </w:rPr>
        <w:t>帮助更多残疾人获得适配的康复服务与辅助器具，改善身体功能，提高生活自理能力，提升康复服务机构的服务能力和水平。资助残疾学生接受教育，支持残疾人就业创业提高托养服务，为残疾人家庭进行无障碍改造，改善残疾人生活</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60.95</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27EBCCFB">
      <w:pPr>
        <w:pStyle w:val="9"/>
        <w:widowControl w:val="0"/>
        <w:spacing w:before="0" w:after="0" w:line="560" w:lineRule="exact"/>
        <w:ind w:firstLine="643" w:firstLineChars="200"/>
        <w:jc w:val="both"/>
        <w:outlineLvl w:val="9"/>
        <w:rPr>
          <w:rFonts w:hint="default" w:ascii="Times New Roman" w:hAnsi="Times New Roman" w:eastAsia="仿宋_GB2312" w:cs="Times New Roman"/>
          <w:b/>
          <w:bCs/>
          <w:color w:val="auto"/>
          <w:highlight w:val="none"/>
        </w:rPr>
      </w:pPr>
      <w:r>
        <w:rPr>
          <w:rFonts w:hint="default" w:ascii="Times New Roman" w:hAnsi="Times New Roman" w:eastAsia="仿宋_GB2312" w:cs="Times New Roman"/>
          <w:b/>
          <w:bCs/>
          <w:color w:val="auto"/>
          <w:highlight w:val="none"/>
          <w:lang w:val="en-US" w:eastAsia="zh-CN"/>
        </w:rPr>
        <w:t>4.</w:t>
      </w:r>
      <w:r>
        <w:rPr>
          <w:rFonts w:hint="default" w:ascii="Times New Roman" w:hAnsi="Times New Roman" w:eastAsia="仿宋_GB2312" w:cs="Times New Roman"/>
          <w:b/>
          <w:bCs/>
          <w:color w:val="auto"/>
          <w:highlight w:val="none"/>
        </w:rPr>
        <w:t>绩效评价的范围</w:t>
      </w:r>
    </w:p>
    <w:p w14:paraId="23F5D8C8">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6955AC9E">
      <w:pPr>
        <w:pStyle w:val="9"/>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1DCEBB48">
      <w:pPr>
        <w:pStyle w:val="9"/>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25145B9C">
      <w:pPr>
        <w:pStyle w:val="9"/>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2F73937C">
      <w:pPr>
        <w:pStyle w:val="9"/>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影响：提高残疾人融入社会生活能力</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提高残疾人康复服务水平</w:t>
      </w:r>
      <w:r>
        <w:rPr>
          <w:rFonts w:hint="eastAsia" w:ascii="Times New Roman" w:hAnsi="Times New Roman" w:eastAsia="仿宋_GB2312" w:cs="Times New Roman"/>
          <w:b w:val="0"/>
          <w:bCs w:val="0"/>
          <w:color w:val="auto"/>
          <w:highlight w:val="none"/>
          <w:lang w:eastAsia="zh-CN"/>
        </w:rPr>
        <w:t>。</w:t>
      </w:r>
    </w:p>
    <w:p w14:paraId="171A2A2E">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252DCFA4">
      <w:pPr>
        <w:pStyle w:val="9"/>
        <w:widowControl w:val="0"/>
        <w:spacing w:before="0" w:after="0" w:line="560" w:lineRule="exact"/>
        <w:ind w:firstLine="643" w:firstLineChars="200"/>
        <w:jc w:val="both"/>
        <w:outlineLvl w:val="9"/>
        <w:rPr>
          <w:rFonts w:hint="default" w:ascii="Times New Roman" w:hAnsi="Times New Roman" w:eastAsia="仿宋_GB2312" w:cs="Times New Roman"/>
          <w:b/>
          <w:bCs/>
          <w:color w:val="auto"/>
          <w:highlight w:val="none"/>
        </w:rPr>
      </w:pPr>
      <w:r>
        <w:rPr>
          <w:rFonts w:hint="default" w:ascii="Times New Roman" w:hAnsi="Times New Roman" w:eastAsia="仿宋_GB2312" w:cs="Times New Roman"/>
          <w:b/>
          <w:bCs/>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highlight w:val="none"/>
        </w:rPr>
        <w:t>绩效评价原则</w:t>
      </w:r>
    </w:p>
    <w:p w14:paraId="440FB4BA">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6062BF41">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5F608C08">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w:t>
      </w:r>
      <w:r>
        <w:rPr>
          <w:rFonts w:hint="default" w:ascii="Times New Roman" w:hAnsi="Times New Roman" w:eastAsia="仿宋_GB2312" w:cs="Times New Roman"/>
          <w:b w:val="0"/>
          <w:bCs w:val="0"/>
          <w:color w:val="auto"/>
          <w:highlight w:val="none"/>
        </w:rPr>
        <w:t>应在单位自评的基础上开展。</w:t>
      </w:r>
    </w:p>
    <w:p w14:paraId="5F8D1471">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1656FED8">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43137E7A">
      <w:pPr>
        <w:pStyle w:val="9"/>
        <w:widowControl w:val="0"/>
        <w:spacing w:before="0" w:after="0" w:line="560" w:lineRule="exact"/>
        <w:ind w:firstLine="643" w:firstLineChars="200"/>
        <w:jc w:val="both"/>
        <w:outlineLvl w:val="9"/>
        <w:rPr>
          <w:rFonts w:hint="default" w:ascii="Times New Roman" w:hAnsi="Times New Roman" w:eastAsia="仿宋_GB2312" w:cs="Times New Roman"/>
          <w:b/>
          <w:bCs/>
          <w:color w:val="auto"/>
          <w:highlight w:val="none"/>
        </w:rPr>
      </w:pPr>
      <w:r>
        <w:rPr>
          <w:rFonts w:hint="default" w:ascii="Times New Roman" w:hAnsi="Times New Roman" w:eastAsia="仿宋_GB2312" w:cs="Times New Roman"/>
          <w:b/>
          <w:bCs/>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highlight w:val="none"/>
        </w:rPr>
        <w:t>评价指标体系</w:t>
      </w:r>
    </w:p>
    <w:p w14:paraId="50168A4D">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6A57ADC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542E81C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588C175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48DFDA94">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285CD6BB">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04C408F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33AC7F01">
      <w:pPr>
        <w:pStyle w:val="9"/>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绩效评价总分值100分，根据综合评分结果，90（含）-优、80（含）-90分为良、60（含）-80分为中、60分以下为差。</w:t>
      </w:r>
    </w:p>
    <w:p w14:paraId="048B24C5">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66555B9F">
      <w:pPr>
        <w:pStyle w:val="9"/>
        <w:widowControl w:val="0"/>
        <w:spacing w:before="0" w:after="0" w:line="560" w:lineRule="exact"/>
        <w:ind w:firstLine="643" w:firstLineChars="200"/>
        <w:jc w:val="both"/>
        <w:outlineLvl w:val="9"/>
        <w:rPr>
          <w:rFonts w:hint="default" w:ascii="Times New Roman" w:hAnsi="Times New Roman" w:eastAsia="仿宋_GB2312" w:cs="Times New Roman"/>
          <w:b/>
          <w:bCs/>
          <w:color w:val="auto"/>
          <w:highlight w:val="none"/>
        </w:rPr>
      </w:pPr>
      <w:r>
        <w:rPr>
          <w:rFonts w:hint="default" w:ascii="Times New Roman" w:hAnsi="Times New Roman" w:eastAsia="仿宋_GB2312" w:cs="Times New Roman"/>
          <w:b/>
          <w:bCs/>
          <w:color w:val="auto"/>
          <w:highlight w:val="none"/>
        </w:rPr>
        <w:t>3</w:t>
      </w:r>
      <w:r>
        <w:rPr>
          <w:rFonts w:hint="default" w:ascii="Times New Roman" w:hAnsi="Times New Roman" w:eastAsia="仿宋_GB2312" w:cs="Times New Roman"/>
          <w:b/>
          <w:bCs/>
          <w:color w:val="auto"/>
          <w:highlight w:val="none"/>
          <w:lang w:val="en-US" w:eastAsia="zh-CN"/>
        </w:rPr>
        <w:t>.</w:t>
      </w:r>
      <w:r>
        <w:rPr>
          <w:rFonts w:hint="default" w:ascii="Times New Roman" w:hAnsi="Times New Roman" w:eastAsia="仿宋_GB2312" w:cs="Times New Roman"/>
          <w:b/>
          <w:bCs/>
          <w:color w:val="auto"/>
          <w:highlight w:val="none"/>
        </w:rPr>
        <w:t>绩效评价方法</w:t>
      </w:r>
    </w:p>
    <w:p w14:paraId="4490C66A">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5D01992A">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278786FE">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p>
    <w:p w14:paraId="4D85B670">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（二）比较法。是指将实施情况与绩效目标、历史情况、不同部门和地区同类支出情况进行比较的方法。</w:t>
      </w:r>
    </w:p>
    <w:p w14:paraId="40654701">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（三）因素分析法。是指综合分析影响绩效目标实现、实施效果的内外部因素的方法。</w:t>
      </w:r>
    </w:p>
    <w:p w14:paraId="5BD59EC7">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（四）最低成本法。是指在绩效目标确定的前提下，成本最小者为优的方法。</w:t>
      </w:r>
    </w:p>
    <w:p w14:paraId="5161647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（五）公众评判法。是指通过专家评估、公众问卷及抽样调查等方式进行评判的方法。</w:t>
      </w:r>
    </w:p>
    <w:p w14:paraId="6467434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（六）标杆管理法。是指以国内外同行业中较高的绩效水平为标杆进行评判的方法。</w:t>
      </w:r>
    </w:p>
    <w:p w14:paraId="28A09CC3">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（七）其他评价方法。</w:t>
      </w:r>
    </w:p>
    <w:p w14:paraId="7999E75E">
      <w:pPr>
        <w:pStyle w:val="9"/>
        <w:widowControl w:val="0"/>
        <w:spacing w:before="0" w:after="0" w:line="560" w:lineRule="exact"/>
        <w:ind w:firstLine="643" w:firstLineChars="200"/>
        <w:jc w:val="both"/>
        <w:outlineLvl w:val="9"/>
        <w:rPr>
          <w:rFonts w:hint="default" w:ascii="Times New Roman" w:hAnsi="Times New Roman" w:eastAsia="仿宋_GB2312" w:cs="Times New Roman"/>
          <w:b/>
          <w:bCs/>
          <w:color w:val="auto"/>
          <w:highlight w:val="none"/>
        </w:rPr>
      </w:pPr>
      <w:r>
        <w:rPr>
          <w:rFonts w:hint="default" w:ascii="Times New Roman" w:hAnsi="Times New Roman" w:eastAsia="仿宋_GB2312" w:cs="Times New Roman"/>
          <w:b/>
          <w:bCs/>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highlight w:val="none"/>
        </w:rPr>
        <w:t>评价标准</w:t>
      </w:r>
    </w:p>
    <w:p w14:paraId="0362496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服务质量</w:t>
      </w:r>
      <w:r>
        <w:rPr>
          <w:rFonts w:hint="default" w:ascii="Times New Roman" w:hAnsi="Times New Roman" w:eastAsia="仿宋_GB2312" w:cs="Times New Roman"/>
          <w:b w:val="0"/>
          <w:bCs w:val="0"/>
          <w:color w:val="auto"/>
          <w:highlight w:val="none"/>
        </w:rPr>
        <w:t>标准。</w:t>
      </w:r>
    </w:p>
    <w:p w14:paraId="62DB61A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1</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计划标准。指以预先制定的目标、计划、预算、定额等作为评价标准。</w:t>
      </w:r>
    </w:p>
    <w:p w14:paraId="6EC8F687">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2</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行业标准。指参照国家公布的行业指标数据制定的评价标准。</w:t>
      </w:r>
    </w:p>
    <w:p w14:paraId="3F9484F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历史标准。指参照历史数据制定的评价标准，为体现绩效改进的原则，在可实现的条件下应当确定相对较高的评价标准。</w:t>
      </w:r>
    </w:p>
    <w:p w14:paraId="65D520E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财政部门和预算部门确认或认可的其他标准。</w:t>
      </w:r>
    </w:p>
    <w:p w14:paraId="7E61B24B">
      <w:pPr>
        <w:pStyle w:val="9"/>
        <w:numPr>
          <w:ilvl w:val="0"/>
          <w:numId w:val="3"/>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1D2073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27C305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05154B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32D244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18EB6C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59D1C1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797A53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561EEE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0F763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4576D7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5660B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2CADA0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8FAB658">
      <w:pPr>
        <w:numPr>
          <w:ilvl w:val="0"/>
          <w:numId w:val="4"/>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176279F3">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29EC07E2">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宋体" w:hAnsi="宋体" w:eastAsia="宋体" w:cs="宋体"/>
          <w:i w:val="0"/>
          <w:caps w:val="0"/>
          <w:color w:val="auto"/>
          <w:spacing w:val="0"/>
          <w:sz w:val="32"/>
          <w:szCs w:val="32"/>
          <w:highlight w:val="none"/>
          <w:shd w:val="clear" w:color="auto" w:fill="FFFFFF"/>
        </w:rPr>
        <w:t>托里县残疾人联合会残疾人事业发展补助资金</w:t>
      </w:r>
      <w:r>
        <w:rPr>
          <w:rFonts w:hint="default" w:ascii="Times New Roman" w:hAnsi="Times New Roman" w:eastAsia="仿宋_GB2312" w:cs="Times New Roman"/>
          <w:color w:val="auto"/>
          <w:sz w:val="32"/>
          <w:szCs w:val="32"/>
          <w:highlight w:val="none"/>
        </w:rPr>
        <w:t>在</w:t>
      </w:r>
      <w:r>
        <w:rPr>
          <w:rFonts w:ascii="Arial" w:hAnsi="Arial" w:eastAsia="宋体" w:cs="Arial"/>
          <w:i w:val="0"/>
          <w:caps w:val="0"/>
          <w:color w:val="auto"/>
          <w:spacing w:val="0"/>
          <w:sz w:val="32"/>
          <w:szCs w:val="32"/>
          <w:highlight w:val="none"/>
          <w:shd w:val="clear" w:color="auto" w:fill="auto"/>
        </w:rPr>
        <w:t>残疾人基本康复</w:t>
      </w:r>
      <w:r>
        <w:rPr>
          <w:rFonts w:hint="default" w:ascii="Times New Roman" w:hAnsi="Times New Roman" w:eastAsia="仿宋_GB2312" w:cs="Times New Roman"/>
          <w:color w:val="auto"/>
          <w:sz w:val="32"/>
          <w:szCs w:val="32"/>
          <w:highlight w:val="none"/>
        </w:rPr>
        <w:t>、</w:t>
      </w:r>
      <w:r>
        <w:rPr>
          <w:rFonts w:hint="eastAsia" w:ascii="宋体" w:hAnsi="宋体" w:eastAsia="宋体" w:cs="宋体"/>
          <w:i w:val="0"/>
          <w:caps w:val="0"/>
          <w:color w:val="auto"/>
          <w:spacing w:val="0"/>
          <w:sz w:val="32"/>
          <w:szCs w:val="32"/>
          <w:highlight w:val="none"/>
          <w:shd w:val="clear" w:color="auto" w:fill="FFFFFF"/>
        </w:rPr>
        <w:t>残疾人家庭无障碍改造</w:t>
      </w:r>
      <w:r>
        <w:rPr>
          <w:rFonts w:hint="eastAsia" w:ascii="宋体" w:hAnsi="宋体" w:eastAsia="宋体" w:cs="宋体"/>
          <w:i w:val="0"/>
          <w:caps w:val="0"/>
          <w:color w:val="auto"/>
          <w:spacing w:val="0"/>
          <w:sz w:val="32"/>
          <w:szCs w:val="32"/>
          <w:highlight w:val="none"/>
          <w:shd w:val="clear" w:color="auto" w:fill="FFFFFF"/>
          <w:lang w:eastAsia="zh-CN"/>
        </w:rPr>
        <w:t>、</w:t>
      </w:r>
      <w:r>
        <w:rPr>
          <w:rFonts w:hint="eastAsia" w:ascii="宋体" w:hAnsi="宋体" w:eastAsia="宋体" w:cs="宋体"/>
          <w:i w:val="0"/>
          <w:caps w:val="0"/>
          <w:color w:val="auto"/>
          <w:spacing w:val="0"/>
          <w:sz w:val="32"/>
          <w:szCs w:val="32"/>
          <w:highlight w:val="none"/>
          <w:shd w:val="clear" w:color="auto" w:fill="FFFFFF"/>
        </w:rPr>
        <w:t>辅助器具适配服务</w:t>
      </w:r>
      <w:r>
        <w:rPr>
          <w:rFonts w:hint="default" w:ascii="Times New Roman" w:hAnsi="Times New Roman" w:eastAsia="仿宋_GB2312" w:cs="Times New Roman"/>
          <w:color w:val="auto"/>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康复残疾儿童康复、</w:t>
      </w:r>
      <w:r>
        <w:rPr>
          <w:rFonts w:hint="eastAsia" w:ascii="宋体" w:hAnsi="宋体" w:eastAsia="宋体" w:cs="宋体"/>
          <w:i w:val="0"/>
          <w:caps w:val="0"/>
          <w:color w:val="auto"/>
          <w:spacing w:val="0"/>
          <w:sz w:val="32"/>
          <w:szCs w:val="32"/>
          <w:highlight w:val="none"/>
          <w:shd w:val="clear" w:color="auto" w:fill="FFFFFF"/>
        </w:rPr>
        <w:t>资助困难残疾大学生</w:t>
      </w:r>
      <w:r>
        <w:rPr>
          <w:rFonts w:hint="eastAsia" w:ascii="宋体" w:hAnsi="宋体" w:eastAsia="宋体" w:cs="宋体"/>
          <w:i w:val="0"/>
          <w:caps w:val="0"/>
          <w:color w:val="auto"/>
          <w:spacing w:val="0"/>
          <w:sz w:val="32"/>
          <w:szCs w:val="32"/>
          <w:highlight w:val="none"/>
          <w:shd w:val="clear" w:color="auto" w:fill="FFFFFF"/>
          <w:lang w:eastAsia="zh-CN"/>
        </w:rPr>
        <w:t>工作上</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eastAsia="zh-CN"/>
        </w:rPr>
        <w:t>残疾儿童康复原计划</w:t>
      </w:r>
      <w:r>
        <w:rPr>
          <w:rFonts w:hint="eastAsia" w:eastAsia="仿宋_GB2312" w:cs="Times New Roman"/>
          <w:color w:val="auto"/>
          <w:sz w:val="32"/>
          <w:szCs w:val="32"/>
          <w:highlight w:val="none"/>
          <w:lang w:val="en-US" w:eastAsia="zh-CN"/>
        </w:rPr>
        <w:t>5名，实际完成7名儿童。补助4名</w:t>
      </w:r>
      <w:r>
        <w:rPr>
          <w:rFonts w:hint="eastAsia" w:eastAsia="仿宋_GB2312" w:cs="Times New Roman"/>
          <w:color w:val="auto"/>
          <w:sz w:val="32"/>
          <w:szCs w:val="32"/>
          <w:highlight w:val="none"/>
          <w:lang w:eastAsia="zh-CN"/>
        </w:rPr>
        <w:t>困难残疾大学生</w:t>
      </w:r>
      <w:r>
        <w:rPr>
          <w:rFonts w:hint="default" w:ascii="Times New Roman" w:hAnsi="Times New Roman" w:eastAsia="仿宋_GB2312" w:cs="Times New Roman"/>
          <w:color w:val="auto"/>
          <w:sz w:val="32"/>
          <w:szCs w:val="32"/>
          <w:highlight w:val="none"/>
        </w:rPr>
        <w:t>等。</w:t>
      </w:r>
    </w:p>
    <w:p w14:paraId="1C9A6B0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托里县残联</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5B54B945">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0" w:firstLineChars="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eastAsia"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rPr>
        <w:t>效益</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经济效益</w:t>
      </w:r>
      <w:r>
        <w:rPr>
          <w:rFonts w:hint="default" w:ascii="Times New Roman" w:hAnsi="Times New Roman" w:eastAsia="仿宋_GB2312" w:cs="Times New Roman"/>
          <w:color w:val="auto"/>
          <w:sz w:val="32"/>
          <w:szCs w:val="32"/>
          <w:highlight w:val="none"/>
        </w:rPr>
        <w:t>等方面产生了积极的影响。具体而言，提高残疾人融入社会生活能力、提高残疾人康复服务水平等方面的提升，为项目的利益相关者带来了实实在在的利益。综上所述，</w:t>
      </w:r>
      <w:r>
        <w:rPr>
          <w:rFonts w:hint="eastAsia" w:ascii="Times New Roman" w:hAnsi="Times New Roman" w:eastAsia="仿宋_GB2312" w:cs="Times New Roman"/>
          <w:color w:val="auto"/>
          <w:sz w:val="32"/>
          <w:szCs w:val="32"/>
          <w:highlight w:val="none"/>
        </w:rPr>
        <w:t>托里县残疾人联合会残疾人事业发展补助资金</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14:paraId="2A08E9D9">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32ACCDE3">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color w:val="auto"/>
          <w:highlight w:val="none"/>
          <w:lang w:val="en-US" w:eastAsia="zh-CN"/>
        </w:rPr>
        <w:t>90</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30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4E57DB51">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2"/>
        <w:tblW w:w="8760" w:type="dxa"/>
        <w:jc w:val="center"/>
        <w:tblLayout w:type="fixed"/>
        <w:tblCellMar>
          <w:top w:w="0" w:type="dxa"/>
          <w:left w:w="108" w:type="dxa"/>
          <w:bottom w:w="0" w:type="dxa"/>
          <w:right w:w="108" w:type="dxa"/>
        </w:tblCellMar>
      </w:tblPr>
      <w:tblGrid>
        <w:gridCol w:w="2787"/>
        <w:gridCol w:w="1927"/>
        <w:gridCol w:w="2023"/>
        <w:gridCol w:w="2023"/>
      </w:tblGrid>
      <w:tr w14:paraId="44D5F5CC">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2DA76F2D">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14:paraId="5C6E1F92">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50C23F9F">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7484A190">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290D5E4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BC679D1">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492F850A">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B8E2032">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2D48C88">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0955456A">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7342DA8">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5D63ACB5">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E0B2769">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B1732F1">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513C6F8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76E4020">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22B0317E">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BA57C71">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30</w:t>
            </w:r>
          </w:p>
        </w:tc>
        <w:tc>
          <w:tcPr>
            <w:tcW w:w="2023" w:type="dxa"/>
            <w:tcBorders>
              <w:top w:val="nil"/>
              <w:left w:val="nil"/>
              <w:bottom w:val="single" w:color="auto" w:sz="4" w:space="0"/>
              <w:right w:val="single" w:color="auto" w:sz="4" w:space="0"/>
            </w:tcBorders>
            <w:shd w:val="clear" w:color="auto" w:fill="auto"/>
            <w:vAlign w:val="center"/>
          </w:tcPr>
          <w:p w14:paraId="162EFCB9">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0.75</w:t>
            </w:r>
          </w:p>
        </w:tc>
      </w:tr>
      <w:tr w14:paraId="7531D8B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DC37E79">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0009119C">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62D7B13">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F1FBF6B">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14:paraId="6A843CE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A650699">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605EAC7B">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3293A9DF">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90</w:t>
            </w:r>
          </w:p>
        </w:tc>
        <w:tc>
          <w:tcPr>
            <w:tcW w:w="2023" w:type="dxa"/>
            <w:tcBorders>
              <w:top w:val="nil"/>
              <w:left w:val="nil"/>
              <w:bottom w:val="single" w:color="auto" w:sz="4" w:space="0"/>
              <w:right w:val="single" w:color="auto" w:sz="4" w:space="0"/>
            </w:tcBorders>
            <w:shd w:val="clear" w:color="auto" w:fill="auto"/>
            <w:vAlign w:val="center"/>
          </w:tcPr>
          <w:p w14:paraId="471BC713">
            <w:pPr>
              <w:jc w:val="center"/>
              <w:rPr>
                <w:rFonts w:hint="default" w:ascii="Times New Roman" w:hAnsi="Times New Roman" w:eastAsia="仿宋_GB2312" w:cs="Times New Roman"/>
                <w:b/>
                <w:bCs/>
                <w:color w:val="auto"/>
                <w:sz w:val="21"/>
                <w:szCs w:val="21"/>
                <w:highlight w:val="none"/>
                <w:lang w:val="en-US" w:eastAsia="zh-CN"/>
              </w:rPr>
            </w:pPr>
          </w:p>
        </w:tc>
      </w:tr>
    </w:tbl>
    <w:p w14:paraId="39B7DD3E">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5A2677C1">
      <w:pPr>
        <w:pStyle w:val="9"/>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2B820BE9">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lang w:val="en-US" w:eastAsia="zh-CN"/>
        </w:rPr>
        <w:t>%。</w:t>
      </w:r>
    </w:p>
    <w:p w14:paraId="535A4EBD">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26C33ED2">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6F6AF56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861C71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57438CE0">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6C4CB28B">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6F7D0ED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7875179E">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A3D133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68F736F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6F9E3AC1">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797CE606">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6FB6D1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A6DDDD6">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FBD6C5E">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4FB2A3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28146F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351BB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0BD4005">
      <w:pPr>
        <w:pStyle w:val="9"/>
        <w:numPr>
          <w:ilvl w:val="0"/>
          <w:numId w:val="5"/>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672CF36D">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03D2E053">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4D1888BA">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5E063ED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63.22</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28493C56">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1A8B251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60.95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96.4</w:t>
      </w:r>
      <w:r>
        <w:rPr>
          <w:rFonts w:hint="default" w:ascii="Times New Roman" w:hAnsi="Times New Roman" w:eastAsia="仿宋_GB2312" w:cs="Times New Roman"/>
          <w:color w:val="auto"/>
          <w:sz w:val="32"/>
          <w:szCs w:val="32"/>
          <w:highlight w:val="none"/>
          <w:lang w:val="en-US" w:eastAsia="zh-CN"/>
        </w:rPr>
        <w:t>%。</w:t>
      </w:r>
    </w:p>
    <w:p w14:paraId="3F2A6A37">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797A36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6E744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10C3E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39ACFC8A">
      <w:pPr>
        <w:pStyle w:val="21"/>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49725FF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268D24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7636DD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6D1EE5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20D1E48D">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69408829">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22268F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7F239A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6F74A2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64F5FB63">
      <w:pPr>
        <w:pStyle w:val="10"/>
        <w:numPr>
          <w:ilvl w:val="0"/>
          <w:numId w:val="5"/>
        </w:numP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14:paraId="67166F27">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1DBBDAC7">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33B00073">
      <w:pPr>
        <w:keepNext w:val="0"/>
        <w:keepLines w:val="0"/>
        <w:pageBreakBefore w:val="0"/>
        <w:widowControl w:val="0"/>
        <w:kinsoku/>
        <w:wordWrap/>
        <w:overflowPunct/>
        <w:topLinePunct w:val="0"/>
        <w:autoSpaceDE/>
        <w:autoSpaceDN/>
        <w:bidi w:val="0"/>
        <w:adjustRightInd/>
        <w:snapToGrid/>
        <w:spacing w:line="570" w:lineRule="exact"/>
        <w:ind w:firstLine="64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指标</w:t>
      </w:r>
      <w:r>
        <w:rPr>
          <w:rFonts w:hint="eastAsia" w:ascii="Times New Roman" w:hAnsi="Times New Roman" w:eastAsia="仿宋_GB2312" w:cs="仿宋_GB2312"/>
          <w:b/>
          <w:bCs w:val="0"/>
          <w:color w:val="auto"/>
          <w:sz w:val="32"/>
          <w:szCs w:val="32"/>
          <w:highlight w:val="none"/>
          <w:lang w:val="en-US" w:eastAsia="zh-CN"/>
        </w:rPr>
        <w:t>1</w:t>
      </w:r>
      <w:r>
        <w:rPr>
          <w:rFonts w:hint="eastAsia" w:ascii="仿宋_GB2312" w:hAnsi="仿宋_GB2312" w:eastAsia="仿宋_GB2312" w:cs="仿宋_GB2312"/>
          <w:b/>
          <w:bCs w:val="0"/>
          <w:color w:val="auto"/>
          <w:sz w:val="32"/>
          <w:szCs w:val="32"/>
          <w:highlight w:val="none"/>
          <w:lang w:val="en-US" w:eastAsia="zh-CN"/>
        </w:rPr>
        <w:t>：</w:t>
      </w:r>
      <w:r>
        <w:rPr>
          <w:rFonts w:hint="eastAsia" w:ascii="仿宋_GB2312" w:hAnsi="仿宋_GB2312" w:eastAsia="仿宋_GB2312" w:cs="仿宋_GB2312"/>
          <w:bCs/>
          <w:color w:val="auto"/>
          <w:sz w:val="32"/>
          <w:szCs w:val="32"/>
          <w:highlight w:val="none"/>
          <w:lang w:val="en-US" w:eastAsia="zh-CN"/>
        </w:rPr>
        <w:t xml:space="preserve"> 基本康复服务人数  ，指标值： &gt;=141人，年中监控完成值：141，自评完成值：15，指标完成率  100 %（指标完成率=（实际完成值/指标值）*</w:t>
      </w:r>
      <w:r>
        <w:rPr>
          <w:rFonts w:hint="eastAsia" w:ascii="Times New Roman" w:hAnsi="Times New Roman" w:eastAsia="仿宋_GB2312" w:cs="仿宋_GB2312"/>
          <w:bCs/>
          <w:color w:val="auto"/>
          <w:sz w:val="32"/>
          <w:szCs w:val="32"/>
          <w:highlight w:val="none"/>
          <w:lang w:val="en-US" w:eastAsia="zh-CN"/>
        </w:rPr>
        <w:t>100</w:t>
      </w:r>
      <w:r>
        <w:rPr>
          <w:rFonts w:hint="eastAsia" w:ascii="仿宋_GB2312" w:hAnsi="仿宋_GB2312" w:eastAsia="仿宋_GB2312" w:cs="仿宋_GB2312"/>
          <w:bCs/>
          <w:color w:val="auto"/>
          <w:sz w:val="32"/>
          <w:szCs w:val="32"/>
          <w:highlight w:val="none"/>
          <w:lang w:val="en-US" w:eastAsia="zh-CN"/>
        </w:rPr>
        <w:t>%）偏差0%，偏差原因及改进措施：</w:t>
      </w:r>
      <w:r>
        <w:rPr>
          <w:rFonts w:hint="eastAsia" w:ascii="仿宋_GB2312" w:eastAsia="仿宋_GB2312"/>
          <w:color w:val="auto"/>
          <w:sz w:val="32"/>
          <w:szCs w:val="32"/>
          <w:highlight w:val="none"/>
          <w:lang w:val="en-US" w:eastAsia="zh-CN"/>
        </w:rPr>
        <w:t>年中绩效运行监控完成值与全年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值均不存在偏差。年底基本康复完成人数为171人，全年本单位履职尽责，严格贯彻了补助资金用于有健康需求的经济困难残疾人家庭提供康复医疗，康复训练，支持性服务等基本康复服务。</w:t>
      </w:r>
    </w:p>
    <w:p w14:paraId="2FD52149">
      <w:pPr>
        <w:keepNext w:val="0"/>
        <w:keepLines w:val="0"/>
        <w:pageBreakBefore w:val="0"/>
        <w:numPr>
          <w:ilvl w:val="0"/>
          <w:numId w:val="0"/>
        </w:numPr>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bCs/>
          <w:color w:val="auto"/>
          <w:sz w:val="32"/>
          <w:szCs w:val="32"/>
          <w:highlight w:val="none"/>
          <w:lang w:val="en-US" w:eastAsia="zh-CN"/>
        </w:rPr>
      </w:pPr>
      <w:r>
        <w:rPr>
          <w:rFonts w:hint="eastAsia" w:ascii="仿宋_GB2312" w:hAnsi="仿宋_GB2312" w:eastAsia="仿宋_GB2312" w:cs="仿宋_GB2312"/>
          <w:b/>
          <w:bCs w:val="0"/>
          <w:color w:val="auto"/>
          <w:sz w:val="32"/>
          <w:szCs w:val="32"/>
          <w:highlight w:val="none"/>
          <w:lang w:val="en-US" w:eastAsia="zh-CN"/>
        </w:rPr>
        <w:t>指标</w:t>
      </w:r>
      <w:r>
        <w:rPr>
          <w:rFonts w:hint="eastAsia" w:ascii="Times New Roman" w:hAnsi="Times New Roman" w:eastAsia="仿宋_GB2312" w:cs="仿宋_GB2312"/>
          <w:b/>
          <w:bCs w:val="0"/>
          <w:color w:val="auto"/>
          <w:sz w:val="32"/>
          <w:szCs w:val="32"/>
          <w:highlight w:val="none"/>
          <w:lang w:val="en-US" w:eastAsia="zh-CN"/>
        </w:rPr>
        <w:t>2</w:t>
      </w:r>
      <w:r>
        <w:rPr>
          <w:rFonts w:hint="eastAsia" w:ascii="仿宋_GB2312" w:hAnsi="仿宋_GB2312" w:eastAsia="仿宋_GB2312" w:cs="仿宋_GB2312"/>
          <w:b/>
          <w:bCs w:val="0"/>
          <w:color w:val="auto"/>
          <w:sz w:val="32"/>
          <w:szCs w:val="32"/>
          <w:highlight w:val="none"/>
          <w:lang w:val="en-US" w:eastAsia="zh-CN"/>
        </w:rPr>
        <w:t>：</w:t>
      </w:r>
      <w:r>
        <w:rPr>
          <w:rFonts w:hint="eastAsia" w:ascii="仿宋_GB2312" w:hAnsi="仿宋_GB2312" w:eastAsia="仿宋_GB2312" w:cs="仿宋_GB2312"/>
          <w:bCs/>
          <w:color w:val="auto"/>
          <w:sz w:val="32"/>
          <w:szCs w:val="32"/>
          <w:highlight w:val="none"/>
          <w:lang w:val="en-US" w:eastAsia="zh-CN"/>
        </w:rPr>
        <w:t>残疾儿童康复救助人数 ，指标值：&gt;=5人，年中监控完成值：3，自评完成值：15 ，指标完成率  60 %（指标完成率=（实际完成值/指标值）*</w:t>
      </w:r>
      <w:r>
        <w:rPr>
          <w:rFonts w:hint="eastAsia" w:ascii="Times New Roman" w:hAnsi="Times New Roman" w:eastAsia="仿宋_GB2312" w:cs="仿宋_GB2312"/>
          <w:bCs/>
          <w:color w:val="auto"/>
          <w:sz w:val="32"/>
          <w:szCs w:val="32"/>
          <w:highlight w:val="none"/>
          <w:lang w:val="en-US" w:eastAsia="zh-CN"/>
        </w:rPr>
        <w:t>100</w:t>
      </w:r>
      <w:r>
        <w:rPr>
          <w:rFonts w:hint="eastAsia" w:ascii="仿宋_GB2312" w:hAnsi="仿宋_GB2312" w:eastAsia="仿宋_GB2312" w:cs="仿宋_GB2312"/>
          <w:bCs/>
          <w:color w:val="auto"/>
          <w:sz w:val="32"/>
          <w:szCs w:val="32"/>
          <w:highlight w:val="none"/>
          <w:lang w:val="en-US" w:eastAsia="zh-CN"/>
        </w:rPr>
        <w:t>%）偏差0%，偏差原因及改进措施：</w:t>
      </w:r>
      <w:r>
        <w:rPr>
          <w:rFonts w:hint="eastAsia" w:ascii="仿宋_GB2312" w:eastAsia="仿宋_GB2312"/>
          <w:color w:val="auto"/>
          <w:sz w:val="32"/>
          <w:szCs w:val="32"/>
          <w:highlight w:val="none"/>
          <w:lang w:val="en-US" w:eastAsia="zh-CN"/>
        </w:rPr>
        <w:t>年中绩效运行监控完成值与全年</w:t>
      </w:r>
      <w:r>
        <w:rPr>
          <w:rFonts w:hint="eastAsia" w:ascii="仿宋_GB2312" w:eastAsia="仿宋_GB2312"/>
          <w:color w:val="auto"/>
          <w:sz w:val="32"/>
          <w:szCs w:val="32"/>
          <w:highlight w:val="none"/>
        </w:rPr>
        <w:t>指标完成</w:t>
      </w:r>
      <w:r>
        <w:rPr>
          <w:rFonts w:hint="eastAsia" w:ascii="仿宋_GB2312" w:eastAsia="仿宋_GB2312"/>
          <w:color w:val="auto"/>
          <w:sz w:val="32"/>
          <w:szCs w:val="32"/>
          <w:highlight w:val="none"/>
          <w:lang w:val="en-US" w:eastAsia="zh-CN"/>
        </w:rPr>
        <w:t>值均不存在偏差。全年完成人数6名儿童。本单位履职尽责，严格贯彻了补助资金用于0-6岁残疾儿童健康救助及早期干预试点。为有健康需求的经济困难家庭7岁以上残疾儿童提供康复医疗，康复训练，辅助器具适配，支持性服务等基本康复服务。</w:t>
      </w:r>
    </w:p>
    <w:p w14:paraId="477CCC0A">
      <w:pPr>
        <w:pStyle w:val="2"/>
        <w:spacing w:before="0" w:after="0"/>
        <w:ind w:firstLine="643" w:firstLineChars="200"/>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指标</w:t>
      </w:r>
      <w:r>
        <w:rPr>
          <w:rFonts w:hint="eastAsia" w:ascii="Times New Roman" w:hAnsi="Times New Roman" w:eastAsia="仿宋_GB2312" w:cs="仿宋_GB2312"/>
          <w:bCs/>
          <w:color w:val="auto"/>
          <w:sz w:val="32"/>
          <w:szCs w:val="32"/>
          <w:highlight w:val="none"/>
          <w:lang w:val="en-US" w:eastAsia="zh-CN"/>
        </w:rPr>
        <w:t>3</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接受托养服务人数 ，指标值：&gt;=7人  ，年中监控完成值：7，自评完成值：15 ，指标完成率100 %</w:t>
      </w:r>
    </w:p>
    <w:p w14:paraId="64150825">
      <w:pPr>
        <w:pageBreakBefore w:val="0"/>
        <w:kinsoku/>
        <w:wordWrap/>
        <w:topLinePunct w:val="0"/>
        <w:autoSpaceDE/>
        <w:autoSpaceDN/>
        <w:bidi w:val="0"/>
        <w:adjustRightInd/>
        <w:snapToGrid/>
        <w:spacing w:line="570" w:lineRule="exact"/>
        <w:textAlignment w:val="auto"/>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bCs/>
          <w:color w:val="auto"/>
          <w:sz w:val="32"/>
          <w:szCs w:val="32"/>
          <w:highlight w:val="none"/>
          <w:lang w:val="en-US" w:eastAsia="zh-CN"/>
        </w:rPr>
        <w:t>（指标完成率=（实际完成值/指标值）*</w:t>
      </w:r>
      <w:r>
        <w:rPr>
          <w:rFonts w:hint="eastAsia" w:ascii="Times New Roman" w:hAnsi="Times New Roman" w:eastAsia="仿宋_GB2312" w:cs="仿宋_GB2312"/>
          <w:bCs/>
          <w:color w:val="auto"/>
          <w:sz w:val="32"/>
          <w:szCs w:val="32"/>
          <w:highlight w:val="none"/>
          <w:lang w:val="en-US" w:eastAsia="zh-CN"/>
        </w:rPr>
        <w:t>100</w:t>
      </w:r>
      <w:r>
        <w:rPr>
          <w:rFonts w:hint="eastAsia" w:ascii="仿宋_GB2312" w:hAnsi="仿宋_GB2312" w:eastAsia="仿宋_GB2312" w:cs="仿宋_GB2312"/>
          <w:bCs/>
          <w:color w:val="auto"/>
          <w:sz w:val="32"/>
          <w:szCs w:val="32"/>
          <w:highlight w:val="none"/>
          <w:lang w:val="en-US" w:eastAsia="zh-CN"/>
        </w:rPr>
        <w:t>%）偏差0%，偏差原因及改进措施：</w:t>
      </w:r>
      <w:r>
        <w:rPr>
          <w:rFonts w:hint="eastAsia" w:ascii="仿宋_GB2312" w:eastAsia="仿宋_GB2312"/>
          <w:color w:val="auto"/>
          <w:sz w:val="32"/>
          <w:szCs w:val="32"/>
          <w:highlight w:val="none"/>
          <w:lang w:val="en-US" w:eastAsia="zh-CN"/>
        </w:rPr>
        <w:t>年中绩效运行监控完成值与全年指标完成值均不存在偏差。给残疾人提供生活照料，解决日常生活中基本需求，给予康复服务与指导，助力残疾人尽可能恢复身体机能，使残疾人能与他人交流互动，融入集体，促进心理健康。</w:t>
      </w:r>
    </w:p>
    <w:p w14:paraId="4B1F2DB2">
      <w:pPr>
        <w:pageBreakBefore w:val="0"/>
        <w:kinsoku/>
        <w:wordWrap/>
        <w:topLinePunct w:val="0"/>
        <w:autoSpaceDE/>
        <w:autoSpaceDN/>
        <w:bidi w:val="0"/>
        <w:adjustRightInd/>
        <w:snapToGrid/>
        <w:spacing w:line="570" w:lineRule="exact"/>
        <w:ind w:firstLine="643" w:firstLineChars="200"/>
        <w:textAlignment w:val="auto"/>
        <w:rPr>
          <w:rFonts w:hint="eastAsia"/>
          <w:color w:val="auto"/>
          <w:highlight w:val="none"/>
          <w:lang w:val="en-US" w:eastAsia="zh-CN"/>
        </w:rPr>
      </w:pPr>
      <w:r>
        <w:rPr>
          <w:rFonts w:hint="eastAsia" w:ascii="仿宋_GB2312" w:hAnsi="仿宋_GB2312" w:eastAsia="仿宋_GB2312" w:cs="仿宋_GB2312"/>
          <w:b/>
          <w:bCs/>
          <w:color w:val="auto"/>
          <w:kern w:val="0"/>
          <w:sz w:val="32"/>
          <w:szCs w:val="32"/>
          <w:highlight w:val="none"/>
          <w:lang w:val="en-US" w:eastAsia="zh-CN"/>
        </w:rPr>
        <w:t>指标4：</w:t>
      </w:r>
      <w:r>
        <w:rPr>
          <w:rFonts w:hint="eastAsia" w:ascii="仿宋_GB2312" w:hAnsi="仿宋_GB2312" w:eastAsia="仿宋_GB2312" w:cs="仿宋_GB2312"/>
          <w:bCs/>
          <w:color w:val="auto"/>
          <w:sz w:val="32"/>
          <w:szCs w:val="32"/>
          <w:highlight w:val="none"/>
          <w:lang w:val="en-US" w:eastAsia="zh-CN"/>
        </w:rPr>
        <w:t>无障碍改造户数，指标值：&gt;=40户，年中监控完成值：0，自评完成值：15 ，指标完成率  0 %（指标完成率=（实际完成值/指标值）*</w:t>
      </w:r>
      <w:r>
        <w:rPr>
          <w:rFonts w:hint="eastAsia" w:ascii="Times New Roman" w:hAnsi="Times New Roman" w:eastAsia="仿宋_GB2312" w:cs="仿宋_GB2312"/>
          <w:bCs/>
          <w:color w:val="auto"/>
          <w:sz w:val="32"/>
          <w:szCs w:val="32"/>
          <w:highlight w:val="none"/>
          <w:lang w:val="en-US" w:eastAsia="zh-CN"/>
        </w:rPr>
        <w:t>100</w:t>
      </w:r>
      <w:r>
        <w:rPr>
          <w:rFonts w:hint="eastAsia" w:ascii="仿宋_GB2312" w:hAnsi="仿宋_GB2312" w:eastAsia="仿宋_GB2312" w:cs="仿宋_GB2312"/>
          <w:bCs/>
          <w:color w:val="auto"/>
          <w:sz w:val="32"/>
          <w:szCs w:val="32"/>
          <w:highlight w:val="none"/>
          <w:lang w:val="en-US" w:eastAsia="zh-CN"/>
        </w:rPr>
        <w:t>%）偏差</w:t>
      </w:r>
      <w:r>
        <w:rPr>
          <w:rFonts w:hint="eastAsia" w:cs="仿宋_GB2312"/>
          <w:bCs/>
          <w:color w:val="auto"/>
          <w:sz w:val="32"/>
          <w:szCs w:val="32"/>
          <w:highlight w:val="none"/>
          <w:lang w:val="en-US" w:eastAsia="zh-CN"/>
        </w:rPr>
        <w:t>0</w:t>
      </w:r>
      <w:r>
        <w:rPr>
          <w:rFonts w:hint="eastAsia" w:ascii="仿宋_GB2312" w:hAnsi="仿宋_GB2312" w:eastAsia="仿宋_GB2312" w:cs="仿宋_GB2312"/>
          <w:bCs/>
          <w:color w:val="auto"/>
          <w:sz w:val="32"/>
          <w:szCs w:val="32"/>
          <w:highlight w:val="none"/>
          <w:lang w:val="en-US" w:eastAsia="zh-CN"/>
        </w:rPr>
        <w:t>%，偏差原因及改进措施：</w:t>
      </w:r>
      <w:r>
        <w:rPr>
          <w:rFonts w:hint="eastAsia" w:cs="仿宋_GB2312"/>
          <w:bCs/>
          <w:color w:val="auto"/>
          <w:sz w:val="32"/>
          <w:szCs w:val="32"/>
          <w:highlight w:val="none"/>
          <w:lang w:val="en-US" w:eastAsia="zh-CN"/>
        </w:rPr>
        <w:t>年底全部完成40户无障碍改造户，</w:t>
      </w:r>
      <w:r>
        <w:rPr>
          <w:rFonts w:hint="eastAsia" w:ascii="仿宋_GB2312" w:eastAsia="仿宋_GB2312"/>
          <w:color w:val="auto"/>
          <w:sz w:val="32"/>
          <w:szCs w:val="32"/>
          <w:highlight w:val="none"/>
          <w:lang w:val="en-US" w:eastAsia="zh-CN"/>
        </w:rPr>
        <w:t>年中绩效运行监控完成值与全年指标完成值均不存在偏差。全年本单位履职尽责，严格贯彻了为困难残疾人家庭实施无障碍改造，包括地面平整及坡化：低位壮台（盲人家庭壮台有煤气泄漏报警装置），房门改造，坐便器改造，安装卫生间热水器，扶手或抓杆（洗手池扶手，坐便器扶手）。</w:t>
      </w:r>
    </w:p>
    <w:p w14:paraId="5D9C65E5">
      <w:pPr>
        <w:pStyle w:val="2"/>
        <w:spacing w:before="0" w:after="0"/>
        <w:ind w:firstLine="643" w:firstLineChars="200"/>
        <w:rPr>
          <w:rFonts w:hint="default"/>
          <w:b w:val="0"/>
          <w:bCs w:val="0"/>
          <w:color w:val="auto"/>
          <w:highlight w:val="none"/>
          <w:lang w:val="en-US" w:eastAsia="zh-CN"/>
        </w:rPr>
      </w:pPr>
      <w:r>
        <w:rPr>
          <w:rFonts w:hint="eastAsia" w:ascii="仿宋_GB2312" w:hAnsi="仿宋_GB2312" w:eastAsia="仿宋_GB2312" w:cs="仿宋_GB2312"/>
          <w:bCs/>
          <w:color w:val="auto"/>
          <w:sz w:val="32"/>
          <w:szCs w:val="32"/>
          <w:highlight w:val="none"/>
          <w:lang w:val="en-US" w:eastAsia="zh-CN"/>
        </w:rPr>
        <w:t>指标</w:t>
      </w:r>
      <w:r>
        <w:rPr>
          <w:rFonts w:hint="eastAsia" w:ascii="Times New Roman" w:hAnsi="Times New Roman" w:eastAsia="仿宋_GB2312" w:cs="仿宋_GB2312"/>
          <w:bCs/>
          <w:color w:val="auto"/>
          <w:sz w:val="32"/>
          <w:szCs w:val="32"/>
          <w:highlight w:val="none"/>
          <w:lang w:val="en-US" w:eastAsia="zh-CN"/>
        </w:rPr>
        <w:t>5</w:t>
      </w:r>
      <w:r>
        <w:rPr>
          <w:rFonts w:hint="eastAsia" w:ascii="仿宋_GB2312" w:hAnsi="仿宋_GB2312" w:eastAsia="仿宋_GB2312" w:cs="仿宋_GB2312"/>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辅助器具适配服务人数 ，指标值：&gt;=19人  ，年中监控完成值：0，自评完成值：15 ，指标完成率0 %（指标完成率=（实际完成值/指标值）*</w:t>
      </w:r>
      <w:r>
        <w:rPr>
          <w:rFonts w:hint="eastAsia" w:ascii="Times New Roman" w:hAnsi="Times New Roman"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lang w:val="en-US" w:eastAsia="zh-CN"/>
        </w:rPr>
        <w:t>%）偏差</w:t>
      </w:r>
      <w:r>
        <w:rPr>
          <w:rFonts w:hint="eastAsia"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lang w:val="en-US" w:eastAsia="zh-CN"/>
        </w:rPr>
        <w:t>%，偏差原因及改进措施：</w:t>
      </w:r>
      <w:r>
        <w:rPr>
          <w:rFonts w:hint="eastAsia" w:ascii="仿宋_GB2312" w:eastAsia="仿宋_GB2312"/>
          <w:b w:val="0"/>
          <w:bCs w:val="0"/>
          <w:color w:val="auto"/>
          <w:sz w:val="32"/>
          <w:szCs w:val="32"/>
          <w:highlight w:val="none"/>
          <w:lang w:val="en-US" w:eastAsia="zh-CN"/>
        </w:rPr>
        <w:t>年中绩效运行监控完成值与全年指标完成值均不存在偏差。全年本单位履职尽责，</w:t>
      </w:r>
      <w:r>
        <w:rPr>
          <w:rFonts w:hint="eastAsia"/>
          <w:b w:val="0"/>
          <w:bCs w:val="0"/>
          <w:color w:val="auto"/>
          <w:sz w:val="32"/>
          <w:szCs w:val="32"/>
          <w:highlight w:val="none"/>
          <w:lang w:val="en-US" w:eastAsia="zh-CN"/>
        </w:rPr>
        <w:t>年初预算加上下半年下达的第二批资金全年完成117人</w:t>
      </w:r>
      <w:r>
        <w:rPr>
          <w:rFonts w:hint="eastAsia" w:ascii="仿宋_GB2312" w:hAnsi="仿宋_GB2312" w:eastAsia="仿宋_GB2312" w:cs="仿宋_GB2312"/>
          <w:b w:val="0"/>
          <w:bCs w:val="0"/>
          <w:color w:val="auto"/>
          <w:sz w:val="32"/>
          <w:szCs w:val="32"/>
          <w:highlight w:val="none"/>
          <w:lang w:val="en-US" w:eastAsia="zh-CN"/>
        </w:rPr>
        <w:t>辅助器具适配服务</w:t>
      </w:r>
      <w:r>
        <w:rPr>
          <w:rFonts w:hint="eastAsia" w:cs="仿宋_GB2312"/>
          <w:b w:val="0"/>
          <w:bCs w:val="0"/>
          <w:color w:val="auto"/>
          <w:sz w:val="32"/>
          <w:szCs w:val="32"/>
          <w:highlight w:val="none"/>
          <w:lang w:val="en-US" w:eastAsia="zh-CN"/>
        </w:rPr>
        <w:t>。</w:t>
      </w:r>
    </w:p>
    <w:p w14:paraId="162B9DE6">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r>
        <w:rPr>
          <w:rFonts w:hint="eastAsia" w:ascii="仿宋_GB2312" w:hAnsi="仿宋_GB2312" w:eastAsia="仿宋_GB2312" w:cs="仿宋_GB2312"/>
          <w:bCs/>
          <w:color w:val="auto"/>
          <w:sz w:val="32"/>
          <w:szCs w:val="32"/>
          <w:highlight w:val="none"/>
          <w:lang w:val="en-US" w:eastAsia="zh-CN"/>
        </w:rPr>
        <w:t>指标</w:t>
      </w:r>
      <w:r>
        <w:rPr>
          <w:rFonts w:hint="eastAsia" w:ascii="Times New Roman" w:hAnsi="Times New Roman" w:eastAsia="仿宋_GB2312" w:cs="仿宋_GB2312"/>
          <w:bCs/>
          <w:color w:val="auto"/>
          <w:sz w:val="32"/>
          <w:szCs w:val="32"/>
          <w:highlight w:val="none"/>
          <w:lang w:val="en-US" w:eastAsia="zh-CN"/>
        </w:rPr>
        <w:t>1</w:t>
      </w:r>
      <w:r>
        <w:rPr>
          <w:rFonts w:hint="eastAsia" w:ascii="仿宋_GB2312" w:hAnsi="仿宋_GB2312" w:eastAsia="仿宋_GB2312" w:cs="仿宋_GB2312"/>
          <w:bCs/>
          <w:color w:val="auto"/>
          <w:sz w:val="32"/>
          <w:szCs w:val="32"/>
          <w:highlight w:val="none"/>
          <w:lang w:val="en-US" w:eastAsia="zh-CN"/>
        </w:rPr>
        <w:t>： 残疾人辅助器具设配率 ，指标值： &gt;=100%，年中监控完成值：50%，自评完成值：15，指标完成率  100%（指标完成率=（实际完成值/指标值）*</w:t>
      </w:r>
      <w:r>
        <w:rPr>
          <w:rFonts w:hint="eastAsia" w:ascii="Times New Roman" w:hAnsi="Times New Roman" w:eastAsia="仿宋_GB2312" w:cs="仿宋_GB2312"/>
          <w:bCs/>
          <w:color w:val="auto"/>
          <w:sz w:val="32"/>
          <w:szCs w:val="32"/>
          <w:highlight w:val="none"/>
          <w:lang w:val="en-US" w:eastAsia="zh-CN"/>
        </w:rPr>
        <w:t>100</w:t>
      </w:r>
      <w:r>
        <w:rPr>
          <w:rFonts w:hint="eastAsia" w:ascii="仿宋_GB2312" w:hAnsi="仿宋_GB2312" w:eastAsia="仿宋_GB2312" w:cs="仿宋_GB2312"/>
          <w:bCs/>
          <w:color w:val="auto"/>
          <w:sz w:val="32"/>
          <w:szCs w:val="32"/>
          <w:highlight w:val="none"/>
          <w:lang w:val="en-US" w:eastAsia="zh-CN"/>
        </w:rPr>
        <w:t>%）偏差0%，偏差原因及改进措施：</w:t>
      </w:r>
      <w:r>
        <w:rPr>
          <w:rFonts w:hint="eastAsia" w:ascii="仿宋_GB2312" w:hAnsi="仿宋" w:eastAsia="仿宋_GB2312" w:cs="Times New Roman"/>
          <w:b w:val="0"/>
          <w:color w:val="auto"/>
          <w:kern w:val="2"/>
          <w:sz w:val="32"/>
          <w:szCs w:val="32"/>
          <w:highlight w:val="none"/>
          <w:lang w:val="en-US" w:eastAsia="zh-CN" w:bidi="ar-SA"/>
        </w:rPr>
        <w:t>全年指标完成率为100% ，</w:t>
      </w:r>
      <w:r>
        <w:rPr>
          <w:rFonts w:hint="eastAsia" w:ascii="仿宋_GB2312" w:hAnsi="仿宋_GB2312" w:eastAsia="仿宋_GB2312" w:cs="仿宋_GB2312"/>
          <w:bCs/>
          <w:color w:val="auto"/>
          <w:sz w:val="32"/>
          <w:szCs w:val="32"/>
          <w:highlight w:val="none"/>
          <w:lang w:val="en-US" w:eastAsia="zh-CN"/>
        </w:rPr>
        <w:t>残疾人辅助器具设配率</w:t>
      </w:r>
      <w:r>
        <w:rPr>
          <w:rFonts w:hint="eastAsia" w:ascii="仿宋_GB2312" w:hAnsi="仿宋" w:eastAsia="仿宋_GB2312" w:cs="Times New Roman"/>
          <w:b w:val="0"/>
          <w:color w:val="auto"/>
          <w:kern w:val="2"/>
          <w:sz w:val="32"/>
          <w:szCs w:val="32"/>
          <w:highlight w:val="none"/>
          <w:lang w:val="en-US" w:eastAsia="zh-CN" w:bidi="ar-SA"/>
        </w:rPr>
        <w:t xml:space="preserve">提高残疾人的生活质量。 </w:t>
      </w:r>
    </w:p>
    <w:p w14:paraId="0BD462E0">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r>
        <w:rPr>
          <w:rFonts w:hint="eastAsia" w:eastAsia="仿宋_GB2312" w:cs="Times New Roman"/>
          <w:color w:val="auto"/>
          <w:sz w:val="32"/>
          <w:szCs w:val="32"/>
          <w:highlight w:val="none"/>
          <w:lang w:val="en-US" w:eastAsia="zh-CN"/>
        </w:rPr>
        <w:t>2024年12月24日项目已完成，完成率100%。</w:t>
      </w:r>
    </w:p>
    <w:p w14:paraId="20894C10">
      <w:pPr>
        <w:pStyle w:val="10"/>
        <w:numPr>
          <w:ilvl w:val="0"/>
          <w:numId w:val="5"/>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53B971B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3D6D0FD7">
      <w:pPr>
        <w:shd w:val="clear" w:color="auto" w:fill="auto"/>
        <w:spacing w:line="600" w:lineRule="exact"/>
        <w:ind w:firstLine="640" w:firstLineChars="200"/>
        <w:outlineLvl w:val="0"/>
        <w:rPr>
          <w:rFonts w:hint="default" w:ascii="Times New Roman" w:hAnsi="Times New Roman" w:eastAsia="宋体"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社会效益指标：</w:t>
      </w:r>
      <w:r>
        <w:rPr>
          <w:rFonts w:hint="default" w:ascii="Times New Roman" w:hAnsi="Times New Roman" w:eastAsia="仿宋_GB2312" w:cs="Times New Roman"/>
          <w:color w:val="auto"/>
          <w:sz w:val="32"/>
          <w:szCs w:val="32"/>
          <w:highlight w:val="none"/>
          <w:lang w:val="en-US" w:eastAsia="zh-CN"/>
        </w:rPr>
        <w:t>提高残疾人融入社会生活能力</w:t>
      </w:r>
      <w:r>
        <w:rPr>
          <w:rFonts w:hint="eastAsia" w:ascii="Times New Roman" w:hAnsi="Times New Roman" w:eastAsia="仿宋_GB2312" w:cs="Times New Roman"/>
          <w:color w:val="auto"/>
          <w:sz w:val="32"/>
          <w:szCs w:val="32"/>
          <w:highlight w:val="none"/>
          <w:lang w:val="en-US" w:eastAsia="zh-CN"/>
        </w:rPr>
        <w:t>100%</w:t>
      </w:r>
      <w:r>
        <w:rPr>
          <w:rFonts w:hint="eastAsia" w:eastAsia="仿宋_GB2312" w:cs="Times New Roman"/>
          <w:color w:val="auto"/>
          <w:sz w:val="32"/>
          <w:szCs w:val="32"/>
          <w:highlight w:val="none"/>
          <w:lang w:val="en-US" w:eastAsia="zh-CN"/>
        </w:rPr>
        <w:t>。</w:t>
      </w:r>
    </w:p>
    <w:p w14:paraId="1EDA6269">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r>
        <w:rPr>
          <w:rFonts w:hint="eastAsia" w:eastAsia="仿宋_GB2312" w:cs="Times New Roman"/>
          <w:color w:val="auto"/>
          <w:sz w:val="32"/>
          <w:szCs w:val="32"/>
          <w:highlight w:val="none"/>
          <w:lang w:val="en-US" w:eastAsia="zh-CN"/>
        </w:rPr>
        <w:t>；残疾人满意度95%</w:t>
      </w:r>
    </w:p>
    <w:p w14:paraId="2913BDE9">
      <w:pPr>
        <w:spacing w:line="560" w:lineRule="exact"/>
        <w:ind w:firstLine="643" w:firstLineChars="200"/>
        <w:rPr>
          <w:rFonts w:hint="default" w:ascii="Times New Roman" w:hAnsi="Times New Roman" w:eastAsia="楷体_GB2312" w:cs="Times New Roman"/>
          <w:b/>
          <w:bCs/>
          <w:color w:val="auto"/>
          <w:sz w:val="32"/>
          <w:szCs w:val="32"/>
          <w:highlight w:val="none"/>
          <w:lang w:val="en-U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rPr>
        <w:t>预算执行进度与绩效指标总体完成率偏差</w:t>
      </w:r>
    </w:p>
    <w:p w14:paraId="2C5BBB0B">
      <w:pPr>
        <w:pStyle w:val="21"/>
        <w:spacing w:line="560" w:lineRule="exact"/>
        <w:ind w:firstLine="640"/>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项目年初预算</w:t>
      </w:r>
      <w:r>
        <w:rPr>
          <w:rFonts w:hint="eastAsia" w:eastAsia="方正仿宋_GBK" w:cs="Times New Roman"/>
          <w:color w:val="auto"/>
          <w:sz w:val="32"/>
          <w:szCs w:val="32"/>
          <w:highlight w:val="none"/>
          <w:lang w:val="en-US" w:eastAsia="zh-CN"/>
        </w:rPr>
        <w:t>45.17</w:t>
      </w:r>
      <w:r>
        <w:rPr>
          <w:rFonts w:hint="default" w:ascii="Times New Roman" w:hAnsi="Times New Roman" w:eastAsia="方正仿宋_GBK" w:cs="Times New Roman"/>
          <w:color w:val="auto"/>
          <w:sz w:val="32"/>
          <w:szCs w:val="32"/>
          <w:highlight w:val="none"/>
        </w:rPr>
        <w:t>万元，全年预算</w:t>
      </w:r>
      <w:r>
        <w:rPr>
          <w:rFonts w:hint="eastAsia" w:eastAsia="方正仿宋_GBK" w:cs="Times New Roman"/>
          <w:color w:val="auto"/>
          <w:sz w:val="32"/>
          <w:szCs w:val="32"/>
          <w:highlight w:val="none"/>
          <w:lang w:val="en-US" w:eastAsia="zh-CN"/>
        </w:rPr>
        <w:t>63.22</w:t>
      </w:r>
      <w:r>
        <w:rPr>
          <w:rFonts w:hint="default" w:ascii="Times New Roman" w:hAnsi="Times New Roman" w:eastAsia="方正仿宋_GBK" w:cs="Times New Roman"/>
          <w:color w:val="auto"/>
          <w:sz w:val="32"/>
          <w:szCs w:val="32"/>
          <w:highlight w:val="none"/>
        </w:rPr>
        <w:t>万元，实际支出</w:t>
      </w:r>
      <w:r>
        <w:rPr>
          <w:rFonts w:hint="eastAsia" w:eastAsia="方正仿宋_GBK" w:cs="Times New Roman"/>
          <w:color w:val="auto"/>
          <w:sz w:val="32"/>
          <w:szCs w:val="32"/>
          <w:highlight w:val="none"/>
          <w:lang w:val="en-US" w:eastAsia="zh-CN"/>
        </w:rPr>
        <w:t>60.95</w:t>
      </w:r>
      <w:r>
        <w:rPr>
          <w:rFonts w:hint="default" w:ascii="Times New Roman" w:hAnsi="Times New Roman" w:eastAsia="方正仿宋_GBK" w:cs="Times New Roman"/>
          <w:color w:val="auto"/>
          <w:sz w:val="32"/>
          <w:szCs w:val="32"/>
          <w:highlight w:val="none"/>
        </w:rPr>
        <w:t>万元，预算执行率为</w:t>
      </w:r>
      <w:r>
        <w:rPr>
          <w:rFonts w:hint="eastAsia" w:eastAsia="方正仿宋_GBK" w:cs="Times New Roman"/>
          <w:color w:val="auto"/>
          <w:sz w:val="32"/>
          <w:szCs w:val="32"/>
          <w:highlight w:val="none"/>
          <w:lang w:val="en-US" w:eastAsia="zh-CN"/>
        </w:rPr>
        <w:t>96.4</w:t>
      </w:r>
      <w:r>
        <w:rPr>
          <w:rFonts w:hint="default" w:ascii="Times New Roman" w:hAnsi="Times New Roman" w:eastAsia="方正仿宋_GBK" w:cs="Times New Roman"/>
          <w:color w:val="auto"/>
          <w:sz w:val="32"/>
          <w:szCs w:val="32"/>
          <w:highlight w:val="none"/>
        </w:rPr>
        <w:t>%，项目绩效指标总体完成率为</w:t>
      </w:r>
      <w:r>
        <w:rPr>
          <w:rFonts w:hint="eastAsia"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%，总体偏差率为</w:t>
      </w:r>
      <w:r>
        <w:rPr>
          <w:rFonts w:hint="eastAsia"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w:t>
      </w:r>
      <w:r>
        <w:rPr>
          <w:rFonts w:hint="eastAsia" w:ascii="Times New Roman" w:hAnsi="Times New Roman" w:cs="Times New Roman"/>
          <w:color w:val="auto"/>
          <w:highlight w:val="none"/>
          <w:lang w:eastAsia="zh-CN"/>
        </w:rPr>
        <w:t>，</w:t>
      </w:r>
      <w:r>
        <w:rPr>
          <w:rFonts w:hint="default" w:ascii="Times New Roman" w:hAnsi="Times New Roman" w:eastAsia="方正仿宋_GBK" w:cs="Times New Roman"/>
          <w:color w:val="auto"/>
          <w:sz w:val="32"/>
          <w:szCs w:val="32"/>
          <w:highlight w:val="none"/>
        </w:rPr>
        <w:t>偏差原因</w:t>
      </w:r>
      <w:r>
        <w:rPr>
          <w:rFonts w:hint="eastAsia" w:eastAsia="方正仿宋_GBK" w:cs="Times New Roman"/>
          <w:color w:val="auto"/>
          <w:sz w:val="32"/>
          <w:szCs w:val="32"/>
          <w:highlight w:val="none"/>
          <w:lang w:val="en-US" w:eastAsia="zh-CN"/>
        </w:rPr>
        <w:t>无</w:t>
      </w:r>
      <w:r>
        <w:rPr>
          <w:rFonts w:hint="default" w:ascii="Times New Roman" w:hAnsi="Times New Roman" w:eastAsia="方正仿宋_GBK" w:cs="Times New Roman"/>
          <w:color w:val="auto"/>
          <w:sz w:val="32"/>
          <w:szCs w:val="32"/>
          <w:highlight w:val="none"/>
        </w:rPr>
        <w:t>，改进措施</w:t>
      </w:r>
      <w:r>
        <w:rPr>
          <w:rFonts w:hint="eastAsia" w:eastAsia="方正仿宋_GBK" w:cs="Times New Roman"/>
          <w:color w:val="auto"/>
          <w:sz w:val="32"/>
          <w:szCs w:val="32"/>
          <w:highlight w:val="none"/>
          <w:lang w:val="en-US" w:eastAsia="zh-CN"/>
        </w:rPr>
        <w:t>无</w:t>
      </w:r>
      <w:r>
        <w:rPr>
          <w:rFonts w:hint="default" w:ascii="Times New Roman" w:hAnsi="Times New Roman" w:eastAsia="方正仿宋_GBK" w:cs="Times New Roman"/>
          <w:color w:val="auto"/>
          <w:sz w:val="32"/>
          <w:szCs w:val="32"/>
          <w:highlight w:val="none"/>
        </w:rPr>
        <w:t>。</w:t>
      </w:r>
    </w:p>
    <w:p w14:paraId="2904EE63">
      <w:pPr>
        <w:spacing w:line="560" w:lineRule="exact"/>
        <w:ind w:firstLine="640" w:firstLineChars="200"/>
        <w:rPr>
          <w:rStyle w:val="20"/>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14:paraId="5DC87900">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14:paraId="3DAEB44A">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002F4D3">
      <w:pPr>
        <w:pStyle w:val="9"/>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447039F">
      <w:pPr>
        <w:keepNext/>
        <w:keepLines/>
        <w:numPr>
          <w:ilvl w:val="0"/>
          <w:numId w:val="6"/>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14:paraId="7BCEE2D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3F3D3A1B">
      <w:pPr>
        <w:pStyle w:val="26"/>
        <w:pageBreakBefore w:val="0"/>
        <w:kinsoku/>
        <w:wordWrap/>
        <w:topLinePunct w:val="0"/>
        <w:autoSpaceDE/>
        <w:autoSpaceDN/>
        <w:bidi w:val="0"/>
        <w:adjustRightInd/>
        <w:snapToGrid/>
        <w:spacing w:line="570" w:lineRule="exact"/>
        <w:ind w:firstLine="624"/>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w:t>
      </w:r>
      <w:r>
        <w:rPr>
          <w:rStyle w:val="15"/>
          <w:rFonts w:hint="eastAsia" w:ascii="仿宋_GB2312" w:hAnsi="仿宋_GB2312" w:eastAsia="仿宋_GB2312" w:cs="仿宋_GB2312"/>
          <w:b w:val="0"/>
          <w:bCs w:val="0"/>
          <w:color w:val="auto"/>
          <w:spacing w:val="-4"/>
          <w:sz w:val="32"/>
          <w:szCs w:val="32"/>
          <w:highlight w:val="none"/>
        </w:rPr>
        <w:t>提高资金的使用效益。</w:t>
      </w:r>
      <w:r>
        <w:rPr>
          <w:rStyle w:val="15"/>
          <w:rFonts w:hint="eastAsia" w:ascii="仿宋_GB2312" w:hAnsi="仿宋_GB2312" w:eastAsia="仿宋_GB2312" w:cs="仿宋_GB2312"/>
          <w:b w:val="0"/>
          <w:bCs w:val="0"/>
          <w:color w:val="auto"/>
          <w:spacing w:val="-4"/>
          <w:sz w:val="32"/>
          <w:szCs w:val="32"/>
          <w:highlight w:val="none"/>
          <w:lang w:val="en-US" w:eastAsia="zh-CN"/>
        </w:rPr>
        <w:t>本单位将</w:t>
      </w:r>
      <w:r>
        <w:rPr>
          <w:rStyle w:val="15"/>
          <w:rFonts w:hint="eastAsia" w:ascii="仿宋_GB2312" w:hAnsi="仿宋_GB2312" w:eastAsia="仿宋_GB2312" w:cs="仿宋_GB2312"/>
          <w:b w:val="0"/>
          <w:bCs w:val="0"/>
          <w:color w:val="auto"/>
          <w:spacing w:val="-4"/>
          <w:sz w:val="32"/>
          <w:szCs w:val="32"/>
          <w:highlight w:val="none"/>
        </w:rPr>
        <w:t>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w:t>
      </w:r>
    </w:p>
    <w:p w14:paraId="6FFCE5B5">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14:paraId="3127E2C8">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406D734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4ABFC60A">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135762A">
      <w:pPr>
        <w:shd w:val="clear" w:color="auto" w:fill="auto"/>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14:paraId="284C86D0">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F6E2EF9">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14:paraId="3A226D0E">
      <w:pPr>
        <w:pStyle w:val="11"/>
        <w:spacing w:after="0" w:line="560" w:lineRule="exact"/>
        <w:ind w:left="0" w:leftChars="0"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本项目无其他需说明的问题。</w:t>
      </w:r>
    </w:p>
    <w:p w14:paraId="712ACF0F">
      <w:pPr>
        <w:pStyle w:val="11"/>
        <w:spacing w:after="0" w:line="560" w:lineRule="exact"/>
        <w:ind w:left="0" w:leftChars="0" w:firstLine="0" w:firstLineChars="0"/>
        <w:rPr>
          <w:rFonts w:hint="eastAsia" w:ascii="Times New Roman" w:hAnsi="Times New Roman" w:eastAsia="仿宋_GB2312" w:cs="Times New Roman"/>
          <w:color w:val="auto"/>
          <w:sz w:val="32"/>
          <w:szCs w:val="32"/>
          <w:highlight w:val="none"/>
          <w:lang w:eastAsia="zh-CN"/>
        </w:rPr>
      </w:pPr>
    </w:p>
    <w:p w14:paraId="0F9A6926">
      <w:pPr>
        <w:pStyle w:val="11"/>
        <w:spacing w:after="0" w:line="560" w:lineRule="exact"/>
        <w:ind w:left="0" w:leftChars="0" w:firstLine="640"/>
        <w:rPr>
          <w:rFonts w:hint="default" w:ascii="Times New Roman" w:hAnsi="Times New Roman" w:eastAsia="仿宋_GB2312" w:cs="Times New Roman"/>
          <w:color w:val="auto"/>
          <w:sz w:val="32"/>
          <w:szCs w:val="32"/>
          <w:highlight w:val="none"/>
        </w:rPr>
      </w:pPr>
    </w:p>
    <w:p w14:paraId="5F64A42E">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493F9844">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42BDC3A-ECA3-47A9-8B6A-AD05A25A37EB}"/>
  </w:font>
  <w:font w:name="黑体">
    <w:panose1 w:val="02010609060101010101"/>
    <w:charset w:val="86"/>
    <w:family w:val="auto"/>
    <w:pitch w:val="default"/>
    <w:sig w:usb0="800002BF" w:usb1="38CF7CFA" w:usb2="00000016" w:usb3="00000000" w:csb0="00040001" w:csb1="00000000"/>
    <w:embedRegular r:id="rId2" w:fontKey="{4930273A-BEA9-4E99-BF71-A92E139DA9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3" w:fontKey="{B98D08D6-A524-4DEE-BB27-DE625D3F63C2}"/>
  </w:font>
  <w:font w:name="仿宋">
    <w:panose1 w:val="02010609060101010101"/>
    <w:charset w:val="86"/>
    <w:family w:val="auto"/>
    <w:pitch w:val="default"/>
    <w:sig w:usb0="800002BF" w:usb1="38CF7CFA" w:usb2="00000016" w:usb3="00000000" w:csb0="00040001" w:csb1="00000000"/>
    <w:embedRegular r:id="rId4" w:fontKey="{C9F27B3F-A6ED-4A0A-A0FF-09CD5BECE4E7}"/>
  </w:font>
  <w:font w:name="华文中宋">
    <w:panose1 w:val="02010600040101010101"/>
    <w:charset w:val="86"/>
    <w:family w:val="auto"/>
    <w:pitch w:val="default"/>
    <w:sig w:usb0="00000287" w:usb1="080F0000" w:usb2="00000000" w:usb3="00000000" w:csb0="0004009F" w:csb1="DFD70000"/>
    <w:embedRegular r:id="rId5" w:fontKey="{2EBE92F5-3C15-45FB-952D-9C0166AA810A}"/>
  </w:font>
  <w:font w:name="方正小标宋_GBK">
    <w:panose1 w:val="02000000000000000000"/>
    <w:charset w:val="86"/>
    <w:family w:val="script"/>
    <w:pitch w:val="default"/>
    <w:sig w:usb0="A00002BF" w:usb1="38CF7CFA" w:usb2="00082016" w:usb3="00000000" w:csb0="00040001" w:csb1="00000000"/>
    <w:embedRegular r:id="rId6" w:fontKey="{4CEA3369-D660-4418-BEAE-483E084811E0}"/>
  </w:font>
  <w:font w:name="楷体_GB2312">
    <w:altName w:val="楷体"/>
    <w:panose1 w:val="00000000000000000000"/>
    <w:charset w:val="86"/>
    <w:family w:val="auto"/>
    <w:pitch w:val="default"/>
    <w:sig w:usb0="00000000" w:usb1="00000000" w:usb2="00000000" w:usb3="00000000" w:csb0="00040000" w:csb1="00000000"/>
    <w:embedRegular r:id="rId7" w:fontKey="{45178752-692A-4DAA-B168-0B81B006ADE9}"/>
  </w:font>
  <w:font w:name="楷体">
    <w:panose1 w:val="02010609060101010101"/>
    <w:charset w:val="86"/>
    <w:family w:val="modern"/>
    <w:pitch w:val="default"/>
    <w:sig w:usb0="800002BF" w:usb1="38CF7CFA" w:usb2="00000016" w:usb3="00000000" w:csb0="00040001" w:csb1="00000000"/>
    <w:embedRegular r:id="rId8" w:fontKey="{3CB3DBC9-2E33-4DA6-8B0A-E7BDFAC15FEB}"/>
  </w:font>
  <w:font w:name="方正仿宋_GBK">
    <w:altName w:val="微软雅黑"/>
    <w:panose1 w:val="03000509000000000000"/>
    <w:charset w:val="86"/>
    <w:family w:val="auto"/>
    <w:pitch w:val="default"/>
    <w:sig w:usb0="00000000" w:usb1="00000000" w:usb2="00000000" w:usb3="00000000" w:csb0="00040000" w:csb1="00000000"/>
    <w:embedRegular r:id="rId9" w:fontKey="{48193054-A8DC-4F00-8631-905E2C14483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853D3BE">
        <w:pPr>
          <w:pStyle w:val="6"/>
          <w:jc w:val="center"/>
        </w:pPr>
        <w:r>
          <w:fldChar w:fldCharType="begin"/>
        </w:r>
        <w:r>
          <w:instrText xml:space="preserve">PAGE   \* MERGEFORMAT</w:instrText>
        </w:r>
        <w:r>
          <w:fldChar w:fldCharType="separate"/>
        </w:r>
        <w:r>
          <w:rPr>
            <w:lang w:val="zh-CN"/>
          </w:rPr>
          <w:t>13</w:t>
        </w:r>
        <w:r>
          <w:fldChar w:fldCharType="end"/>
        </w:r>
      </w:p>
    </w:sdtContent>
  </w:sdt>
  <w:p w14:paraId="2FB0E682">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2AA809E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2"/>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character" w:styleId="16">
    <w:name w:val="Hyperlink"/>
    <w:basedOn w:val="14"/>
    <w:uiPriority w:val="0"/>
    <w:rPr>
      <w:color w:val="0000FF"/>
      <w:u w:val="single"/>
    </w:rPr>
  </w:style>
  <w:style w:type="paragraph" w:customStyle="1" w:styleId="17">
    <w:name w:val="Comment Subject"/>
    <w:basedOn w:val="18"/>
    <w:next w:val="18"/>
    <w:link w:val="25"/>
    <w:qFormat/>
    <w:uiPriority w:val="0"/>
    <w:rPr>
      <w:b/>
      <w:bCs/>
    </w:rPr>
  </w:style>
  <w:style w:type="paragraph" w:customStyle="1" w:styleId="18">
    <w:name w:val="Comment Text"/>
    <w:basedOn w:val="1"/>
    <w:link w:val="24"/>
    <w:qFormat/>
    <w:uiPriority w:val="0"/>
    <w:pPr>
      <w:jc w:val="left"/>
    </w:pPr>
  </w:style>
  <w:style w:type="character" w:customStyle="1" w:styleId="19">
    <w:name w:val="Comment Reference"/>
    <w:basedOn w:val="14"/>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4"/>
    <w:link w:val="5"/>
    <w:qFormat/>
    <w:uiPriority w:val="0"/>
    <w:rPr>
      <w:rFonts w:ascii="Times New Roman" w:hAnsi="Times New Roman" w:eastAsia="宋体" w:cs="Times New Roman"/>
      <w:kern w:val="2"/>
      <w:sz w:val="18"/>
      <w:szCs w:val="18"/>
    </w:rPr>
  </w:style>
  <w:style w:type="character" w:customStyle="1" w:styleId="23">
    <w:name w:val="页眉 字符"/>
    <w:basedOn w:val="14"/>
    <w:link w:val="7"/>
    <w:qFormat/>
    <w:uiPriority w:val="0"/>
    <w:rPr>
      <w:rFonts w:ascii="Times New Roman" w:hAnsi="Times New Roman" w:eastAsia="宋体" w:cs="Times New Roman"/>
      <w:kern w:val="2"/>
      <w:sz w:val="18"/>
      <w:szCs w:val="18"/>
    </w:rPr>
  </w:style>
  <w:style w:type="character" w:customStyle="1" w:styleId="24">
    <w:name w:val="批注文字 字符"/>
    <w:basedOn w:val="14"/>
    <w:link w:val="18"/>
    <w:qFormat/>
    <w:uiPriority w:val="0"/>
    <w:rPr>
      <w:rFonts w:ascii="Times New Roman" w:hAnsi="Times New Roman" w:eastAsia="宋体" w:cs="Times New Roman"/>
      <w:kern w:val="2"/>
      <w:sz w:val="21"/>
      <w:szCs w:val="24"/>
    </w:rPr>
  </w:style>
  <w:style w:type="character" w:customStyle="1" w:styleId="25">
    <w:name w:val="批注主题 字符"/>
    <w:basedOn w:val="24"/>
    <w:link w:val="17"/>
    <w:qFormat/>
    <w:uiPriority w:val="0"/>
    <w:rPr>
      <w:rFonts w:ascii="Times New Roman" w:hAnsi="Times New Roman" w:eastAsia="宋体" w:cs="Times New Roman"/>
      <w:b/>
      <w:bCs/>
      <w:kern w:val="2"/>
      <w:sz w:val="21"/>
      <w:szCs w:val="24"/>
    </w:rPr>
  </w:style>
  <w:style w:type="paragraph" w:customStyle="1" w:styleId="26">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A075C2AEC1C54D1693797747003CB0A9_13</vt:lpwstr>
  </property>
  <property fmtid="{D5CDD505-2E9C-101B-9397-08002B2CF9AE}" pid="4" name="KSOTemplateDocerSaveRecord">
    <vt:lpwstr>eyJoZGlkIjoiYTQ0ZmRiZWU1ZmFmM2ZlZjNjZjRiMzRlMjZkYTUwY2YiLCJ1c2VySWQiOiIxNjgwNzMzMDc2In0=</vt:lpwstr>
  </property>
</Properties>
</file>

<file path=customXml/itemProps1.xml><?xml version="1.0" encoding="utf-8"?>
<ds:datastoreItem xmlns:ds="http://schemas.openxmlformats.org/officeDocument/2006/customXml" ds:itemID="{ab97305f-677b-441e-8141-a0cd05fdd78f}">
  <ds:schemaRefs/>
</ds:datastoreItem>
</file>

<file path=docProps/app.xml><?xml version="1.0" encoding="utf-8"?>
<Properties xmlns="http://schemas.openxmlformats.org/officeDocument/2006/extended-properties" xmlns:vt="http://schemas.openxmlformats.org/officeDocument/2006/docPropsVTypes">
  <Template>Normal</Template>
  <Pages>26</Pages>
  <Words>11859</Words>
  <Characters>12321</Characters>
  <Lines>58</Lines>
  <Paragraphs>16</Paragraphs>
  <TotalTime>44</TotalTime>
  <ScaleCrop>false</ScaleCrop>
  <LinksUpToDate>false</LinksUpToDate>
  <CharactersWithSpaces>12368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周丽君</cp:lastModifiedBy>
  <cp:lastPrinted>2025-04-18T05:34:00Z</cp:lastPrinted>
  <dcterms:modified xsi:type="dcterms:W3CDTF">2025-10-31T07:47:08Z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A075C2AEC1C54D1693797747003CB0A9_13</vt:lpwstr>
  </property>
  <property fmtid="{D5CDD505-2E9C-101B-9397-08002B2CF9AE}" pid="4" name="KSOTemplateDocerSaveRecord">
    <vt:lpwstr>eyJoZGlkIjoiMjEwMjVmNmU3OTQwZDBjNjI0ZTM3MTBmNDI0OGIzYzIiLCJ1c2VySWQiOiIyMDM3MTI1NTkifQ==</vt:lpwstr>
  </property>
</Properties>
</file>