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7B51E">
      <w:pPr>
        <w:shd w:val="clear"/>
        <w:rPr>
          <w:color w:val="auto"/>
          <w:highlight w:val="none"/>
        </w:rPr>
      </w:pPr>
    </w:p>
    <w:p w14:paraId="1F013356">
      <w:pPr>
        <w:shd w:val="clear"/>
        <w:spacing w:line="540" w:lineRule="exact"/>
        <w:jc w:val="center"/>
        <w:rPr>
          <w:rFonts w:hint="default" w:ascii="Times New Roman" w:hAnsi="Times New Roman" w:eastAsia="华文中宋" w:cs="Times New Roman"/>
          <w:b/>
          <w:color w:val="auto"/>
          <w:kern w:val="0"/>
          <w:sz w:val="52"/>
          <w:szCs w:val="52"/>
          <w:highlight w:val="none"/>
        </w:rPr>
      </w:pPr>
    </w:p>
    <w:p w14:paraId="222E1177">
      <w:pPr>
        <w:shd w:val="clear"/>
        <w:spacing w:line="540" w:lineRule="exact"/>
        <w:rPr>
          <w:rFonts w:hint="default" w:ascii="Times New Roman" w:hAnsi="Times New Roman" w:eastAsia="华文中宋" w:cs="Times New Roman"/>
          <w:b/>
          <w:color w:val="auto"/>
          <w:kern w:val="0"/>
          <w:sz w:val="52"/>
          <w:szCs w:val="52"/>
          <w:highlight w:val="none"/>
        </w:rPr>
      </w:pPr>
    </w:p>
    <w:p w14:paraId="797CB8E9">
      <w:pPr>
        <w:shd w:val="clear"/>
        <w:spacing w:line="540" w:lineRule="exact"/>
        <w:jc w:val="center"/>
        <w:rPr>
          <w:rFonts w:hint="default" w:ascii="Times New Roman" w:hAnsi="Times New Roman" w:eastAsia="华文中宋" w:cs="Times New Roman"/>
          <w:b/>
          <w:color w:val="auto"/>
          <w:kern w:val="0"/>
          <w:sz w:val="52"/>
          <w:szCs w:val="52"/>
          <w:highlight w:val="none"/>
        </w:rPr>
      </w:pPr>
    </w:p>
    <w:p w14:paraId="4EFB8D73">
      <w:pPr>
        <w:shd w:val="clear"/>
        <w:spacing w:line="540" w:lineRule="exact"/>
        <w:jc w:val="center"/>
        <w:rPr>
          <w:rFonts w:hint="default" w:ascii="Times New Roman" w:hAnsi="Times New Roman" w:eastAsia="华文中宋" w:cs="Times New Roman"/>
          <w:b/>
          <w:color w:val="auto"/>
          <w:kern w:val="0"/>
          <w:sz w:val="52"/>
          <w:szCs w:val="52"/>
          <w:highlight w:val="none"/>
        </w:rPr>
      </w:pPr>
    </w:p>
    <w:p w14:paraId="77C49A62">
      <w:pPr>
        <w:shd w:val="clear"/>
        <w:spacing w:line="540" w:lineRule="exact"/>
        <w:jc w:val="center"/>
        <w:rPr>
          <w:rFonts w:hint="default" w:ascii="Times New Roman" w:hAnsi="Times New Roman" w:eastAsia="方正小标宋_GBK" w:cs="Times New Roman"/>
          <w:color w:val="auto"/>
          <w:kern w:val="0"/>
          <w:sz w:val="48"/>
          <w:szCs w:val="48"/>
          <w:highlight w:val="none"/>
        </w:rPr>
      </w:pPr>
      <w:r>
        <w:rPr>
          <w:rFonts w:hint="eastAsia" w:ascii="Times New Roman" w:hAnsi="Times New Roman" w:eastAsia="方正小标宋_GBK" w:cs="Times New Roman"/>
          <w:color w:val="auto"/>
          <w:kern w:val="0"/>
          <w:sz w:val="48"/>
          <w:szCs w:val="48"/>
          <w:highlight w:val="none"/>
          <w:lang w:val="en-US" w:eastAsia="zh-CN"/>
        </w:rPr>
        <w:t>2024年美术馆、公共图书馆、文化馆（站）免费开放补助资金</w:t>
      </w:r>
      <w:r>
        <w:rPr>
          <w:rFonts w:hint="default" w:ascii="Times New Roman" w:hAnsi="Times New Roman" w:eastAsia="方正小标宋_GBK" w:cs="Times New Roman"/>
          <w:color w:val="auto"/>
          <w:kern w:val="0"/>
          <w:sz w:val="48"/>
          <w:szCs w:val="48"/>
          <w:highlight w:val="none"/>
        </w:rPr>
        <w:t>项目支出绩效评价报告</w:t>
      </w:r>
    </w:p>
    <w:p w14:paraId="19AC27FF">
      <w:pPr>
        <w:shd w:val="clear"/>
        <w:spacing w:line="540" w:lineRule="exact"/>
        <w:jc w:val="center"/>
        <w:rPr>
          <w:rFonts w:hint="default" w:ascii="Times New Roman" w:hAnsi="Times New Roman" w:eastAsia="华文中宋" w:cs="Times New Roman"/>
          <w:b/>
          <w:color w:val="auto"/>
          <w:kern w:val="0"/>
          <w:sz w:val="52"/>
          <w:szCs w:val="52"/>
          <w:highlight w:val="none"/>
        </w:rPr>
      </w:pPr>
    </w:p>
    <w:p w14:paraId="7167B07A">
      <w:pPr>
        <w:shd w:val="clea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00BCC772">
      <w:pPr>
        <w:shd w:val="clear"/>
        <w:spacing w:line="540" w:lineRule="exact"/>
        <w:jc w:val="center"/>
        <w:rPr>
          <w:rFonts w:hint="default" w:ascii="Times New Roman" w:hAnsi="Times New Roman" w:eastAsia="仿宋_GB2312" w:cs="Times New Roman"/>
          <w:color w:val="auto"/>
          <w:kern w:val="0"/>
          <w:sz w:val="30"/>
          <w:szCs w:val="30"/>
          <w:highlight w:val="none"/>
        </w:rPr>
      </w:pPr>
    </w:p>
    <w:p w14:paraId="0901F4A9">
      <w:pPr>
        <w:shd w:val="clear"/>
        <w:spacing w:line="540" w:lineRule="exact"/>
        <w:jc w:val="center"/>
        <w:rPr>
          <w:rFonts w:hint="default" w:ascii="Times New Roman" w:hAnsi="Times New Roman" w:eastAsia="仿宋_GB2312" w:cs="Times New Roman"/>
          <w:color w:val="auto"/>
          <w:kern w:val="0"/>
          <w:sz w:val="30"/>
          <w:szCs w:val="30"/>
          <w:highlight w:val="none"/>
        </w:rPr>
      </w:pPr>
    </w:p>
    <w:p w14:paraId="1CC95892">
      <w:pPr>
        <w:shd w:val="clear"/>
        <w:spacing w:line="540" w:lineRule="exact"/>
        <w:jc w:val="center"/>
        <w:rPr>
          <w:rFonts w:hint="default" w:ascii="Times New Roman" w:hAnsi="Times New Roman" w:eastAsia="仿宋_GB2312" w:cs="Times New Roman"/>
          <w:color w:val="auto"/>
          <w:kern w:val="0"/>
          <w:sz w:val="30"/>
          <w:szCs w:val="30"/>
          <w:highlight w:val="none"/>
        </w:rPr>
      </w:pPr>
    </w:p>
    <w:p w14:paraId="75EFBA82">
      <w:pPr>
        <w:pStyle w:val="9"/>
        <w:shd w:val="clear"/>
        <w:rPr>
          <w:rFonts w:hint="default" w:ascii="Times New Roman" w:hAnsi="Times New Roman" w:cs="Times New Roman"/>
          <w:color w:val="auto"/>
          <w:highlight w:val="none"/>
        </w:rPr>
      </w:pPr>
    </w:p>
    <w:p w14:paraId="07F5D073">
      <w:pPr>
        <w:shd w:val="clear"/>
        <w:spacing w:line="540" w:lineRule="exact"/>
        <w:jc w:val="center"/>
        <w:rPr>
          <w:rFonts w:hint="default" w:ascii="Times New Roman" w:hAnsi="Times New Roman" w:eastAsia="仿宋_GB2312" w:cs="Times New Roman"/>
          <w:color w:val="auto"/>
          <w:kern w:val="0"/>
          <w:sz w:val="30"/>
          <w:szCs w:val="30"/>
          <w:highlight w:val="none"/>
        </w:rPr>
      </w:pPr>
    </w:p>
    <w:p w14:paraId="19EBBB56">
      <w:pPr>
        <w:shd w:val="clear"/>
        <w:spacing w:line="540" w:lineRule="exact"/>
        <w:rPr>
          <w:rFonts w:hint="default" w:ascii="Times New Roman" w:hAnsi="Times New Roman" w:eastAsia="仿宋_GB2312" w:cs="Times New Roman"/>
          <w:color w:val="auto"/>
          <w:kern w:val="0"/>
          <w:sz w:val="30"/>
          <w:szCs w:val="30"/>
          <w:highlight w:val="none"/>
        </w:rPr>
      </w:pPr>
    </w:p>
    <w:p w14:paraId="5A1CDBC9">
      <w:pPr>
        <w:shd w:val="clear"/>
        <w:spacing w:line="700" w:lineRule="exact"/>
        <w:ind w:firstLine="1440" w:firstLineChars="400"/>
        <w:jc w:val="left"/>
        <w:rPr>
          <w:rFonts w:hint="default" w:eastAsia="仿宋_GB2312" w:cs="Times New Roman"/>
          <w:color w:val="auto"/>
          <w:kern w:val="0"/>
          <w:sz w:val="36"/>
          <w:szCs w:val="36"/>
          <w:highlight w:val="none"/>
          <w:lang w:val="en-US" w:eastAsia="zh-CN"/>
        </w:rPr>
      </w:pPr>
      <w:r>
        <w:rPr>
          <w:rFonts w:hint="default" w:eastAsia="仿宋_GB2312" w:cs="Times New Roman"/>
          <w:color w:val="auto"/>
          <w:kern w:val="0"/>
          <w:sz w:val="36"/>
          <w:szCs w:val="36"/>
          <w:highlight w:val="none"/>
          <w:lang w:val="en-US" w:eastAsia="zh-CN"/>
        </w:rPr>
        <w:t>项目名称：</w:t>
      </w:r>
      <w:r>
        <w:rPr>
          <w:rFonts w:hint="eastAsia" w:eastAsia="仿宋_GB2312" w:cs="Times New Roman"/>
          <w:color w:val="auto"/>
          <w:kern w:val="0"/>
          <w:sz w:val="36"/>
          <w:szCs w:val="36"/>
          <w:highlight w:val="none"/>
          <w:lang w:val="en-US" w:eastAsia="zh-CN"/>
        </w:rPr>
        <w:t>2024年美术馆、公共图书馆、文化馆（站）免费开放补助资金项目</w:t>
      </w:r>
    </w:p>
    <w:p w14:paraId="63C089C0">
      <w:pPr>
        <w:shd w:val="clear"/>
        <w:spacing w:line="700" w:lineRule="exact"/>
        <w:ind w:firstLine="1440" w:firstLineChars="4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实施单位：</w:t>
      </w:r>
      <w:r>
        <w:rPr>
          <w:rFonts w:hint="eastAsia" w:eastAsia="仿宋_GB2312" w:cs="Times New Roman"/>
          <w:color w:val="auto"/>
          <w:kern w:val="0"/>
          <w:sz w:val="36"/>
          <w:szCs w:val="36"/>
          <w:highlight w:val="none"/>
          <w:lang w:val="en-US" w:eastAsia="zh-CN"/>
        </w:rPr>
        <w:t>托里县老风口林场</w:t>
      </w:r>
    </w:p>
    <w:p w14:paraId="6B0EAD35">
      <w:pPr>
        <w:shd w:val="clear"/>
        <w:spacing w:line="700" w:lineRule="exact"/>
        <w:ind w:firstLine="1440" w:firstLineChars="4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主管部门：</w:t>
      </w:r>
      <w:r>
        <w:rPr>
          <w:rFonts w:hint="eastAsia" w:eastAsia="仿宋_GB2312" w:cs="Times New Roman"/>
          <w:color w:val="auto"/>
          <w:kern w:val="0"/>
          <w:sz w:val="36"/>
          <w:szCs w:val="36"/>
          <w:highlight w:val="none"/>
          <w:lang w:val="en-US" w:eastAsia="zh-CN"/>
        </w:rPr>
        <w:t>托里县自然资源局</w:t>
      </w:r>
    </w:p>
    <w:p w14:paraId="682EFC99">
      <w:pPr>
        <w:shd w:val="clear"/>
        <w:spacing w:line="700" w:lineRule="exact"/>
        <w:ind w:firstLine="1440" w:firstLineChars="4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项目负责人：</w:t>
      </w:r>
      <w:r>
        <w:rPr>
          <w:rFonts w:hint="eastAsia" w:eastAsia="仿宋_GB2312" w:cs="Times New Roman"/>
          <w:color w:val="auto"/>
          <w:kern w:val="0"/>
          <w:sz w:val="36"/>
          <w:szCs w:val="36"/>
          <w:highlight w:val="none"/>
          <w:lang w:val="en-US" w:eastAsia="zh-CN"/>
        </w:rPr>
        <w:t>王峰松</w:t>
      </w:r>
    </w:p>
    <w:p w14:paraId="1A0F6E05">
      <w:pPr>
        <w:shd w:val="clea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2024</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18</w:t>
      </w:r>
      <w:r>
        <w:rPr>
          <w:rFonts w:hint="default" w:ascii="Times New Roman" w:hAnsi="Times New Roman" w:eastAsia="仿宋_GB2312" w:cs="Times New Roman"/>
          <w:color w:val="auto"/>
          <w:kern w:val="0"/>
          <w:sz w:val="36"/>
          <w:szCs w:val="36"/>
          <w:highlight w:val="none"/>
        </w:rPr>
        <w:t>日</w:t>
      </w:r>
    </w:p>
    <w:p w14:paraId="72625032">
      <w:pPr>
        <w:shd w:val="clear"/>
        <w:spacing w:line="560" w:lineRule="exact"/>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14:paraId="371B4B4B">
      <w:pPr>
        <w:shd w:val="clear"/>
        <w:spacing w:line="560" w:lineRule="exact"/>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14:paraId="3E463B13">
      <w:pPr>
        <w:shd w:val="clea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14:paraId="60CB6BAE">
      <w:pPr>
        <w:shd w:val="clea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14:paraId="7EE08C33">
      <w:pPr>
        <w:shd w:val="clear"/>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保护和管理森林资源、护林防火、野生动植物保护、病虫害防治等；认真贯彻《森林法》、《森林防火条例》、《新疆森林 防火实施条例》、实施“预防为主，积极消灭”的方针，加强森 林防火宣传、检查督促工作；确保森林、林地、林木及野生动植 物不受破坏，负责在本辖区森林资源监测管理，负责本辖区及周 边野外用火，宣传并执行国家有关管理的政策、法规、规章制度； 制止破坏森林资源的行为。</w:t>
      </w:r>
    </w:p>
    <w:p w14:paraId="0030368E">
      <w:pPr>
        <w:pStyle w:val="9"/>
        <w:numPr>
          <w:ilvl w:val="0"/>
          <w:numId w:val="0"/>
        </w:numPr>
        <w:shd w:val="clea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14:paraId="68B75776">
      <w:pPr>
        <w:keepNext w:val="0"/>
        <w:keepLines w:val="0"/>
        <w:pageBreakBefore w:val="0"/>
        <w:widowControl w:val="0"/>
        <w:shd w:val="clear"/>
        <w:kinsoku/>
        <w:wordWrap/>
        <w:overflowPunct/>
        <w:topLinePunct w:val="0"/>
        <w:autoSpaceDE/>
        <w:autoSpaceDN/>
        <w:bidi w:val="0"/>
        <w:adjustRightInd/>
        <w:snapToGrid/>
        <w:spacing w:line="570" w:lineRule="exact"/>
        <w:ind w:firstLine="640"/>
        <w:textAlignment w:val="auto"/>
        <w:rPr>
          <w:rFonts w:hint="eastAsia" w:ascii="仿宋_GB2312" w:eastAsia="仿宋_GB2312"/>
          <w:color w:val="auto"/>
          <w:sz w:val="32"/>
          <w:szCs w:val="32"/>
          <w:highlight w:val="none"/>
          <w:lang w:val="en-US" w:eastAsia="zh-CN"/>
        </w:rPr>
      </w:pPr>
      <w:r>
        <w:rPr>
          <w:rFonts w:hint="default" w:ascii="Times New Roman" w:hAnsi="Times New Roman" w:eastAsia="仿宋_GB2312" w:cs="Times New Roman"/>
          <w:color w:val="auto"/>
          <w:sz w:val="30"/>
          <w:szCs w:val="30"/>
          <w:highlight w:val="none"/>
          <w:lang w:val="en-US" w:eastAsia="zh-CN"/>
        </w:rPr>
        <w:t>项目主要内容：</w:t>
      </w:r>
      <w:r>
        <w:rPr>
          <w:rFonts w:hint="eastAsia" w:ascii="仿宋_GB2312" w:eastAsia="仿宋_GB2312"/>
          <w:color w:val="auto"/>
          <w:sz w:val="32"/>
          <w:szCs w:val="32"/>
          <w:highlight w:val="none"/>
          <w:lang w:val="en-US" w:eastAsia="zh-CN"/>
        </w:rPr>
        <w:t>各种形式对辖区内群众掌握森林资源意识，解决了广大各族群众积极开展林区有害生物防治监测工作，显著提高了各族群众意识，增强了森林草原防火、野生动植物保护、安全生产等隐患排查整治。</w:t>
      </w:r>
    </w:p>
    <w:p w14:paraId="0B650263">
      <w:pPr>
        <w:shd w:val="clear"/>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开展文化活动，有效落实了落实森林草原防火、野生动植物保护、安全生产等隐患排查整治工作为目标:全年夏季的到来林区牧民专场来到林区、深入开展森林草原防火宣传教育活动。提升了广大各族群众积极开展林区有害生物防治监测工作，达到各族群众意识，增强了森林草原防火、野生动植物保护、安全生产等隐患排查整治。</w:t>
      </w:r>
    </w:p>
    <w:p w14:paraId="14232576">
      <w:pPr>
        <w:shd w:val="clear"/>
        <w:ind w:firstLine="640" w:firstLineChars="200"/>
        <w:rPr>
          <w:rFonts w:hint="default" w:ascii="仿宋_GB2312" w:hAnsi="仿宋_GB2312" w:eastAsia="仿宋_GB2312" w:cs="仿宋_GB2312"/>
          <w:bCs/>
          <w:color w:val="auto"/>
          <w:sz w:val="32"/>
          <w:szCs w:val="32"/>
          <w:highlight w:val="none"/>
          <w:lang w:val="en-US" w:eastAsia="zh-CN"/>
        </w:rPr>
      </w:pPr>
      <w:r>
        <w:rPr>
          <w:rFonts w:hint="default" w:ascii="仿宋_GB2312" w:hAnsi="仿宋_GB2312" w:eastAsia="仿宋_GB2312" w:cs="仿宋_GB2312"/>
          <w:bCs/>
          <w:color w:val="auto"/>
          <w:sz w:val="32"/>
          <w:szCs w:val="32"/>
          <w:highlight w:val="none"/>
          <w:lang w:val="en-US" w:eastAsia="zh-CN"/>
        </w:rPr>
        <w:t>加强野生动植物保护，维护辖区生态平衡。严格按照局党组统一部署，积极配合县公安局食药环犯罪侦查大队和局野生动物办公室开展打击林区非法猎捕野生动物、采挖中药材、乱砍滥伐、乱征滥占的清山、清林行动，采用设卡点蹲守检查、广布眼线收集情报、林场工作人员入户宣传摸底排查登记等措施和手段，严格林区执法，依法从严、从重、从快打击违法犯罪活动，确保了林场辖区野生动植物资源安全，开展专题宣传教育活动2次、发放宣传单300余份。</w:t>
      </w:r>
    </w:p>
    <w:p w14:paraId="7687CABE">
      <w:pPr>
        <w:shd w:val="clear"/>
        <w:ind w:firstLine="640" w:firstLineChars="200"/>
        <w:rPr>
          <w:rFonts w:hint="default" w:ascii="仿宋_GB2312" w:hAnsi="仿宋_GB2312" w:eastAsia="仿宋_GB2312" w:cs="仿宋_GB2312"/>
          <w:bCs/>
          <w:color w:val="auto"/>
          <w:sz w:val="32"/>
          <w:szCs w:val="32"/>
          <w:highlight w:val="none"/>
          <w:lang w:val="en-US" w:eastAsia="zh-CN"/>
        </w:rPr>
      </w:pPr>
      <w:r>
        <w:rPr>
          <w:rFonts w:hint="default" w:ascii="仿宋_GB2312" w:hAnsi="仿宋_GB2312" w:eastAsia="仿宋_GB2312" w:cs="仿宋_GB2312"/>
          <w:bCs/>
          <w:color w:val="auto"/>
          <w:sz w:val="32"/>
          <w:szCs w:val="32"/>
          <w:highlight w:val="none"/>
          <w:lang w:val="en-US" w:eastAsia="zh-CN"/>
        </w:rPr>
        <w:t>森林区害生物监测工作完成率，有效改善野生动植物保护、安全生产等隐患排查整治工作为目标;提升对辖区内群众掌握森林资源意识，解决了广大各族群众积极开展林区有害生物防治监测工作，显著提高了各族群众意识</w:t>
      </w:r>
      <w:r>
        <w:rPr>
          <w:rFonts w:hint="eastAsia" w:ascii="仿宋_GB2312" w:hAnsi="仿宋_GB2312" w:eastAsia="仿宋_GB2312" w:cs="仿宋_GB2312"/>
          <w:bCs/>
          <w:color w:val="auto"/>
          <w:sz w:val="32"/>
          <w:szCs w:val="32"/>
          <w:highlight w:val="none"/>
          <w:lang w:val="en-US" w:eastAsia="zh-CN"/>
        </w:rPr>
        <w:t>，</w:t>
      </w:r>
      <w:r>
        <w:rPr>
          <w:rFonts w:hint="default" w:ascii="仿宋_GB2312" w:hAnsi="仿宋_GB2312" w:eastAsia="仿宋_GB2312" w:cs="仿宋_GB2312"/>
          <w:bCs/>
          <w:color w:val="auto"/>
          <w:sz w:val="32"/>
          <w:szCs w:val="32"/>
          <w:highlight w:val="none"/>
          <w:lang w:val="en-US" w:eastAsia="zh-CN"/>
        </w:rPr>
        <w:t>增强了野生动植物保护、安全生产等隐患排查整治。</w:t>
      </w:r>
    </w:p>
    <w:p w14:paraId="209A1D39">
      <w:pPr>
        <w:keepNext w:val="0"/>
        <w:keepLines w:val="0"/>
        <w:pageBreakBefore w:val="0"/>
        <w:numPr>
          <w:ilvl w:val="0"/>
          <w:numId w:val="0"/>
        </w:numPr>
        <w:shd w:val="clear"/>
        <w:kinsoku/>
        <w:wordWrap/>
        <w:overflowPunct/>
        <w:topLinePunct w:val="0"/>
        <w:autoSpaceDE/>
        <w:autoSpaceDN/>
        <w:bidi w:val="0"/>
        <w:adjustRightInd/>
        <w:snapToGrid w:val="0"/>
        <w:spacing w:line="560" w:lineRule="exact"/>
        <w:ind w:firstLine="640" w:firstLineChars="200"/>
        <w:textAlignment w:val="auto"/>
        <w:rPr>
          <w:rFonts w:hint="default" w:ascii="仿宋_GB2312" w:hAnsi="仿宋_GB2312" w:eastAsia="仿宋_GB2312" w:cs="仿宋_GB2312"/>
          <w:bCs/>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林区防火隐患排查率，有效改善森林草原防火、安全生产等隐患排查整治工作为目标;全年夏季的到来林区牧民专场来到林区、深入开展森林草原防火宣传教育活动。提升对辖区内群众掌握森林资源意识，解决了广大各族群众积极开展林区有害生物防治监测工作，达到各族群众意识，增强了森林草原防</w:t>
      </w:r>
      <w:r>
        <w:rPr>
          <w:rFonts w:hint="eastAsia" w:ascii="仿宋" w:hAnsi="仿宋" w:eastAsia="仿宋" w:cs="仿宋"/>
          <w:b w:val="0"/>
          <w:bCs w:val="0"/>
          <w:color w:val="auto"/>
          <w:sz w:val="32"/>
          <w:szCs w:val="32"/>
          <w:highlight w:val="none"/>
          <w:lang w:val="en-US" w:eastAsia="zh-CN"/>
        </w:rPr>
        <w:t>火、安全生产等隐患排查整治。</w:t>
      </w:r>
    </w:p>
    <w:p w14:paraId="45D062D1">
      <w:pPr>
        <w:shd w:val="clear"/>
        <w:spacing w:line="560" w:lineRule="exact"/>
        <w:ind w:firstLine="640" w:firstLineChars="200"/>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项目实施情况：</w:t>
      </w:r>
      <w:r>
        <w:rPr>
          <w:rFonts w:hint="eastAsia"/>
          <w:color w:val="auto"/>
          <w:sz w:val="32"/>
          <w:szCs w:val="32"/>
          <w:highlight w:val="none"/>
          <w:lang w:val="en-US" w:eastAsia="zh-CN"/>
        </w:rPr>
        <w:t>本项目于</w:t>
      </w:r>
      <w:r>
        <w:rPr>
          <w:rFonts w:hint="eastAsia" w:ascii="Times New Roman" w:hAnsi="Times New Roman" w:eastAsia="仿宋_GB2312" w:cs="Times New Roman"/>
          <w:color w:val="auto"/>
          <w:sz w:val="32"/>
          <w:szCs w:val="32"/>
          <w:highlight w:val="none"/>
          <w:lang w:val="en-US" w:eastAsia="zh-CN"/>
        </w:rPr>
        <w:t>202</w:t>
      </w:r>
      <w:r>
        <w:rPr>
          <w:rFonts w:hint="eastAsia"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en-US" w:eastAsia="zh-CN"/>
        </w:rPr>
        <w:t>年1月开始实施，截至202</w:t>
      </w:r>
      <w:r>
        <w:rPr>
          <w:rFonts w:hint="eastAsia"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en-US" w:eastAsia="zh-CN"/>
        </w:rPr>
        <w:t>年12月，</w:t>
      </w:r>
      <w:r>
        <w:rPr>
          <w:rFonts w:hint="eastAsia" w:eastAsia="仿宋_GB2312" w:cs="Times New Roman"/>
          <w:color w:val="auto"/>
          <w:sz w:val="32"/>
          <w:szCs w:val="32"/>
          <w:highlight w:val="none"/>
          <w:lang w:val="en-US" w:eastAsia="zh-CN"/>
        </w:rPr>
        <w:t>全年</w:t>
      </w:r>
      <w:r>
        <w:rPr>
          <w:rFonts w:hint="default" w:ascii="仿宋" w:hAnsi="仿宋" w:eastAsia="仿宋" w:cs="仿宋"/>
          <w:color w:val="auto"/>
          <w:sz w:val="32"/>
          <w:szCs w:val="32"/>
          <w:highlight w:val="none"/>
          <w:lang w:val="en-US" w:eastAsia="zh-CN"/>
        </w:rPr>
        <w:t>已支付1</w:t>
      </w:r>
      <w:r>
        <w:rPr>
          <w:rFonts w:hint="eastAsia" w:ascii="仿宋" w:hAnsi="仿宋" w:eastAsia="仿宋" w:cs="仿宋"/>
          <w:color w:val="auto"/>
          <w:sz w:val="32"/>
          <w:szCs w:val="32"/>
          <w:highlight w:val="none"/>
          <w:lang w:val="en-US" w:eastAsia="zh-CN"/>
        </w:rPr>
        <w:t>.7万元</w:t>
      </w:r>
      <w:r>
        <w:rPr>
          <w:rFonts w:hint="default"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val="en-US" w:eastAsia="zh-CN"/>
        </w:rPr>
        <w:t>用于：</w:t>
      </w:r>
      <w:r>
        <w:rPr>
          <w:rFonts w:hint="default" w:ascii="仿宋" w:hAnsi="仿宋" w:eastAsia="仿宋" w:cs="仿宋"/>
          <w:color w:val="auto"/>
          <w:sz w:val="32"/>
          <w:szCs w:val="32"/>
          <w:highlight w:val="none"/>
          <w:lang w:val="en-US" w:eastAsia="zh-CN"/>
        </w:rPr>
        <w:t>制作文化站制作背景墙 一批， 文化站制作背景墙</w:t>
      </w:r>
      <w:r>
        <w:rPr>
          <w:rFonts w:hint="eastAsia" w:ascii="仿宋" w:hAnsi="仿宋" w:eastAsia="仿宋" w:cs="仿宋"/>
          <w:color w:val="auto"/>
          <w:sz w:val="32"/>
          <w:szCs w:val="32"/>
          <w:highlight w:val="none"/>
          <w:lang w:val="en-US" w:eastAsia="zh-CN"/>
        </w:rPr>
        <w:t>0.7</w:t>
      </w:r>
      <w:r>
        <w:rPr>
          <w:rFonts w:hint="default" w:ascii="仿宋" w:hAnsi="仿宋" w:eastAsia="仿宋" w:cs="仿宋"/>
          <w:color w:val="auto"/>
          <w:sz w:val="32"/>
          <w:szCs w:val="32"/>
          <w:highlight w:val="none"/>
          <w:lang w:val="en-US" w:eastAsia="zh-CN"/>
        </w:rPr>
        <w:t>元， 开展各项文化活动，需活动经费</w:t>
      </w:r>
      <w:r>
        <w:rPr>
          <w:rFonts w:hint="eastAsia" w:ascii="仿宋" w:hAnsi="仿宋" w:eastAsia="仿宋" w:cs="仿宋"/>
          <w:color w:val="auto"/>
          <w:sz w:val="32"/>
          <w:szCs w:val="32"/>
          <w:highlight w:val="none"/>
          <w:lang w:val="en-US" w:eastAsia="zh-CN"/>
        </w:rPr>
        <w:t>0.85万</w:t>
      </w:r>
      <w:r>
        <w:rPr>
          <w:rFonts w:hint="default" w:ascii="仿宋" w:hAnsi="仿宋" w:eastAsia="仿宋" w:cs="仿宋"/>
          <w:color w:val="auto"/>
          <w:sz w:val="32"/>
          <w:szCs w:val="32"/>
          <w:highlight w:val="none"/>
          <w:lang w:val="en-US" w:eastAsia="zh-CN"/>
        </w:rPr>
        <w:t>元。购买图书架子1</w:t>
      </w:r>
      <w:r>
        <w:rPr>
          <w:rFonts w:hint="eastAsia" w:ascii="仿宋" w:hAnsi="仿宋" w:eastAsia="仿宋" w:cs="仿宋"/>
          <w:color w:val="auto"/>
          <w:sz w:val="32"/>
          <w:szCs w:val="32"/>
          <w:highlight w:val="none"/>
          <w:lang w:val="en-US" w:eastAsia="zh-CN"/>
        </w:rPr>
        <w:t>.</w:t>
      </w:r>
      <w:r>
        <w:rPr>
          <w:rFonts w:hint="default"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lang w:val="en-US" w:eastAsia="zh-CN"/>
        </w:rPr>
        <w:t>万</w:t>
      </w:r>
      <w:r>
        <w:rPr>
          <w:rFonts w:hint="default" w:ascii="仿宋" w:hAnsi="仿宋" w:eastAsia="仿宋" w:cs="仿宋"/>
          <w:color w:val="auto"/>
          <w:sz w:val="32"/>
          <w:szCs w:val="32"/>
          <w:highlight w:val="none"/>
          <w:lang w:val="en-US" w:eastAsia="zh-CN"/>
        </w:rPr>
        <w:t>元。</w:t>
      </w:r>
      <w:r>
        <w:rPr>
          <w:rFonts w:hint="eastAsia" w:ascii="Times New Roman" w:hAnsi="Times New Roman" w:eastAsia="仿宋_GB2312" w:cs="Times New Roman"/>
          <w:color w:val="auto"/>
          <w:sz w:val="32"/>
          <w:szCs w:val="32"/>
          <w:highlight w:val="none"/>
          <w:lang w:val="en-US" w:eastAsia="zh-CN"/>
        </w:rPr>
        <w:t>该项目已实施完成，各项任务指标全部完成。</w:t>
      </w:r>
    </w:p>
    <w:p w14:paraId="6BAF12BC">
      <w:pPr>
        <w:shd w:val="clea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14:paraId="23998D0D">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50D86988">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3.7</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1.7</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p>
    <w:p w14:paraId="356CFF82">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51B853C1">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3.7</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1.7</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1.7</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Style w:val="15"/>
          <w:rFonts w:hint="eastAsia" w:ascii="仿宋_GB2312" w:hAnsi="楷体" w:eastAsia="仿宋_GB2312"/>
          <w:b w:val="0"/>
          <w:color w:val="auto"/>
          <w:spacing w:val="-4"/>
          <w:sz w:val="32"/>
          <w:szCs w:val="32"/>
          <w:highlight w:val="none"/>
          <w:lang w:val="en-US" w:eastAsia="zh-CN"/>
        </w:rPr>
        <w:t>2024年美术馆、公共图书馆、文化馆（站）免费开放补助资金专项项目</w:t>
      </w:r>
      <w:r>
        <w:rPr>
          <w:rStyle w:val="15"/>
          <w:rFonts w:hint="eastAsia" w:ascii="仿宋_GB2312" w:hAnsi="楷体" w:eastAsia="仿宋_GB2312"/>
          <w:b w:val="0"/>
          <w:color w:val="auto"/>
          <w:spacing w:val="-4"/>
          <w:sz w:val="32"/>
          <w:szCs w:val="32"/>
          <w:highlight w:val="none"/>
          <w:lang w:val="en-US" w:eastAsia="zh-CN"/>
        </w:rPr>
        <w:t>1.购买</w:t>
      </w:r>
      <w:r>
        <w:rPr>
          <w:rFonts w:hint="eastAsia" w:ascii="仿宋" w:hAnsi="仿宋" w:eastAsia="仿宋" w:cs="仿宋"/>
          <w:color w:val="auto"/>
          <w:sz w:val="32"/>
          <w:szCs w:val="32"/>
          <w:highlight w:val="none"/>
          <w:lang w:val="en-US" w:eastAsia="zh-CN"/>
        </w:rPr>
        <w:t>书架子一套1500元。2.文化站制作背景墙一套7000元。3.开展各项文化活动5次，需活动经费8500元。</w:t>
      </w:r>
    </w:p>
    <w:p w14:paraId="6B57A11F">
      <w:pPr>
        <w:shd w:val="clea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14:paraId="04FD5F51">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14:paraId="650C72BB">
      <w:pPr>
        <w:shd w:val="clear"/>
        <w:spacing w:line="560" w:lineRule="exact"/>
        <w:ind w:firstLine="640" w:firstLineChars="200"/>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2024年美术馆、公共图书馆、文化馆(站)免费开放补助资金17000元，结转金额和今年预算余额为36951元，截止2024年8月31日已支付预算金17000元。制作文化站制作背景墙 一批，开展各项文化活动4次。 文化站制作背景墙7000元， 开展各项文化活动，需活动经费8500元。购买图书架子一套1500元。未支付结转资金19951元。制作文化展板数量4个，费用&lt;=4000元，开展各类文化活动，需活动经费5次，费用&lt;=15951元。促进各民族之间友好往来，共同发展，有利于促进社会稳定，民族团结，提高农牧民爱国情怀，提升农牧民审美价值观不断进一步丰富群众的精神文化生活，社会公众满意度95%。</w:t>
      </w:r>
    </w:p>
    <w:p w14:paraId="3242F118">
      <w:pPr>
        <w:shd w:val="clear"/>
        <w:spacing w:line="560" w:lineRule="exact"/>
        <w:ind w:firstLine="64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阶段性目标</w:t>
      </w:r>
    </w:p>
    <w:p w14:paraId="3725B724">
      <w:pPr>
        <w:shd w:val="clear"/>
        <w:spacing w:line="560" w:lineRule="exact"/>
        <w:ind w:firstLine="640" w:firstLineChars="200"/>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2024年美术馆、公共图书馆、文化馆(站)免费开放补助资金17000元，截止2024年8月31日已支付预算金17000元。制作文化站制作背景墙 一批， 文化站制作背景墙7000元， 开展各项文化活动，需活动经费8500元。购买图书架子一套1500元。促进各民族之间友好往来，共同发展，有利于促进社会稳定，民族团结，提高农牧民爱国情怀，提升农牧民审美价值观不断进一步丰富群众的精神文化生活，社会公众满意度95%。</w:t>
      </w:r>
    </w:p>
    <w:p w14:paraId="2EAC2A64">
      <w:p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14:paraId="16B715D8">
      <w:pPr>
        <w:shd w:val="clea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14:paraId="67B98F11">
      <w:pPr>
        <w:pStyle w:val="9"/>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1F83CA81">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641B3EF">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w:t>
      </w:r>
      <w:r>
        <w:rPr>
          <w:rFonts w:hint="eastAsia" w:eastAsia="仿宋_GB2312" w:cs="Times New Roman"/>
          <w:color w:val="auto"/>
          <w:sz w:val="32"/>
          <w:szCs w:val="32"/>
          <w:highlight w:val="none"/>
          <w:lang w:val="en-US" w:eastAsia="zh-CN"/>
        </w:rPr>
        <w:t>社会</w:t>
      </w:r>
      <w:r>
        <w:rPr>
          <w:rFonts w:hint="default" w:ascii="Times New Roman" w:hAnsi="Times New Roman" w:eastAsia="仿宋_GB2312" w:cs="Times New Roman"/>
          <w:color w:val="auto"/>
          <w:sz w:val="32"/>
          <w:szCs w:val="32"/>
          <w:highlight w:val="none"/>
          <w:lang w:val="en-US" w:eastAsia="zh-CN"/>
        </w:rPr>
        <w:t>效益，力求全方位反映项目的绩效状况。同时，对于每个指标的评价标准和数据来源均进行了明确说明，确保评价结果的客观性和可追溯性。</w:t>
      </w:r>
    </w:p>
    <w:p w14:paraId="67BB9D8D">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9EA0FD4">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0CA7BDA">
      <w:pPr>
        <w:shd w:val="clea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BCF1FDE">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14:paraId="48276B70">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5F2A3917">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w:t>
      </w:r>
      <w:r>
        <w:rPr>
          <w:rFonts w:hint="eastAsia" w:eastAsia="仿宋_GB2312" w:cs="Times New Roman"/>
          <w:color w:val="auto"/>
          <w:sz w:val="32"/>
          <w:szCs w:val="32"/>
          <w:highlight w:val="none"/>
          <w:lang w:val="en-US" w:eastAsia="zh-CN"/>
        </w:rPr>
        <w:t>生态</w:t>
      </w:r>
      <w:r>
        <w:rPr>
          <w:rFonts w:hint="default" w:ascii="Times New Roman" w:hAnsi="Times New Roman" w:eastAsia="仿宋_GB2312" w:cs="Times New Roman"/>
          <w:color w:val="auto"/>
          <w:sz w:val="32"/>
          <w:szCs w:val="32"/>
          <w:highlight w:val="none"/>
        </w:rPr>
        <w:t>效益以及可持续性等多维度指标，为项目后续的改进与优化提供科学依据。</w:t>
      </w:r>
    </w:p>
    <w:p w14:paraId="414FDEF8">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005AED5">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0BCAC16">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1CAA0794">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229CF16">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404E19F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D37E35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7D3ADF3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91C669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社会效益。</w:t>
      </w:r>
    </w:p>
    <w:p w14:paraId="30E00D3E">
      <w:pPr>
        <w:pStyle w:val="9"/>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14:paraId="7120A15A">
      <w:pPr>
        <w:pStyle w:val="2"/>
        <w:shd w:val="clear" w:color="auto"/>
        <w:spacing w:before="0" w:beforeAutospacing="0" w:after="0" w:afterAutospacing="0"/>
        <w:ind w:firstLine="640" w:firstLineChars="200"/>
        <w:jc w:val="both"/>
        <w:rPr>
          <w:rFonts w:hint="default" w:ascii="Times New Roman" w:hAnsi="Times New Roman" w:eastAsia="仿宋_GB2312" w:cs="Times New Roman"/>
          <w:b w:val="0"/>
          <w:bCs w:val="0"/>
          <w:color w:val="auto"/>
          <w:sz w:val="32"/>
          <w:szCs w:val="32"/>
          <w:highlight w:val="none"/>
          <w:lang w:val="en-US" w:eastAsia="zh-CN"/>
        </w:rPr>
      </w:pPr>
      <w:r>
        <w:rPr>
          <w:rFonts w:hint="default" w:ascii="仿宋" w:hAnsi="仿宋" w:eastAsia="仿宋" w:cs="仿宋"/>
          <w:b w:val="0"/>
          <w:bCs w:val="0"/>
          <w:color w:val="auto"/>
          <w:sz w:val="32"/>
          <w:szCs w:val="32"/>
          <w:highlight w:val="none"/>
          <w:lang w:val="en-US" w:eastAsia="zh-CN"/>
        </w:rPr>
        <w:t>本项目预算绩效评价报告的评价对象是</w:t>
      </w:r>
      <w:r>
        <w:rPr>
          <w:rFonts w:hint="eastAsia" w:ascii="仿宋" w:hAnsi="仿宋" w:eastAsia="仿宋" w:cs="仿宋"/>
          <w:b w:val="0"/>
          <w:bCs w:val="0"/>
          <w:color w:val="auto"/>
          <w:sz w:val="32"/>
          <w:szCs w:val="32"/>
          <w:highlight w:val="none"/>
          <w:lang w:val="en-US" w:eastAsia="zh-CN"/>
        </w:rPr>
        <w:t>2024年美术馆、公共图书馆、文化馆（站）免费开放补助资金项目</w:t>
      </w:r>
      <w:r>
        <w:rPr>
          <w:rFonts w:hint="default" w:ascii="仿宋" w:hAnsi="仿宋" w:eastAsia="仿宋" w:cs="仿宋"/>
          <w:b w:val="0"/>
          <w:bCs w:val="0"/>
          <w:color w:val="auto"/>
          <w:sz w:val="32"/>
          <w:szCs w:val="32"/>
          <w:highlight w:val="none"/>
          <w:lang w:val="en-US" w:eastAsia="zh-CN"/>
        </w:rPr>
        <w:t>及其预算执行情况。该项目由</w:t>
      </w:r>
      <w:r>
        <w:rPr>
          <w:rFonts w:hint="eastAsia" w:ascii="仿宋" w:hAnsi="仿宋" w:eastAsia="仿宋" w:cs="仿宋"/>
          <w:b w:val="0"/>
          <w:bCs w:val="0"/>
          <w:color w:val="auto"/>
          <w:sz w:val="32"/>
          <w:szCs w:val="32"/>
          <w:highlight w:val="none"/>
          <w:lang w:val="en-US" w:eastAsia="zh-CN"/>
        </w:rPr>
        <w:t>托里县老风口林场</w:t>
      </w:r>
      <w:r>
        <w:rPr>
          <w:rFonts w:hint="default" w:ascii="仿宋" w:hAnsi="仿宋" w:eastAsia="仿宋" w:cs="仿宋"/>
          <w:b w:val="0"/>
          <w:bCs w:val="0"/>
          <w:color w:val="auto"/>
          <w:sz w:val="32"/>
          <w:szCs w:val="32"/>
          <w:highlight w:val="none"/>
          <w:lang w:val="en-US" w:eastAsia="zh-CN"/>
        </w:rPr>
        <w:t>负责实施，旨在依免费开放开放</w:t>
      </w:r>
      <w:r>
        <w:rPr>
          <w:rFonts w:hint="eastAsia" w:ascii="仿宋" w:hAnsi="仿宋" w:eastAsia="仿宋" w:cs="仿宋"/>
          <w:b w:val="0"/>
          <w:bCs w:val="0"/>
          <w:color w:val="auto"/>
          <w:sz w:val="32"/>
          <w:szCs w:val="32"/>
          <w:highlight w:val="none"/>
          <w:lang w:val="en-US" w:eastAsia="zh-CN"/>
        </w:rPr>
        <w:t>图书馆、</w:t>
      </w:r>
      <w:r>
        <w:rPr>
          <w:rFonts w:hint="default" w:ascii="仿宋" w:hAnsi="仿宋" w:eastAsia="仿宋" w:cs="仿宋"/>
          <w:b w:val="0"/>
          <w:bCs w:val="0"/>
          <w:color w:val="auto"/>
          <w:sz w:val="32"/>
          <w:szCs w:val="32"/>
          <w:highlight w:val="none"/>
          <w:lang w:val="en-US" w:eastAsia="zh-CN"/>
        </w:rPr>
        <w:t>开展文体活动</w:t>
      </w:r>
      <w:r>
        <w:rPr>
          <w:rFonts w:hint="eastAsia" w:ascii="仿宋" w:hAnsi="仿宋" w:eastAsia="仿宋" w:cs="仿宋"/>
          <w:b w:val="0"/>
          <w:bCs w:val="0"/>
          <w:color w:val="auto"/>
          <w:sz w:val="32"/>
          <w:szCs w:val="32"/>
          <w:highlight w:val="none"/>
          <w:lang w:val="en-US" w:eastAsia="zh-CN"/>
        </w:rPr>
        <w:t>，加强天然林保护 开展野果林人工灌溉工作，组织林业技术人员实地勘查，制定野果林应急灌溉措施，安排对野果林进行人工灌溉，保障了野果林区自然生态安全。</w:t>
      </w:r>
      <w:r>
        <w:rPr>
          <w:rFonts w:hint="default" w:ascii="Times New Roman" w:hAnsi="Times New Roman" w:eastAsia="仿宋_GB2312" w:cs="Times New Roman"/>
          <w:b w:val="0"/>
          <w:bCs w:val="0"/>
          <w:color w:val="auto"/>
          <w:sz w:val="32"/>
          <w:szCs w:val="32"/>
          <w:highlight w:val="none"/>
          <w:lang w:val="en-US" w:eastAsia="zh-CN"/>
        </w:rPr>
        <w:t>项目预算涵盖从</w:t>
      </w:r>
      <w:r>
        <w:rPr>
          <w:rFonts w:hint="eastAsia" w:eastAsia="仿宋_GB2312" w:cs="Times New Roman"/>
          <w:b w:val="0"/>
          <w:bCs w:val="0"/>
          <w:color w:val="auto"/>
          <w:sz w:val="32"/>
          <w:szCs w:val="32"/>
          <w:highlight w:val="none"/>
          <w:lang w:val="en-US" w:eastAsia="zh-CN"/>
        </w:rPr>
        <w:t>2024年1月1日</w:t>
      </w:r>
      <w:r>
        <w:rPr>
          <w:rFonts w:hint="default" w:ascii="Times New Roman" w:hAnsi="Times New Roman" w:eastAsia="仿宋_GB2312" w:cs="Times New Roman"/>
          <w:b w:val="0"/>
          <w:bCs w:val="0"/>
          <w:color w:val="auto"/>
          <w:sz w:val="32"/>
          <w:szCs w:val="32"/>
          <w:highlight w:val="none"/>
          <w:lang w:val="en-US" w:eastAsia="zh-CN"/>
        </w:rPr>
        <w:t>至</w:t>
      </w:r>
      <w:r>
        <w:rPr>
          <w:rFonts w:hint="eastAsia" w:eastAsia="仿宋_GB2312" w:cs="Times New Roman"/>
          <w:b w:val="0"/>
          <w:bCs w:val="0"/>
          <w:color w:val="auto"/>
          <w:sz w:val="32"/>
          <w:szCs w:val="32"/>
          <w:highlight w:val="none"/>
          <w:lang w:val="en-US" w:eastAsia="zh-CN"/>
        </w:rPr>
        <w:t>2024年12月25日</w:t>
      </w:r>
      <w:r>
        <w:rPr>
          <w:rFonts w:hint="default" w:ascii="Times New Roman" w:hAnsi="Times New Roman" w:eastAsia="仿宋_GB2312" w:cs="Times New Roman"/>
          <w:b w:val="0"/>
          <w:bCs w:val="0"/>
          <w:color w:val="auto"/>
          <w:sz w:val="32"/>
          <w:szCs w:val="32"/>
          <w:highlight w:val="none"/>
          <w:lang w:val="en-US" w:eastAsia="zh-CN"/>
        </w:rPr>
        <w:t>全部资金投入与支出，涉及资金总额为</w:t>
      </w:r>
      <w:r>
        <w:rPr>
          <w:rFonts w:hint="eastAsia" w:eastAsia="仿宋_GB2312" w:cs="Times New Roman"/>
          <w:b w:val="0"/>
          <w:bCs w:val="0"/>
          <w:color w:val="auto"/>
          <w:sz w:val="32"/>
          <w:szCs w:val="32"/>
          <w:highlight w:val="none"/>
          <w:lang w:val="en-US" w:eastAsia="zh-CN"/>
        </w:rPr>
        <w:t>1.7</w:t>
      </w:r>
      <w:r>
        <w:rPr>
          <w:rFonts w:hint="default" w:ascii="Times New Roman" w:hAnsi="Times New Roman" w:eastAsia="仿宋_GB2312" w:cs="Times New Roman"/>
          <w:b w:val="0"/>
          <w:bCs w:val="0"/>
          <w:color w:val="auto"/>
          <w:sz w:val="32"/>
          <w:szCs w:val="32"/>
          <w:highlight w:val="none"/>
          <w:lang w:val="en-US" w:eastAsia="zh-CN"/>
        </w:rPr>
        <w:t>万元。</w:t>
      </w:r>
    </w:p>
    <w:p w14:paraId="2778C6BE">
      <w:pPr>
        <w:pStyle w:val="9"/>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14:paraId="44F110DC">
      <w:pPr>
        <w:pStyle w:val="9"/>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7C3EEDBE">
      <w:pPr>
        <w:pStyle w:val="9"/>
        <w:widowControl w:val="0"/>
        <w:numPr>
          <w:ilvl w:val="0"/>
          <w:numId w:val="1"/>
        </w:numPr>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356F7DCD">
      <w:pPr>
        <w:pStyle w:val="9"/>
        <w:widowControl w:val="0"/>
        <w:numPr>
          <w:ilvl w:val="0"/>
          <w:numId w:val="1"/>
        </w:numPr>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5F62C28A">
      <w:pPr>
        <w:pStyle w:val="9"/>
        <w:widowControl w:val="0"/>
        <w:numPr>
          <w:ilvl w:val="0"/>
          <w:numId w:val="1"/>
        </w:numPr>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1BE586B0">
      <w:pPr>
        <w:pStyle w:val="9"/>
        <w:widowControl w:val="0"/>
        <w:numPr>
          <w:ilvl w:val="0"/>
          <w:numId w:val="1"/>
        </w:numPr>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w:t>
      </w:r>
      <w:r>
        <w:rPr>
          <w:rFonts w:hint="eastAsia" w:ascii="Times New Roman" w:hAnsi="Times New Roman" w:eastAsia="仿宋_GB2312" w:cs="Times New Roman"/>
          <w:b w:val="0"/>
          <w:bCs w:val="0"/>
          <w:color w:val="auto"/>
          <w:highlight w:val="none"/>
          <w:lang w:val="en-US" w:eastAsia="zh-CN"/>
        </w:rPr>
        <w:t>社会</w:t>
      </w:r>
      <w:r>
        <w:rPr>
          <w:rFonts w:hint="default" w:ascii="Times New Roman" w:hAnsi="Times New Roman" w:eastAsia="仿宋_GB2312" w:cs="Times New Roman"/>
          <w:b w:val="0"/>
          <w:bCs w:val="0"/>
          <w:color w:val="auto"/>
          <w:highlight w:val="none"/>
        </w:rPr>
        <w:t>方面的综合影响。</w:t>
      </w:r>
    </w:p>
    <w:p w14:paraId="70CE79F9">
      <w:pPr>
        <w:shd w:val="clea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14:paraId="52F7BF9D">
      <w:pPr>
        <w:pStyle w:val="9"/>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14:paraId="5522AD55">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14:paraId="30CBAC8C">
      <w:pPr>
        <w:pStyle w:val="9"/>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7D03AE19">
      <w:pPr>
        <w:pStyle w:val="9"/>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1E4EBB1F">
      <w:pPr>
        <w:pStyle w:val="9"/>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3AE6F396">
      <w:pPr>
        <w:pStyle w:val="9"/>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036BD4AF">
      <w:pPr>
        <w:pStyle w:val="9"/>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14:paraId="2FFC975F">
      <w:pPr>
        <w:shd w:val="clea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4B333508">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39A4689B">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3A8C537B">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14:paraId="1D24D084">
      <w:pPr>
        <w:shd w:val="clear" w:color="auto"/>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71FD6C69">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w:t>
      </w:r>
      <w:r>
        <w:rPr>
          <w:rFonts w:hint="default" w:ascii="Times New Roman" w:hAnsi="Times New Roman" w:eastAsia="仿宋_GB2312" w:cs="Times New Roman"/>
          <w:color w:val="auto"/>
          <w:spacing w:val="17"/>
          <w:sz w:val="32"/>
          <w:szCs w:val="32"/>
          <w:highlight w:val="none"/>
        </w:rPr>
        <w:t>确定指标标准值</w:t>
      </w:r>
    </w:p>
    <w:p w14:paraId="53BD7C02">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4D6A4D47">
      <w:pPr>
        <w:pStyle w:val="9"/>
        <w:shd w:val="clear"/>
        <w:spacing w:before="0" w:after="0" w:line="560" w:lineRule="exact"/>
        <w:ind w:firstLine="708" w:firstLineChars="200"/>
        <w:jc w:val="both"/>
        <w:rPr>
          <w:rFonts w:hint="eastAsia" w:ascii="Times New Roman" w:hAnsi="Times New Roman" w:eastAsia="仿宋_GB2312" w:cs="Times New Roman"/>
          <w:b w:val="0"/>
          <w:bCs w:val="0"/>
          <w:color w:val="auto"/>
          <w:spacing w:val="17"/>
          <w:kern w:val="2"/>
          <w:highlight w:val="none"/>
          <w:lang w:val="en-US" w:eastAsia="zh-CN"/>
        </w:rPr>
      </w:pPr>
      <w:r>
        <w:rPr>
          <w:rFonts w:hint="default" w:ascii="Times New Roman" w:hAnsi="Times New Roman" w:eastAsia="仿宋_GB2312" w:cs="Times New Roman"/>
          <w:b w:val="0"/>
          <w:bCs w:val="0"/>
          <w:color w:val="auto"/>
          <w:spacing w:val="17"/>
          <w:kern w:val="2"/>
          <w:highlight w:val="none"/>
        </w:rPr>
        <w:t>绩效评价总分值100分，根据综合评分结果100分为优</w:t>
      </w:r>
      <w:r>
        <w:rPr>
          <w:rFonts w:hint="default" w:ascii="Times New Roman" w:hAnsi="Times New Roman" w:eastAsia="仿宋_GB2312" w:cs="Times New Roman"/>
          <w:color w:val="auto"/>
          <w:spacing w:val="17"/>
          <w:sz w:val="32"/>
          <w:szCs w:val="32"/>
          <w:highlight w:val="none"/>
        </w:rPr>
        <w:t>。</w:t>
      </w:r>
    </w:p>
    <w:p w14:paraId="2B969E92">
      <w:pPr>
        <w:pStyle w:val="9"/>
        <w:shd w:val="clear"/>
        <w:spacing w:before="0" w:after="0" w:line="560" w:lineRule="exact"/>
        <w:ind w:firstLine="708" w:firstLineChars="200"/>
        <w:jc w:val="both"/>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14:paraId="11D9F134">
      <w:pPr>
        <w:pStyle w:val="9"/>
        <w:widowControl w:val="0"/>
        <w:shd w:val="clear"/>
        <w:spacing w:before="0" w:after="0" w:line="560" w:lineRule="exact"/>
        <w:ind w:firstLine="640" w:firstLineChars="200"/>
        <w:jc w:val="both"/>
        <w:outlineLvl w:val="9"/>
        <w:rPr>
          <w:rFonts w:hint="eastAsia"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14:paraId="55028AD0">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7B9ADD89">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0DB2D60">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成本效益分析法。</w:t>
      </w:r>
      <w:r>
        <w:rPr>
          <w:rFonts w:hint="eastAsia" w:ascii="Times New Roman" w:hAnsi="Times New Roman" w:eastAsia="仿宋_GB2312" w:cs="Times New Roman"/>
          <w:color w:val="auto"/>
          <w:spacing w:val="17"/>
          <w:sz w:val="32"/>
          <w:szCs w:val="32"/>
          <w:highlight w:val="none"/>
          <w:lang w:val="en-US" w:eastAsia="zh-CN"/>
        </w:rPr>
        <w:t>通过比较项目或决策的成本与效益来评估项目可行性，将各项成本和效益用指标表示出来，从而实现项目资金的有效配置。</w:t>
      </w:r>
    </w:p>
    <w:p w14:paraId="4BB75E81">
      <w:pPr>
        <w:pStyle w:val="9"/>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0A023B75">
      <w:pPr>
        <w:pStyle w:val="9"/>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p>
    <w:p w14:paraId="29739103">
      <w:pPr>
        <w:pStyle w:val="9"/>
        <w:widowControl w:val="0"/>
        <w:shd w:val="clear"/>
        <w:spacing w:before="0" w:after="0" w:line="560" w:lineRule="exact"/>
        <w:ind w:firstLine="640" w:firstLineChars="200"/>
        <w:jc w:val="both"/>
        <w:outlineLvl w:val="9"/>
        <w:rPr>
          <w:rFonts w:hint="default" w:ascii="Times New Roman" w:hAnsi="Times New Roman" w:eastAsia="楷体" w:cs="Times New Roman"/>
          <w:color w:val="auto"/>
          <w:spacing w:val="17"/>
          <w:highlight w:val="none"/>
        </w:rPr>
      </w:pPr>
      <w:r>
        <w:rPr>
          <w:rFonts w:hint="default" w:ascii="Times New Roman" w:hAnsi="Times New Roman" w:eastAsia="仿宋_GB2312" w:cs="Times New Roman"/>
          <w:b w:val="0"/>
          <w:bCs w:val="0"/>
          <w:color w:val="auto"/>
          <w:highlight w:val="none"/>
        </w:rPr>
        <w:t>计划标准。</w:t>
      </w:r>
      <w:r>
        <w:rPr>
          <w:rFonts w:hint="eastAsia" w:ascii="Times New Roman" w:hAnsi="Times New Roman" w:eastAsia="仿宋_GB2312" w:cs="Times New Roman"/>
          <w:b w:val="0"/>
          <w:bCs w:val="0"/>
          <w:color w:val="auto"/>
          <w:highlight w:val="none"/>
          <w:lang w:val="en-US" w:eastAsia="zh-CN"/>
        </w:rPr>
        <w:t>通过对绩效指标完成情况以预先制定目标、计划、预算、定额等作为评价标准，量化对目标值进行比较、分析、评价，对完成绩效目标进行考核，方便快捷得出真实有效的评价结果。</w:t>
      </w:r>
    </w:p>
    <w:p w14:paraId="1E920EBB">
      <w:pPr>
        <w:pStyle w:val="9"/>
        <w:numPr>
          <w:ilvl w:val="0"/>
          <w:numId w:val="2"/>
        </w:numPr>
        <w:shd w:val="clea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14:paraId="18DCE150">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29852CB7">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在项目绩效评价工作启动之初，成立了专门的评价工作小组，小组成员由由财务</w:t>
      </w:r>
      <w:r>
        <w:rPr>
          <w:rFonts w:hint="eastAsia" w:eastAsia="仿宋_GB2312" w:cs="Times New Roman"/>
          <w:color w:val="auto"/>
          <w:sz w:val="32"/>
          <w:szCs w:val="32"/>
          <w:highlight w:val="none"/>
          <w:lang w:val="en-US" w:eastAsia="zh-CN"/>
        </w:rPr>
        <w:t>人员</w:t>
      </w:r>
      <w:r>
        <w:rPr>
          <w:rFonts w:hint="default" w:ascii="Times New Roman" w:hAnsi="Times New Roman" w:eastAsia="仿宋_GB2312" w:cs="Times New Roman"/>
          <w:color w:val="auto"/>
          <w:sz w:val="32"/>
          <w:szCs w:val="32"/>
          <w:highlight w:val="none"/>
        </w:rPr>
        <w:t>、项目管理人员及相关领域技术骨干组成，确保从多角度、全方位对项目绩效进行评价。同时，明确了评价工作的目标、范围、重点及时间安排，制定了详细的工作计划，为评价工作的顺利开展奠定了坚实基础。</w:t>
      </w:r>
    </w:p>
    <w:p w14:paraId="2A8C52EC">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51A1508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714255B5">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453A39F1">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6F31B4D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2DD47E7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3F4422F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6A1F358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394A237C">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6293D52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72DD4AB">
      <w:pPr>
        <w:numPr>
          <w:ilvl w:val="0"/>
          <w:numId w:val="3"/>
        </w:num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14:paraId="0DD956D1">
      <w:pPr>
        <w:pStyle w:val="9"/>
        <w:keepNext w:val="0"/>
        <w:keepLines w:val="0"/>
        <w:pageBreakBefore w:val="0"/>
        <w:widowControl/>
        <w:shd w:val="clea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14:paraId="2C003227">
      <w:pPr>
        <w:pStyle w:val="8"/>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Style w:val="15"/>
          <w:rFonts w:hint="eastAsia" w:ascii="仿宋_GB2312" w:hAnsi="楷体" w:eastAsia="仿宋_GB2312"/>
          <w:b w:val="0"/>
          <w:color w:val="auto"/>
          <w:spacing w:val="-4"/>
          <w:sz w:val="32"/>
          <w:szCs w:val="32"/>
          <w:highlight w:val="none"/>
          <w:lang w:val="en-US" w:eastAsia="zh-CN"/>
        </w:rPr>
        <w:t>2024年美术馆、公共图书馆、文化馆（站）免费开放补助资金专项项目</w:t>
      </w:r>
      <w:r>
        <w:rPr>
          <w:rFonts w:hint="default" w:ascii="Times New Roman" w:hAnsi="Times New Roman" w:eastAsia="仿宋_GB2312" w:cs="Times New Roman"/>
          <w:color w:val="auto"/>
          <w:sz w:val="32"/>
          <w:szCs w:val="32"/>
          <w:highlight w:val="none"/>
        </w:rPr>
        <w:t>开展各项文化活动，购买图书架子促进各民族之间友好往来，公众满意</w:t>
      </w:r>
      <w:r>
        <w:rPr>
          <w:rFonts w:hint="eastAsia" w:eastAsia="仿宋_GB2312" w:cs="Times New Roman"/>
          <w:color w:val="auto"/>
          <w:sz w:val="32"/>
          <w:szCs w:val="32"/>
          <w:highlight w:val="none"/>
          <w:lang w:val="en-US" w:eastAsia="zh-CN"/>
        </w:rPr>
        <w:t>度方面</w:t>
      </w:r>
      <w:r>
        <w:rPr>
          <w:rFonts w:hint="default" w:ascii="Times New Roman" w:hAnsi="Times New Roman" w:eastAsia="仿宋_GB2312" w:cs="Times New Roman"/>
          <w:color w:val="auto"/>
          <w:kern w:val="2"/>
          <w:sz w:val="32"/>
          <w:szCs w:val="32"/>
          <w:highlight w:val="none"/>
          <w:lang w:val="en-US" w:eastAsia="zh-CN" w:bidi="ar-SA"/>
        </w:rPr>
        <w:t>达到了预期的标准与要求。</w:t>
      </w: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val="en-US" w:eastAsia="zh-CN"/>
        </w:rPr>
        <w:t>托里县老风口林场</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18FB7373">
      <w:pPr>
        <w:pStyle w:val="8"/>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eastAsia="仿宋_GB2312" w:cs="Times New Roman"/>
          <w:color w:val="auto"/>
          <w:sz w:val="32"/>
          <w:szCs w:val="32"/>
          <w:highlight w:val="none"/>
          <w:lang w:val="en-US" w:eastAsia="zh-CN"/>
        </w:rPr>
        <w:t>社会效益</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75C4E168">
      <w:pPr>
        <w:pStyle w:val="8"/>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综上所述，</w:t>
      </w:r>
      <w:r>
        <w:rPr>
          <w:rStyle w:val="15"/>
          <w:rFonts w:hint="eastAsia" w:ascii="仿宋_GB2312" w:hAnsi="楷体" w:eastAsia="仿宋_GB2312"/>
          <w:b w:val="0"/>
          <w:color w:val="auto"/>
          <w:spacing w:val="-4"/>
          <w:sz w:val="32"/>
          <w:szCs w:val="32"/>
          <w:highlight w:val="none"/>
          <w:lang w:val="en-US" w:eastAsia="zh-CN"/>
        </w:rPr>
        <w:t>2024年美术馆、公共图书馆、文化馆（站）免费开放补助资金专项项目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14:paraId="71288BF5">
      <w:pPr>
        <w:pStyle w:val="9"/>
        <w:keepNext w:val="0"/>
        <w:keepLines w:val="0"/>
        <w:pageBreakBefore w:val="0"/>
        <w:widowControl/>
        <w:shd w:val="clea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14:paraId="5C550068">
      <w:pPr>
        <w:pStyle w:val="9"/>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运用绩效评价组制定的评价指标体系以及财政部《项目支出绩效评价管理办法》（财预〔2020〕10号）文件的评分标准，通过数据采集、问卷调查及访谈等方式，对本项目进行客</w:t>
      </w:r>
      <w:r>
        <w:rPr>
          <w:rFonts w:hint="default" w:ascii="Times New Roman" w:hAnsi="Times New Roman" w:eastAsia="仿宋_GB2312" w:cs="Times New Roman"/>
          <w:b w:val="0"/>
          <w:bCs w:val="0"/>
          <w:color w:val="auto"/>
          <w:highlight w:val="none"/>
        </w:rPr>
        <w:t xml:space="preserve">观评价，最终评分结果：总得分为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分，属于“优”。其中，项目产出指标权重为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%。项目成本指标权重为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%。项目效益指标权重为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%。项目满意度指标权重为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w:t>
      </w:r>
    </w:p>
    <w:p w14:paraId="7EDD870F">
      <w:pPr>
        <w:shd w:val="clear"/>
        <w:rPr>
          <w:rFonts w:hint="default"/>
          <w:color w:val="auto"/>
          <w:highlight w:val="none"/>
          <w:lang w:eastAsia="zh-CN"/>
        </w:rPr>
      </w:pPr>
    </w:p>
    <w:p w14:paraId="4FC1868D">
      <w:pPr>
        <w:pStyle w:val="9"/>
        <w:widowControl w:val="0"/>
        <w:shd w:val="clear"/>
        <w:spacing w:before="0" w:after="0" w:line="560" w:lineRule="exact"/>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636E578A">
      <w:pPr>
        <w:pStyle w:val="9"/>
        <w:keepNext w:val="0"/>
        <w:keepLines w:val="0"/>
        <w:pageBreakBefore w:val="0"/>
        <w:widowControl/>
        <w:shd w:val="clear"/>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2"/>
        <w:tblW w:w="8760" w:type="dxa"/>
        <w:jc w:val="center"/>
        <w:tblLayout w:type="fixed"/>
        <w:tblCellMar>
          <w:top w:w="0" w:type="dxa"/>
          <w:left w:w="108" w:type="dxa"/>
          <w:bottom w:w="0" w:type="dxa"/>
          <w:right w:w="108" w:type="dxa"/>
        </w:tblCellMar>
      </w:tblPr>
      <w:tblGrid>
        <w:gridCol w:w="2787"/>
        <w:gridCol w:w="1927"/>
        <w:gridCol w:w="2023"/>
        <w:gridCol w:w="2023"/>
      </w:tblGrid>
      <w:tr w14:paraId="5F311A09">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14:paraId="3CE5C914">
            <w:pPr>
              <w:shd w:val="clea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vAlign w:val="center"/>
          </w:tcPr>
          <w:p w14:paraId="27D409A5">
            <w:pPr>
              <w:shd w:val="clea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0582FC62">
            <w:pPr>
              <w:shd w:val="clea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327E039D">
            <w:pPr>
              <w:shd w:val="clea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75A3BCFF">
        <w:tblPrEx>
          <w:tblCellMar>
            <w:top w:w="0" w:type="dxa"/>
            <w:left w:w="108" w:type="dxa"/>
            <w:bottom w:w="0" w:type="dxa"/>
            <w:right w:w="108" w:type="dxa"/>
          </w:tblCellMar>
        </w:tblPrEx>
        <w:trPr>
          <w:trHeight w:val="378"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9B07401">
            <w:pPr>
              <w:shd w:val="clea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4294C22C">
            <w:pPr>
              <w:shd w:val="clea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C75E94D">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B91565C">
            <w:pPr>
              <w:shd w:val="clear"/>
              <w:jc w:val="center"/>
              <w:rPr>
                <w:rFonts w:hint="default" w:ascii="Times New Roman" w:hAnsi="Times New Roman" w:eastAsia="仿宋_GB2312" w:cs="Times New Roman"/>
                <w:color w:val="auto"/>
                <w:sz w:val="21"/>
                <w:szCs w:val="21"/>
                <w:highlight w:val="none"/>
              </w:rPr>
            </w:pPr>
            <w:r>
              <w:rPr>
                <w:rFonts w:hint="eastAsia" w:eastAsia="仿宋_GB2312" w:cs="Times New Roman"/>
                <w:b/>
                <w:bCs/>
                <w:color w:val="auto"/>
                <w:sz w:val="21"/>
                <w:szCs w:val="21"/>
                <w:highlight w:val="none"/>
                <w:lang w:val="en-US" w:eastAsia="zh-CN"/>
              </w:rPr>
              <w:t>100%</w:t>
            </w:r>
          </w:p>
        </w:tc>
      </w:tr>
      <w:tr w14:paraId="179C0F77">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BD59613">
            <w:pPr>
              <w:shd w:val="clea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2999D93F">
            <w:pPr>
              <w:shd w:val="clea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C6598CC">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C196EF2">
            <w:pPr>
              <w:shd w:val="clear"/>
              <w:jc w:val="center"/>
              <w:rPr>
                <w:rFonts w:hint="default" w:ascii="Times New Roman" w:hAnsi="Times New Roman" w:eastAsia="仿宋_GB2312" w:cs="Times New Roman"/>
                <w:color w:val="auto"/>
                <w:sz w:val="21"/>
                <w:szCs w:val="21"/>
                <w:highlight w:val="none"/>
              </w:rPr>
            </w:pPr>
            <w:r>
              <w:rPr>
                <w:rFonts w:hint="eastAsia" w:eastAsia="仿宋_GB2312" w:cs="Times New Roman"/>
                <w:b/>
                <w:bCs/>
                <w:color w:val="auto"/>
                <w:sz w:val="21"/>
                <w:szCs w:val="21"/>
                <w:highlight w:val="none"/>
                <w:lang w:val="en-US" w:eastAsia="zh-CN"/>
              </w:rPr>
              <w:t>100%</w:t>
            </w:r>
          </w:p>
        </w:tc>
      </w:tr>
      <w:tr w14:paraId="7568535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896896D">
            <w:pPr>
              <w:shd w:val="clea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2325784D">
            <w:pPr>
              <w:shd w:val="clea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29D739E7">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04F2738A">
            <w:pPr>
              <w:shd w:val="clear"/>
              <w:jc w:val="center"/>
              <w:rPr>
                <w:rFonts w:hint="default" w:ascii="Times New Roman" w:hAnsi="Times New Roman" w:eastAsia="仿宋_GB2312" w:cs="Times New Roman"/>
                <w:color w:val="auto"/>
                <w:sz w:val="21"/>
                <w:szCs w:val="21"/>
                <w:highlight w:val="none"/>
              </w:rPr>
            </w:pPr>
            <w:r>
              <w:rPr>
                <w:rFonts w:hint="eastAsia" w:eastAsia="仿宋_GB2312" w:cs="Times New Roman"/>
                <w:b/>
                <w:bCs/>
                <w:color w:val="auto"/>
                <w:sz w:val="21"/>
                <w:szCs w:val="21"/>
                <w:highlight w:val="none"/>
                <w:lang w:val="en-US" w:eastAsia="zh-CN"/>
              </w:rPr>
              <w:t>100%</w:t>
            </w:r>
          </w:p>
        </w:tc>
      </w:tr>
      <w:tr w14:paraId="01AE8A7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AC6CA50">
            <w:pPr>
              <w:shd w:val="clea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302BE719">
            <w:pPr>
              <w:shd w:val="clea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ABFD228">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33F7426">
            <w:pPr>
              <w:shd w:val="clear"/>
              <w:jc w:val="center"/>
              <w:rPr>
                <w:rFonts w:hint="default" w:ascii="Times New Roman" w:hAnsi="Times New Roman" w:eastAsia="仿宋_GB2312" w:cs="Times New Roman"/>
                <w:color w:val="auto"/>
                <w:sz w:val="21"/>
                <w:szCs w:val="21"/>
                <w:highlight w:val="none"/>
              </w:rPr>
            </w:pPr>
            <w:r>
              <w:rPr>
                <w:rFonts w:hint="eastAsia" w:eastAsia="仿宋_GB2312" w:cs="Times New Roman"/>
                <w:b/>
                <w:bCs/>
                <w:color w:val="auto"/>
                <w:sz w:val="21"/>
                <w:szCs w:val="21"/>
                <w:highlight w:val="none"/>
                <w:lang w:val="en-US" w:eastAsia="zh-CN"/>
              </w:rPr>
              <w:t>100%</w:t>
            </w:r>
          </w:p>
        </w:tc>
      </w:tr>
      <w:tr w14:paraId="4A9D58C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4082EA9">
            <w:pPr>
              <w:shd w:val="clea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48205FAE">
            <w:pPr>
              <w:shd w:val="clea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4C0C74BB">
            <w:pPr>
              <w:shd w:val="clea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0E338C1">
            <w:pPr>
              <w:shd w:val="clea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r>
    </w:tbl>
    <w:p w14:paraId="7DC4A2B3">
      <w:p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35620F0D">
      <w:pPr>
        <w:pStyle w:val="9"/>
        <w:shd w:val="clear"/>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w:t>
      </w:r>
      <w:r>
        <w:rPr>
          <w:rFonts w:hint="default" w:ascii="Times New Roman" w:hAnsi="Times New Roman" w:eastAsia="楷体_GB2312" w:cs="Times New Roman"/>
          <w:color w:val="auto"/>
          <w:highlight w:val="none"/>
        </w:rPr>
        <w:t>）项目决策情况</w:t>
      </w:r>
    </w:p>
    <w:p w14:paraId="44CC2307">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4119DF0D">
      <w:pPr>
        <w:pStyle w:val="20"/>
        <w:keepNext w:val="0"/>
        <w:keepLines w:val="0"/>
        <w:pageBreakBefore w:val="0"/>
        <w:widowControl w:val="0"/>
        <w:shd w:val="clear" w:color="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12C772F6">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14:paraId="4F155673">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6726741">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14:paraId="4836B7AE">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14:paraId="114BE1B0">
      <w:pPr>
        <w:pStyle w:val="20"/>
        <w:keepNext w:val="0"/>
        <w:keepLines w:val="0"/>
        <w:pageBreakBefore w:val="0"/>
        <w:widowControl w:val="0"/>
        <w:shd w:val="clear" w:color="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14:paraId="6D9D7792">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14:paraId="4AB9CBDD">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D66745B">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14:paraId="58017632">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5EBE267F">
      <w:pPr>
        <w:pStyle w:val="20"/>
        <w:keepNext w:val="0"/>
        <w:keepLines w:val="0"/>
        <w:pageBreakBefore w:val="0"/>
        <w:widowControl w:val="0"/>
        <w:shd w:val="clear" w:color="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14:paraId="51CB244E">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14:paraId="49241CB1">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EDA0D95">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65C9CAF9">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16559C27">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30C67256">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730FC677">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1F4C21E">
      <w:pPr>
        <w:pStyle w:val="9"/>
        <w:numPr>
          <w:ilvl w:val="0"/>
          <w:numId w:val="4"/>
        </w:numPr>
        <w:shd w:val="clea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3F18EAC3">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w:t>
      </w:r>
      <w:r>
        <w:rPr>
          <w:rFonts w:hint="default" w:ascii="Times New Roman" w:hAnsi="Times New Roman" w:eastAsia="仿宋_GB2312" w:cs="Times New Roman"/>
          <w:color w:val="auto"/>
          <w:sz w:val="32"/>
          <w:szCs w:val="32"/>
          <w:highlight w:val="none"/>
          <w:lang w:val="en-US" w:eastAsia="zh-CN"/>
        </w:rPr>
        <w:t>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181473B3">
      <w:pPr>
        <w:pStyle w:val="20"/>
        <w:keepNext w:val="0"/>
        <w:keepLines w:val="0"/>
        <w:pageBreakBefore w:val="0"/>
        <w:widowControl w:val="0"/>
        <w:shd w:val="clear" w:color="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7264CACB">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183F2996">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1.7</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497083FD">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6713FF29">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w:t>
      </w:r>
      <w:r>
        <w:rPr>
          <w:rFonts w:hint="default" w:ascii="Times New Roman" w:hAnsi="Times New Roman" w:eastAsia="仿宋_GB2312" w:cs="Times New Roman"/>
          <w:color w:val="auto"/>
          <w:sz w:val="32"/>
          <w:szCs w:val="32"/>
          <w:highlight w:val="none"/>
          <w:lang w:val="en-US" w:eastAsia="zh-CN"/>
        </w:rPr>
        <w:t>预算资金支出</w:t>
      </w:r>
      <w:r>
        <w:rPr>
          <w:rFonts w:hint="eastAsia" w:eastAsia="仿宋_GB2312" w:cs="Times New Roman"/>
          <w:color w:val="auto"/>
          <w:sz w:val="32"/>
          <w:szCs w:val="32"/>
          <w:highlight w:val="none"/>
          <w:lang w:val="en-US" w:eastAsia="zh-CN"/>
        </w:rPr>
        <w:t>1.7</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336AC062">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563FB46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78F5039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134AC57">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772FF66">
      <w:pPr>
        <w:pStyle w:val="20"/>
        <w:keepNext w:val="0"/>
        <w:keepLines w:val="0"/>
        <w:pageBreakBefore w:val="0"/>
        <w:widowControl w:val="0"/>
        <w:shd w:val="clear" w:color="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041A3FB9">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6BC31043">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5C84FD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13D722B0">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09B63D40">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E677BD6">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14:paraId="02A291B4">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757E9514">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41642E9E">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w:t>
      </w:r>
      <w:r>
        <w:rPr>
          <w:rFonts w:hint="default" w:ascii="Times New Roman" w:hAnsi="Times New Roman" w:eastAsia="仿宋_GB2312" w:cs="Times New Roman"/>
          <w:color w:val="auto"/>
          <w:sz w:val="32"/>
          <w:szCs w:val="32"/>
          <w:highlight w:val="none"/>
          <w:lang w:eastAsia="zh-CN"/>
        </w:rPr>
        <w:t>达成。</w:t>
      </w:r>
    </w:p>
    <w:p w14:paraId="63935FCC">
      <w:pPr>
        <w:pStyle w:val="10"/>
        <w:numPr>
          <w:ilvl w:val="0"/>
          <w:numId w:val="4"/>
        </w:numPr>
        <w:shd w:val="clea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14:paraId="586AB724">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13</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w:t>
      </w:r>
      <w:r>
        <w:rPr>
          <w:rFonts w:hint="default" w:ascii="Times New Roman" w:hAnsi="Times New Roman" w:eastAsia="仿宋_GB2312" w:cs="Times New Roman"/>
          <w:color w:val="auto"/>
          <w:sz w:val="32"/>
          <w:szCs w:val="32"/>
          <w:highlight w:val="none"/>
          <w:lang w:val="en-US" w:eastAsia="zh-CN"/>
        </w:rPr>
        <w:t>体产出指标完成情况如下：</w:t>
      </w:r>
    </w:p>
    <w:p w14:paraId="036741D4">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Calibri" w:hAnsi="Calibri" w:eastAsia="仿宋_GB2312" w:cs="Calibri"/>
          <w:color w:val="auto"/>
          <w:sz w:val="32"/>
          <w:szCs w:val="32"/>
          <w:highlight w:val="none"/>
        </w:rPr>
        <w:t>①</w:t>
      </w:r>
      <w:r>
        <w:rPr>
          <w:rFonts w:hint="default" w:ascii="Times New Roman" w:hAnsi="Times New Roman" w:eastAsia="仿宋_GB2312" w:cs="Times New Roman"/>
          <w:color w:val="auto"/>
          <w:sz w:val="32"/>
          <w:szCs w:val="32"/>
          <w:highlight w:val="none"/>
        </w:rPr>
        <w:t>数量指标：</w:t>
      </w:r>
    </w:p>
    <w:p w14:paraId="6E9F3A8C">
      <w:pPr>
        <w:shd w:val="clear" w:color="auto"/>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 xml:space="preserve">指标1：购买图书架子数量，指标值：=1套 ，实际完成值：=1套，指标完成率 </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偏差为</w:t>
      </w:r>
      <w:r>
        <w:rPr>
          <w:rFonts w:hint="eastAsia" w:eastAsia="仿宋_GB2312" w:cs="Times New Roman"/>
          <w:color w:val="auto"/>
          <w:sz w:val="32"/>
          <w:szCs w:val="32"/>
          <w:highlight w:val="none"/>
          <w:lang w:val="en-US" w:eastAsia="zh-CN"/>
        </w:rPr>
        <w:t>0%。</w:t>
      </w:r>
    </w:p>
    <w:p w14:paraId="5DD4A7AA">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：制作文化站制作背景墙数量，指标值：&gt;=1批，实际完成值：=1批，指标完成率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偏差为</w:t>
      </w:r>
      <w:r>
        <w:rPr>
          <w:rFonts w:hint="eastAsia" w:eastAsia="仿宋_GB2312" w:cs="Times New Roman"/>
          <w:color w:val="auto"/>
          <w:sz w:val="32"/>
          <w:szCs w:val="32"/>
          <w:highlight w:val="none"/>
          <w:lang w:val="en-US" w:eastAsia="zh-CN"/>
        </w:rPr>
        <w:t>0%。</w:t>
      </w:r>
    </w:p>
    <w:p w14:paraId="6FA78409">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：制作文化展板数量，指标值：&gt;=0个，实际完成值：=0个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偏差为</w:t>
      </w:r>
      <w:r>
        <w:rPr>
          <w:rFonts w:hint="eastAsia" w:eastAsia="仿宋_GB2312" w:cs="Times New Roman"/>
          <w:color w:val="auto"/>
          <w:sz w:val="32"/>
          <w:szCs w:val="32"/>
          <w:highlight w:val="none"/>
          <w:lang w:val="en-US" w:eastAsia="zh-CN"/>
        </w:rPr>
        <w:t>0%。</w:t>
      </w:r>
    </w:p>
    <w:p w14:paraId="35B334AD">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：开展各类文化活动数量，指标值：&gt;=5次，实际完成值：=5次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偏差为</w:t>
      </w:r>
      <w:r>
        <w:rPr>
          <w:rFonts w:hint="eastAsia" w:eastAsia="仿宋_GB2312" w:cs="Times New Roman"/>
          <w:color w:val="auto"/>
          <w:sz w:val="32"/>
          <w:szCs w:val="32"/>
          <w:highlight w:val="none"/>
          <w:lang w:val="en-US" w:eastAsia="zh-CN"/>
        </w:rPr>
        <w:t>0%。</w:t>
      </w:r>
    </w:p>
    <w:p w14:paraId="781993D2">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：开展各项文化活动数量，指标值：&gt;=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偏差为</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en-US" w:eastAsia="zh-CN"/>
        </w:rPr>
        <w:t>..</w:t>
      </w:r>
    </w:p>
    <w:p w14:paraId="2DD2C643">
      <w:pPr>
        <w:shd w:val="clear" w:color="auto"/>
        <w:tabs>
          <w:tab w:val="left" w:pos="451"/>
        </w:tabs>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Calibri" w:hAnsi="Calibri" w:eastAsia="仿宋_GB2312" w:cs="Calibri"/>
          <w:color w:val="auto"/>
          <w:sz w:val="32"/>
          <w:szCs w:val="32"/>
          <w:highlight w:val="none"/>
          <w:lang w:val="en-US" w:eastAsia="zh-CN"/>
        </w:rPr>
        <w:t>②</w:t>
      </w:r>
      <w:r>
        <w:rPr>
          <w:rFonts w:hint="default" w:ascii="Times New Roman" w:hAnsi="Times New Roman" w:eastAsia="仿宋_GB2312" w:cs="Times New Roman"/>
          <w:color w:val="auto"/>
          <w:sz w:val="32"/>
          <w:szCs w:val="32"/>
          <w:highlight w:val="none"/>
        </w:rPr>
        <w:t>质量指标：</w:t>
      </w:r>
    </w:p>
    <w:p w14:paraId="3EABF018">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：“三馆一站” 开展文化活动覆盖率，指标值：&gt;=95%，实际完成值：=95%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偏差为</w:t>
      </w:r>
      <w:r>
        <w:rPr>
          <w:rFonts w:hint="eastAsia" w:eastAsia="仿宋_GB2312" w:cs="Times New Roman"/>
          <w:color w:val="auto"/>
          <w:sz w:val="32"/>
          <w:szCs w:val="32"/>
          <w:highlight w:val="none"/>
          <w:lang w:val="en-US" w:eastAsia="zh-CN"/>
        </w:rPr>
        <w:t>0%。</w:t>
      </w:r>
    </w:p>
    <w:p w14:paraId="1774A731">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Calibri" w:hAnsi="Calibri" w:eastAsia="仿宋_GB2312" w:cs="Calibri"/>
          <w:color w:val="auto"/>
          <w:sz w:val="32"/>
          <w:szCs w:val="32"/>
          <w:highlight w:val="none"/>
        </w:rPr>
        <w:t>③</w:t>
      </w:r>
      <w:r>
        <w:rPr>
          <w:rFonts w:hint="default" w:ascii="Times New Roman" w:hAnsi="Times New Roman" w:eastAsia="仿宋_GB2312" w:cs="Times New Roman"/>
          <w:color w:val="auto"/>
          <w:sz w:val="32"/>
          <w:szCs w:val="32"/>
          <w:highlight w:val="none"/>
        </w:rPr>
        <w:t>时效指标：</w:t>
      </w:r>
    </w:p>
    <w:p w14:paraId="74A9829B">
      <w:pPr>
        <w:shd w:val="clear" w:color="auto"/>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：项目完工时间，指标值：2024年12月25日前，实际完成值：</w:t>
      </w:r>
      <w:r>
        <w:rPr>
          <w:rFonts w:hint="eastAsia" w:eastAsia="仿宋_GB2312" w:cs="Times New Roman"/>
          <w:color w:val="auto"/>
          <w:sz w:val="32"/>
          <w:szCs w:val="32"/>
          <w:highlight w:val="none"/>
          <w:lang w:val="en-US" w:eastAsia="zh-CN"/>
        </w:rPr>
        <w:t>=2024年12月25日前</w:t>
      </w:r>
      <w:r>
        <w:rPr>
          <w:rFonts w:hint="default" w:ascii="Times New Roman" w:hAnsi="Times New Roman" w:eastAsia="仿宋_GB2312" w:cs="Times New Roman"/>
          <w:color w:val="auto"/>
          <w:sz w:val="32"/>
          <w:szCs w:val="32"/>
          <w:highlight w:val="none"/>
        </w:rPr>
        <w:t xml:space="preserve">，指标完成率 </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偏差为</w:t>
      </w:r>
      <w:r>
        <w:rPr>
          <w:rFonts w:hint="eastAsia" w:eastAsia="仿宋_GB2312" w:cs="Times New Roman"/>
          <w:color w:val="auto"/>
          <w:sz w:val="32"/>
          <w:szCs w:val="32"/>
          <w:highlight w:val="none"/>
          <w:lang w:val="en-US" w:eastAsia="zh-CN"/>
        </w:rPr>
        <w:t>0%。</w:t>
      </w:r>
    </w:p>
    <w:p w14:paraId="4FA045D2">
      <w:pPr>
        <w:shd w:val="clear" w:color="auto"/>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：资金支付及时率，指标值：=100%，实际完成值：=100%，指标完成率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偏差为</w:t>
      </w:r>
      <w:r>
        <w:rPr>
          <w:rFonts w:hint="eastAsia" w:eastAsia="仿宋_GB2312" w:cs="Times New Roman"/>
          <w:color w:val="auto"/>
          <w:sz w:val="32"/>
          <w:szCs w:val="32"/>
          <w:highlight w:val="none"/>
          <w:lang w:val="en-US" w:eastAsia="zh-CN"/>
        </w:rPr>
        <w:t>0%。</w:t>
      </w:r>
    </w:p>
    <w:p w14:paraId="02A59FBF">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eastAsia" w:ascii="微软雅黑" w:hAnsi="微软雅黑" w:eastAsia="微软雅黑" w:cs="微软雅黑"/>
          <w:color w:val="auto"/>
          <w:sz w:val="32"/>
          <w:szCs w:val="32"/>
          <w:highlight w:val="none"/>
        </w:rPr>
        <w:t>④</w:t>
      </w:r>
      <w:r>
        <w:rPr>
          <w:rFonts w:hint="default" w:ascii="Times New Roman" w:hAnsi="Times New Roman" w:eastAsia="仿宋_GB2312" w:cs="Times New Roman"/>
          <w:color w:val="auto"/>
          <w:sz w:val="32"/>
          <w:szCs w:val="32"/>
          <w:highlight w:val="none"/>
        </w:rPr>
        <w:t>成本指标：</w:t>
      </w:r>
    </w:p>
    <w:p w14:paraId="22315AD5">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指标1：购买图书架子费用，指标值：&lt;=1500元，实际完成值：=1500元，指标完成率 100 %，偏差为0%。</w:t>
      </w:r>
    </w:p>
    <w:p w14:paraId="58FF8934">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指标2：制作文化站制作背景墙费用，指标值：&lt;=7000元，实际完成值=7000元：，指标完成率100%，偏差为0%。</w:t>
      </w:r>
    </w:p>
    <w:p w14:paraId="2FA03413">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指标3：开展各类文化活动费用，指标值：=8500元，实际完成值：=8500元，指标完成率100%，偏差为0%。</w:t>
      </w:r>
    </w:p>
    <w:p w14:paraId="4E5B8402">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指标4：开展各项文化活动费用，指标值：=0元，实际完成值：=0元，指标完成率100%，偏差为0%。</w:t>
      </w:r>
    </w:p>
    <w:p w14:paraId="7E69AE59">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指标5：制作文化展板费用，指标值：&lt;=0元 ，实际完成值：=0元，指标完成率100 %，偏差为0%。</w:t>
      </w:r>
    </w:p>
    <w:p w14:paraId="1E9AF2BF">
      <w:pPr>
        <w:pStyle w:val="10"/>
        <w:numPr>
          <w:ilvl w:val="0"/>
          <w:numId w:val="4"/>
        </w:numPr>
        <w:shd w:val="clea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14:paraId="547CE415">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13FA6A9C">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14:paraId="5AA8260D">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14:paraId="5100E041">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指标1：提高各民族群众科学文化素质，指标值：有效提高，实际完成值：有效提高</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指标完成率 100 %，偏差为0%。</w:t>
      </w:r>
    </w:p>
    <w:p w14:paraId="4961CECC">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②</w:t>
      </w:r>
      <w:r>
        <w:rPr>
          <w:rFonts w:hint="eastAsia" w:eastAsia="仿宋_GB2312" w:cs="Times New Roman"/>
          <w:color w:val="auto"/>
          <w:sz w:val="32"/>
          <w:szCs w:val="32"/>
          <w:highlight w:val="none"/>
          <w:lang w:val="en-US" w:eastAsia="zh-CN"/>
        </w:rPr>
        <w:t>满意度</w:t>
      </w:r>
      <w:r>
        <w:rPr>
          <w:rFonts w:hint="default" w:ascii="Times New Roman" w:hAnsi="Times New Roman" w:eastAsia="仿宋_GB2312" w:cs="Times New Roman"/>
          <w:color w:val="auto"/>
          <w:sz w:val="32"/>
          <w:szCs w:val="32"/>
          <w:highlight w:val="none"/>
        </w:rPr>
        <w:t>指标：</w:t>
      </w:r>
    </w:p>
    <w:p w14:paraId="5EFA2600">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指标1：社会公众满意度，指标值：&gt;=95%，实际完成值：</w:t>
      </w:r>
      <w:r>
        <w:rPr>
          <w:rFonts w:hint="eastAsia"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，指标完成率 100 %，偏差为0%。</w:t>
      </w:r>
    </w:p>
    <w:p w14:paraId="16CB215F">
      <w:pPr>
        <w:shd w:val="clear"/>
        <w:spacing w:line="560" w:lineRule="exact"/>
        <w:ind w:firstLine="643" w:firstLineChars="200"/>
        <w:rPr>
          <w:rFonts w:hint="default" w:ascii="Times New Roman" w:hAnsi="Times New Roman" w:eastAsia="楷体_GB2312" w:cs="Times New Roman"/>
          <w:b/>
          <w:bCs/>
          <w:color w:val="auto"/>
          <w:sz w:val="32"/>
          <w:szCs w:val="32"/>
          <w:highlight w:val="none"/>
          <w:lang w:val="en-U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rPr>
        <w:t>预算执行进度与绩效指标总体完成率偏差</w:t>
      </w:r>
    </w:p>
    <w:p w14:paraId="5A620D58">
      <w:pPr>
        <w:pStyle w:val="20"/>
        <w:shd w:val="clear"/>
        <w:spacing w:line="560" w:lineRule="exact"/>
        <w:ind w:firstLine="640"/>
        <w:rPr>
          <w:rFonts w:hint="default" w:ascii="Times New Roman" w:hAnsi="Times New Roman" w:eastAsia="方正仿宋_GBK" w:cs="Times New Roman"/>
          <w:color w:val="auto"/>
          <w:kern w:val="2"/>
          <w:sz w:val="32"/>
          <w:szCs w:val="32"/>
          <w:highlight w:val="none"/>
          <w:lang w:val="en-US" w:bidi="ar-SA"/>
        </w:rPr>
      </w:pPr>
      <w:r>
        <w:rPr>
          <w:rFonts w:hint="default" w:ascii="Times New Roman" w:hAnsi="Times New Roman" w:eastAsia="方正仿宋_GBK" w:cs="Times New Roman"/>
          <w:color w:val="auto"/>
          <w:kern w:val="2"/>
          <w:sz w:val="32"/>
          <w:szCs w:val="32"/>
          <w:highlight w:val="none"/>
          <w:lang w:val="en-US" w:eastAsia="zh-CN" w:bidi="ar-SA"/>
        </w:rPr>
        <w:t>：</w:t>
      </w:r>
      <w:r>
        <w:rPr>
          <w:rFonts w:hint="eastAsia" w:ascii="Times New Roman" w:hAnsi="Times New Roman" w:eastAsia="方正仿宋_GBK" w:cs="Times New Roman"/>
          <w:color w:val="auto"/>
          <w:kern w:val="2"/>
          <w:sz w:val="32"/>
          <w:szCs w:val="32"/>
          <w:highlight w:val="none"/>
          <w:lang w:val="en-US" w:eastAsia="zh-CN" w:bidi="ar-SA"/>
        </w:rPr>
        <w:t>2024年美术馆、公共图书馆、文化馆（站）免费开放补助资金专项项目</w:t>
      </w:r>
      <w:r>
        <w:rPr>
          <w:rFonts w:hint="default" w:ascii="Times New Roman" w:hAnsi="Times New Roman" w:eastAsia="方正仿宋_GBK" w:cs="Times New Roman"/>
          <w:color w:val="auto"/>
          <w:kern w:val="2"/>
          <w:sz w:val="32"/>
          <w:szCs w:val="32"/>
          <w:highlight w:val="none"/>
          <w:lang w:val="en-US" w:bidi="ar-SA"/>
        </w:rPr>
        <w:t>项目年初预算</w:t>
      </w:r>
      <w:r>
        <w:rPr>
          <w:rFonts w:hint="eastAsia" w:eastAsia="方正仿宋_GBK" w:cs="Times New Roman"/>
          <w:color w:val="auto"/>
          <w:kern w:val="2"/>
          <w:sz w:val="32"/>
          <w:szCs w:val="32"/>
          <w:highlight w:val="none"/>
          <w:lang w:val="en-US" w:eastAsia="zh-CN" w:bidi="ar-SA"/>
        </w:rPr>
        <w:t>3.7</w:t>
      </w:r>
      <w:r>
        <w:rPr>
          <w:rFonts w:hint="default" w:ascii="Times New Roman" w:hAnsi="Times New Roman" w:eastAsia="方正仿宋_GBK" w:cs="Times New Roman"/>
          <w:color w:val="auto"/>
          <w:kern w:val="2"/>
          <w:sz w:val="32"/>
          <w:szCs w:val="32"/>
          <w:highlight w:val="none"/>
          <w:lang w:val="en-US" w:bidi="ar-SA"/>
        </w:rPr>
        <w:t>万元，全年预算</w:t>
      </w:r>
      <w:r>
        <w:rPr>
          <w:rFonts w:hint="eastAsia" w:ascii="Times New Roman" w:hAnsi="Times New Roman" w:eastAsia="方正仿宋_GBK" w:cs="Times New Roman"/>
          <w:color w:val="auto"/>
          <w:kern w:val="2"/>
          <w:sz w:val="32"/>
          <w:szCs w:val="32"/>
          <w:highlight w:val="none"/>
          <w:lang w:val="en-US" w:eastAsia="zh-CN" w:bidi="ar-SA"/>
        </w:rPr>
        <w:t>1.7</w:t>
      </w:r>
      <w:r>
        <w:rPr>
          <w:rFonts w:hint="default" w:ascii="Times New Roman" w:hAnsi="Times New Roman" w:eastAsia="方正仿宋_GBK" w:cs="Times New Roman"/>
          <w:color w:val="auto"/>
          <w:kern w:val="2"/>
          <w:sz w:val="32"/>
          <w:szCs w:val="32"/>
          <w:highlight w:val="none"/>
          <w:lang w:val="en-US" w:bidi="ar-SA"/>
        </w:rPr>
        <w:t>万元，实际支出</w:t>
      </w:r>
      <w:r>
        <w:rPr>
          <w:rFonts w:hint="eastAsia" w:ascii="Times New Roman" w:hAnsi="Times New Roman" w:eastAsia="方正仿宋_GBK" w:cs="Times New Roman"/>
          <w:color w:val="auto"/>
          <w:kern w:val="2"/>
          <w:sz w:val="32"/>
          <w:szCs w:val="32"/>
          <w:highlight w:val="none"/>
          <w:lang w:val="en-US" w:eastAsia="zh-CN" w:bidi="ar-SA"/>
        </w:rPr>
        <w:t>1.7</w:t>
      </w:r>
      <w:r>
        <w:rPr>
          <w:rFonts w:hint="default" w:ascii="Times New Roman" w:hAnsi="Times New Roman" w:eastAsia="方正仿宋_GBK" w:cs="Times New Roman"/>
          <w:color w:val="auto"/>
          <w:kern w:val="2"/>
          <w:sz w:val="32"/>
          <w:szCs w:val="32"/>
          <w:highlight w:val="none"/>
          <w:lang w:val="en-US" w:bidi="ar-SA"/>
        </w:rPr>
        <w:t>万元，预算执行率为</w:t>
      </w:r>
      <w:r>
        <w:rPr>
          <w:rFonts w:hint="eastAsia" w:ascii="Times New Roman" w:hAnsi="Times New Roman" w:eastAsia="方正仿宋_GBK" w:cs="Times New Roman"/>
          <w:color w:val="auto"/>
          <w:kern w:val="2"/>
          <w:sz w:val="32"/>
          <w:szCs w:val="32"/>
          <w:highlight w:val="none"/>
          <w:lang w:val="en-US" w:eastAsia="zh-CN" w:bidi="ar-SA"/>
        </w:rPr>
        <w:t>100</w:t>
      </w:r>
      <w:r>
        <w:rPr>
          <w:rFonts w:hint="default" w:ascii="Times New Roman" w:hAnsi="Times New Roman" w:eastAsia="方正仿宋_GBK" w:cs="Times New Roman"/>
          <w:color w:val="auto"/>
          <w:kern w:val="2"/>
          <w:sz w:val="32"/>
          <w:szCs w:val="32"/>
          <w:highlight w:val="none"/>
          <w:lang w:val="en-US" w:bidi="ar-SA"/>
        </w:rPr>
        <w:t>%，项目绩效指标总体完成率为</w:t>
      </w:r>
      <w:r>
        <w:rPr>
          <w:rFonts w:hint="eastAsia" w:ascii="Times New Roman" w:hAnsi="Times New Roman" w:eastAsia="方正仿宋_GBK" w:cs="Times New Roman"/>
          <w:color w:val="auto"/>
          <w:kern w:val="2"/>
          <w:sz w:val="32"/>
          <w:szCs w:val="32"/>
          <w:highlight w:val="none"/>
          <w:lang w:val="en-US" w:eastAsia="zh-CN" w:bidi="ar-SA"/>
        </w:rPr>
        <w:t>100</w:t>
      </w:r>
      <w:r>
        <w:rPr>
          <w:rFonts w:hint="default" w:ascii="Times New Roman" w:hAnsi="Times New Roman" w:eastAsia="方正仿宋_GBK" w:cs="Times New Roman"/>
          <w:color w:val="auto"/>
          <w:kern w:val="2"/>
          <w:sz w:val="32"/>
          <w:szCs w:val="32"/>
          <w:highlight w:val="none"/>
          <w:lang w:val="en-US" w:bidi="ar-SA"/>
        </w:rPr>
        <w:t>%偏差为0%。</w:t>
      </w:r>
    </w:p>
    <w:p w14:paraId="72EC1CD6">
      <w:pPr>
        <w:shd w:val="clea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14:paraId="335605BF">
      <w:pPr>
        <w:shd w:val="clea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14:paraId="544E31A1">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15D4FA4">
      <w:pPr>
        <w:pStyle w:val="9"/>
        <w:shd w:val="clear"/>
        <w:spacing w:before="0" w:after="0" w:line="560" w:lineRule="exact"/>
        <w:ind w:firstLine="640" w:firstLineChars="200"/>
        <w:jc w:val="left"/>
        <w:rPr>
          <w:rFonts w:hint="default" w:ascii="Times New Roman" w:hAnsi="Times New Roman" w:eastAsia="仿宋_GB2312" w:cs="Times New Roman"/>
          <w:b w:val="0"/>
          <w:bCs w:val="0"/>
          <w:color w:val="auto"/>
          <w:kern w:val="2"/>
          <w:highlight w:val="none"/>
        </w:rPr>
      </w:pPr>
      <w:r>
        <w:rPr>
          <w:rFonts w:hint="default" w:ascii="Times New Roman" w:hAnsi="Times New Roman" w:eastAsia="仿宋_GB2312" w:cs="Times New Roman"/>
          <w:b w:val="0"/>
          <w:bCs w:val="0"/>
          <w:color w:val="auto"/>
          <w:kern w:val="2"/>
          <w:highlight w:val="none"/>
        </w:rPr>
        <w:t>严格坚持先做事、后验收、再拨付的原则，</w:t>
      </w:r>
      <w:r>
        <w:rPr>
          <w:rFonts w:hint="eastAsia" w:ascii="Times New Roman" w:hAnsi="Times New Roman" w:eastAsia="仿宋_GB2312" w:cs="Times New Roman"/>
          <w:b w:val="0"/>
          <w:bCs w:val="0"/>
          <w:color w:val="auto"/>
          <w:kern w:val="2"/>
          <w:highlight w:val="none"/>
          <w:lang w:eastAsia="zh-CN"/>
        </w:rPr>
        <w:t>杜绝</w:t>
      </w:r>
      <w:r>
        <w:rPr>
          <w:rFonts w:hint="default" w:ascii="Times New Roman" w:hAnsi="Times New Roman" w:eastAsia="仿宋_GB2312" w:cs="Times New Roman"/>
          <w:b w:val="0"/>
          <w:bCs w:val="0"/>
          <w:color w:val="auto"/>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77B34DE">
      <w:pPr>
        <w:keepNext/>
        <w:keepLines/>
        <w:numPr>
          <w:ilvl w:val="0"/>
          <w:numId w:val="5"/>
        </w:numPr>
        <w:shd w:val="clea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14:paraId="16B9DC0A">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2F9B3771">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2.因轮岗、调动</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因素使我单位绩效工作人员流动频繁，</w:t>
      </w:r>
      <w:r>
        <w:rPr>
          <w:rFonts w:hint="eastAsia" w:ascii="Times New Roman" w:hAnsi="Times New Roman" w:eastAsia="仿宋_GB2312" w:cs="Times New Roman"/>
          <w:color w:val="auto"/>
          <w:sz w:val="32"/>
          <w:szCs w:val="32"/>
          <w:highlight w:val="none"/>
          <w:lang w:val="en-US" w:eastAsia="zh-CN"/>
        </w:rPr>
        <w:t>造成</w:t>
      </w:r>
      <w:r>
        <w:rPr>
          <w:rFonts w:hint="default" w:ascii="Times New Roman" w:hAnsi="Times New Roman" w:eastAsia="仿宋_GB2312" w:cs="Times New Roman"/>
          <w:color w:val="auto"/>
          <w:sz w:val="32"/>
          <w:szCs w:val="32"/>
          <w:highlight w:val="none"/>
          <w:lang w:val="en-US" w:eastAsia="zh-CN"/>
        </w:rPr>
        <w:t>工作衔接不到位的情况。</w:t>
      </w:r>
    </w:p>
    <w:p w14:paraId="4B4809A4">
      <w:p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14:paraId="345A4375">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14:paraId="1E7A317E">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14:paraId="2866557F">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7A0D83FB">
      <w:pPr>
        <w:shd w:val="clear" w:color="auto"/>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14:paraId="2366B843">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8FA0DF7">
      <w:p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其他需要说明的问题</w:t>
      </w:r>
    </w:p>
    <w:p w14:paraId="63A8FB75">
      <w:pPr>
        <w:pStyle w:val="11"/>
        <w:shd w:val="clear"/>
        <w:spacing w:after="0" w:line="560" w:lineRule="exact"/>
        <w:ind w:left="0" w:leftChars="0"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本项目无其他需说明的问题。</w:t>
      </w:r>
    </w:p>
    <w:p w14:paraId="4EDB8475">
      <w:pPr>
        <w:pStyle w:val="11"/>
        <w:shd w:val="clear"/>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14:paraId="7F5FE8E6">
      <w:pPr>
        <w:pStyle w:val="11"/>
        <w:shd w:val="clear"/>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14:paraId="6C191E3A">
      <w:pPr>
        <w:pStyle w:val="11"/>
        <w:shd w:val="clear"/>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14:paraId="7F7052FA">
      <w:pPr>
        <w:shd w:val="clea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620344ED">
      <w:pPr>
        <w:shd w:val="clear"/>
        <w:rPr>
          <w:rFonts w:hint="default" w:ascii="Times New Roman" w:hAnsi="Times New Roman" w:cs="Times New Roman"/>
          <w:color w:val="auto"/>
          <w:highlight w:val="none"/>
        </w:rPr>
      </w:pPr>
      <w:bookmarkStart w:id="0" w:name="_GoBack"/>
      <w:bookmarkEnd w:id="0"/>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48471BB8">
        <w:pPr>
          <w:pStyle w:val="6"/>
          <w:jc w:val="center"/>
        </w:pPr>
        <w:r>
          <w:fldChar w:fldCharType="begin"/>
        </w:r>
        <w:r>
          <w:instrText xml:space="preserve">PAGE   \* MERGEFORMAT</w:instrText>
        </w:r>
        <w:r>
          <w:fldChar w:fldCharType="separate"/>
        </w:r>
        <w:r>
          <w:rPr>
            <w:lang w:val="zh-CN"/>
          </w:rPr>
          <w:t>13</w:t>
        </w:r>
        <w:r>
          <w:fldChar w:fldCharType="end"/>
        </w:r>
      </w:p>
    </w:sdtContent>
  </w:sdt>
  <w:p w14:paraId="02D085A1">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527A444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Subject"/>
    <w:basedOn w:val="17"/>
    <w:next w:val="17"/>
    <w:link w:val="24"/>
    <w:qFormat/>
    <w:uiPriority w:val="0"/>
    <w:rPr>
      <w:b/>
      <w:bCs/>
    </w:rPr>
  </w:style>
  <w:style w:type="paragraph" w:customStyle="1" w:styleId="17">
    <w:name w:val="Comment Text"/>
    <w:basedOn w:val="1"/>
    <w:link w:val="23"/>
    <w:qFormat/>
    <w:uiPriority w:val="0"/>
    <w:pPr>
      <w:jc w:val="left"/>
    </w:p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7"/>
    <w:qFormat/>
    <w:uiPriority w:val="0"/>
    <w:rPr>
      <w:rFonts w:ascii="Times New Roman" w:hAnsi="Times New Roman" w:eastAsia="宋体" w:cs="Times New Roman"/>
      <w:kern w:val="2"/>
      <w:sz w:val="21"/>
      <w:szCs w:val="24"/>
    </w:rPr>
  </w:style>
  <w:style w:type="character" w:customStyle="1" w:styleId="24">
    <w:name w:val="批注主题 字符"/>
    <w:basedOn w:val="23"/>
    <w:link w:val="16"/>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17EDD0D10BA44299BC6A943CBE16A2B3_13</vt:lpwstr>
  </property>
  <property fmtid="{D5CDD505-2E9C-101B-9397-08002B2CF9AE}" pid="4" name="KSOTemplateDocerSaveRecord">
    <vt:lpwstr>eyJoZGlkIjoiOTE1YTg4ZjRhOGViMmQ5OThhYTBiNWQzZTM5Zjk4MWEiLCJ1c2VySWQiOiI3NzU0MDUwMTcifQ==</vt:lpwstr>
  </property>
</Properties>
</file>

<file path=customXml/itemProps1.xml><?xml version="1.0" encoding="utf-8"?>
<ds:datastoreItem xmlns:ds="http://schemas.openxmlformats.org/officeDocument/2006/customXml" ds:itemID="{32d53838-24db-4066-ad31-710cc6e9dae4}">
  <ds:schemaRefs/>
</ds:datastoreItem>
</file>

<file path=docProps/app.xml><?xml version="1.0" encoding="utf-8"?>
<Properties xmlns="http://schemas.openxmlformats.org/officeDocument/2006/extended-properties" xmlns:vt="http://schemas.openxmlformats.org/officeDocument/2006/docPropsVTypes">
  <Template>Normal</Template>
  <Pages>24</Pages>
  <Words>10506</Words>
  <Characters>10922</Characters>
  <Lines>58</Lines>
  <Paragraphs>16</Paragraphs>
  <TotalTime>13</TotalTime>
  <ScaleCrop>false</ScaleCrop>
  <LinksUpToDate>false</LinksUpToDate>
  <CharactersWithSpaces>10960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cp:lastPrinted>2025-04-23T09:00:00Z</cp:lastPrinted>
  <dcterms:modified xsi:type="dcterms:W3CDTF">2025-10-31T07:59:56Z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17EDD0D10BA44299BC6A943CBE16A2B3_13</vt:lpwstr>
  </property>
  <property fmtid="{D5CDD505-2E9C-101B-9397-08002B2CF9AE}" pid="4" name="KSOTemplateDocerSaveRecord">
    <vt:lpwstr>eyJoZGlkIjoiNTM1NjJiMTUwNmFhZWNlZmQwNDVjMDAxNDMwM2IwMDkiLCJ1c2VySWQiOiIzNzI2MDMzNTYifQ==</vt:lpwstr>
  </property>
</Properties>
</file>