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260A6">
      <w:bookmarkStart w:id="9" w:name="_GoBack"/>
    </w:p>
    <w:p w14:paraId="711E4C41">
      <w:pPr>
        <w:spacing w:line="540" w:lineRule="exact"/>
        <w:jc w:val="center"/>
        <w:rPr>
          <w:rFonts w:hint="default" w:ascii="Times New Roman" w:hAnsi="Times New Roman" w:eastAsia="华文中宋" w:cs="Times New Roman"/>
          <w:b/>
          <w:kern w:val="0"/>
          <w:sz w:val="52"/>
          <w:szCs w:val="52"/>
        </w:rPr>
      </w:pPr>
    </w:p>
    <w:p w14:paraId="37D72F7F">
      <w:pPr>
        <w:spacing w:line="540" w:lineRule="exact"/>
        <w:rPr>
          <w:rFonts w:hint="default" w:ascii="Times New Roman" w:hAnsi="Times New Roman" w:eastAsia="华文中宋" w:cs="Times New Roman"/>
          <w:b/>
          <w:kern w:val="0"/>
          <w:sz w:val="52"/>
          <w:szCs w:val="52"/>
        </w:rPr>
      </w:pPr>
    </w:p>
    <w:p w14:paraId="5244CC02">
      <w:pPr>
        <w:spacing w:line="540" w:lineRule="exact"/>
        <w:jc w:val="center"/>
        <w:rPr>
          <w:rFonts w:hint="default" w:ascii="Times New Roman" w:hAnsi="Times New Roman" w:eastAsia="华文中宋" w:cs="Times New Roman"/>
          <w:b/>
          <w:kern w:val="0"/>
          <w:sz w:val="52"/>
          <w:szCs w:val="52"/>
        </w:rPr>
      </w:pPr>
    </w:p>
    <w:p w14:paraId="728DD002">
      <w:pPr>
        <w:spacing w:line="540" w:lineRule="exact"/>
        <w:jc w:val="center"/>
        <w:rPr>
          <w:rFonts w:hint="default" w:ascii="Times New Roman" w:hAnsi="Times New Roman" w:eastAsia="华文中宋" w:cs="Times New Roman"/>
          <w:b/>
          <w:kern w:val="0"/>
          <w:sz w:val="52"/>
          <w:szCs w:val="52"/>
        </w:rPr>
      </w:pPr>
    </w:p>
    <w:p w14:paraId="31BBDBCD">
      <w:pPr>
        <w:spacing w:line="540" w:lineRule="exact"/>
        <w:jc w:val="center"/>
        <w:rPr>
          <w:rFonts w:hint="eastAsia"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rPr>
        <w:t>托里县2024年秸秆综合利用重点县建设</w:t>
      </w:r>
    </w:p>
    <w:p w14:paraId="0C66F35A">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w:t>
      </w:r>
    </w:p>
    <w:p w14:paraId="7972CDD3">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68675976">
      <w:pPr>
        <w:spacing w:line="540" w:lineRule="exact"/>
        <w:jc w:val="center"/>
        <w:rPr>
          <w:rFonts w:hint="default" w:ascii="Times New Roman" w:hAnsi="Times New Roman" w:eastAsia="华文中宋" w:cs="Times New Roman"/>
          <w:b/>
          <w:kern w:val="0"/>
          <w:sz w:val="52"/>
          <w:szCs w:val="52"/>
        </w:rPr>
      </w:pPr>
    </w:p>
    <w:p w14:paraId="32EF6974">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5C98F26">
      <w:pPr>
        <w:spacing w:line="540" w:lineRule="exact"/>
        <w:jc w:val="center"/>
        <w:rPr>
          <w:rFonts w:hint="default" w:ascii="Times New Roman" w:hAnsi="Times New Roman" w:eastAsia="仿宋_GB2312" w:cs="Times New Roman"/>
          <w:kern w:val="0"/>
          <w:sz w:val="30"/>
          <w:szCs w:val="30"/>
        </w:rPr>
      </w:pPr>
    </w:p>
    <w:p w14:paraId="6A5A107E">
      <w:pPr>
        <w:spacing w:line="540" w:lineRule="exact"/>
        <w:jc w:val="center"/>
        <w:rPr>
          <w:rFonts w:hint="default" w:ascii="Times New Roman" w:hAnsi="Times New Roman" w:eastAsia="仿宋_GB2312" w:cs="Times New Roman"/>
          <w:kern w:val="0"/>
          <w:sz w:val="30"/>
          <w:szCs w:val="30"/>
        </w:rPr>
      </w:pPr>
    </w:p>
    <w:p w14:paraId="46609EB7">
      <w:pPr>
        <w:spacing w:line="540" w:lineRule="exact"/>
        <w:jc w:val="center"/>
        <w:rPr>
          <w:rFonts w:hint="default" w:ascii="Times New Roman" w:hAnsi="Times New Roman" w:eastAsia="仿宋_GB2312" w:cs="Times New Roman"/>
          <w:kern w:val="0"/>
          <w:sz w:val="30"/>
          <w:szCs w:val="30"/>
        </w:rPr>
      </w:pPr>
    </w:p>
    <w:p w14:paraId="49F50FED">
      <w:pPr>
        <w:pStyle w:val="10"/>
        <w:rPr>
          <w:rFonts w:hint="default" w:ascii="Times New Roman" w:hAnsi="Times New Roman" w:cs="Times New Roman"/>
        </w:rPr>
      </w:pPr>
    </w:p>
    <w:p w14:paraId="50614B01">
      <w:pPr>
        <w:spacing w:line="540" w:lineRule="exact"/>
        <w:jc w:val="center"/>
        <w:rPr>
          <w:rFonts w:hint="default" w:ascii="Times New Roman" w:hAnsi="Times New Roman" w:eastAsia="仿宋_GB2312" w:cs="Times New Roman"/>
          <w:kern w:val="0"/>
          <w:sz w:val="30"/>
          <w:szCs w:val="30"/>
        </w:rPr>
      </w:pPr>
    </w:p>
    <w:p w14:paraId="77A0E71C">
      <w:pPr>
        <w:spacing w:line="540" w:lineRule="exact"/>
        <w:rPr>
          <w:rFonts w:hint="default" w:ascii="Times New Roman" w:hAnsi="Times New Roman" w:eastAsia="仿宋_GB2312" w:cs="Times New Roman"/>
          <w:kern w:val="0"/>
          <w:sz w:val="30"/>
          <w:szCs w:val="30"/>
        </w:rPr>
      </w:pPr>
    </w:p>
    <w:p w14:paraId="2C8D0F5A">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项目名称：农作物秸秆综合服务利用重点县建设项目</w:t>
      </w:r>
    </w:p>
    <w:p w14:paraId="21F2152F">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托里县农业农村局</w:t>
      </w:r>
    </w:p>
    <w:p w14:paraId="3C834E48">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塔城地区农业农村局</w:t>
      </w:r>
    </w:p>
    <w:p w14:paraId="6D22C586">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卜伟杰</w:t>
      </w:r>
    </w:p>
    <w:p w14:paraId="353E48F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17</w:t>
      </w:r>
      <w:r>
        <w:rPr>
          <w:rFonts w:hint="default" w:ascii="Times New Roman" w:hAnsi="Times New Roman" w:eastAsia="仿宋_GB2312" w:cs="Times New Roman"/>
          <w:kern w:val="0"/>
          <w:sz w:val="36"/>
          <w:szCs w:val="36"/>
        </w:rPr>
        <w:t>日</w:t>
      </w:r>
    </w:p>
    <w:p w14:paraId="77B6A030">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4881F3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7551268F">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03A86E1C">
      <w:pPr>
        <w:pStyle w:val="10"/>
        <w:numPr>
          <w:ilvl w:val="0"/>
          <w:numId w:val="0"/>
        </w:numPr>
        <w:spacing w:before="0" w:after="0" w:line="560" w:lineRule="exact"/>
        <w:ind w:firstLine="640" w:firstLineChars="200"/>
        <w:jc w:val="both"/>
        <w:rPr>
          <w:rFonts w:hint="default" w:ascii="Times New Roman" w:hAnsi="Times New Roman" w:eastAsia="仿宋_GB2312" w:cs="Times New Roman"/>
          <w:kern w:val="2"/>
          <w:lang w:val="en-US" w:eastAsia="zh-CN"/>
        </w:rPr>
      </w:pPr>
      <w:r>
        <w:rPr>
          <w:rFonts w:hint="eastAsia" w:ascii="仿宋_GB2312" w:hAnsi="仿宋_GB2312" w:eastAsia="仿宋_GB2312" w:cs="仿宋_GB2312"/>
          <w:b w:val="0"/>
          <w:bCs w:val="0"/>
          <w:kern w:val="2"/>
          <w:lang w:val="en-US" w:eastAsia="zh-CN"/>
        </w:rPr>
        <w:t>2019年4月农业农村部办公厅发布《关于全面做好秸秆综合利用工作的通知》（农办科[2019]20号)，首次在国家行政规范性文件中提出秸秆综合利用目标定位于“全域全量利用”，全面推进秸秆综合利用工作。同年，开始推进秸秆利用生态补偿制度创设试点，2021年秸秆利用生态补偿制度创设试点扩大到10个。在此期间，我国秸秆综合利用技术体系日趋完善，先后从国家层面发布《秸秆“五料化”利用技术》、《秸秆农用十大模式》、《秸秆综合利用技术目录(2021)》，为秸秆综合利用政策创造了良好的技术与制度环境。秸秆利用政策的深化完善将不断深入推进农业绿色发展。</w:t>
      </w:r>
    </w:p>
    <w:p w14:paraId="16EB3BAB">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14670CBE">
      <w:pPr>
        <w:spacing w:line="560" w:lineRule="exact"/>
        <w:ind w:firstLine="64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2"/>
          <w:szCs w:val="32"/>
          <w:lang w:val="en-US" w:eastAsia="zh-CN"/>
        </w:rPr>
        <w:t>项目主要内容：建立1个秸秆还田生态效应监测点位，10个秸秆还田调查点位及做好农作物草谷比、秸秆可收集系数和还田监测任务；开展综合利用调查、宣传、培训，建立秸秆资源综合利用台账、撰写相关报告及专家咨询服务等，通过购置农机具来加强秸秆收储运体系建设，促进秸秆打捆离田利用，提高资源利用效率，直接用于收获、打包、打捆、加工利用专用设备（农机具）等。</w:t>
      </w:r>
    </w:p>
    <w:p w14:paraId="3EFAFD2C">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sz w:val="32"/>
          <w:szCs w:val="32"/>
          <w:lang w:eastAsia="zh-CN"/>
        </w:rPr>
        <w:t>托里县2024年秸秆综合利用重点县建设项目，全年预算数60</w:t>
      </w:r>
      <w:r>
        <w:rPr>
          <w:rFonts w:hint="eastAsia" w:eastAsia="仿宋_GB2312" w:cs="Times New Roman"/>
          <w:sz w:val="32"/>
          <w:szCs w:val="32"/>
          <w:lang w:val="en-US" w:eastAsia="zh-CN"/>
        </w:rPr>
        <w:t>9.52</w:t>
      </w:r>
      <w:r>
        <w:rPr>
          <w:rFonts w:hint="default" w:ascii="Times New Roman" w:hAnsi="Times New Roman" w:eastAsia="仿宋_GB2312" w:cs="Times New Roman"/>
          <w:sz w:val="32"/>
          <w:szCs w:val="32"/>
          <w:lang w:eastAsia="zh-CN"/>
        </w:rPr>
        <w:t>万元，全年执行数</w:t>
      </w:r>
      <w:r>
        <w:rPr>
          <w:rFonts w:hint="eastAsia" w:eastAsia="仿宋_GB2312" w:cs="Times New Roman"/>
          <w:sz w:val="32"/>
          <w:szCs w:val="32"/>
          <w:lang w:val="en-US" w:eastAsia="zh-CN"/>
        </w:rPr>
        <w:t>558.72</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eastAsia="zh-CN"/>
        </w:rPr>
        <w:t>主要用于购置农机具5台，费用</w:t>
      </w:r>
      <w:r>
        <w:rPr>
          <w:rFonts w:hint="eastAsia" w:eastAsia="仿宋_GB2312" w:cs="Times New Roman"/>
          <w:sz w:val="32"/>
          <w:szCs w:val="32"/>
          <w:lang w:val="en-US" w:eastAsia="zh-CN"/>
        </w:rPr>
        <w:t>499.2</w:t>
      </w:r>
      <w:r>
        <w:rPr>
          <w:rFonts w:hint="default" w:ascii="Times New Roman" w:hAnsi="Times New Roman" w:eastAsia="仿宋_GB2312" w:cs="Times New Roman"/>
          <w:sz w:val="32"/>
          <w:szCs w:val="32"/>
          <w:lang w:eastAsia="zh-CN"/>
        </w:rPr>
        <w:t>万元；建立1个秸秆还田生态效应监测点位，10个秸秆还田调查点位及做好农作物草谷比、秸秆可收集系数和还田监测任务，费用30万元；开展综合利用调查、宣传、培训，建立秸秆资源综合利用台账、撰写相关报告及专家咨询服务等，费用20万元。</w:t>
      </w:r>
      <w:r>
        <w:rPr>
          <w:rFonts w:hint="eastAsia" w:eastAsia="仿宋_GB2312" w:cs="Times New Roman"/>
          <w:sz w:val="32"/>
          <w:szCs w:val="32"/>
          <w:lang w:val="en-US" w:eastAsia="zh-CN"/>
        </w:rPr>
        <w:t>上年结转9.52万元。</w:t>
      </w:r>
      <w:r>
        <w:rPr>
          <w:rFonts w:hint="default" w:ascii="Times New Roman" w:hAnsi="Times New Roman" w:eastAsia="仿宋_GB2312" w:cs="Times New Roman"/>
          <w:sz w:val="32"/>
          <w:szCs w:val="32"/>
          <w:lang w:eastAsia="zh-CN"/>
        </w:rPr>
        <w:t>服务对象满意率</w:t>
      </w:r>
      <w:r>
        <w:rPr>
          <w:rFonts w:hint="default" w:ascii="Times New Roman" w:hAnsi="Times New Roman" w:eastAsia="仿宋_GB2312" w:cs="Times New Roman"/>
          <w:sz w:val="32"/>
          <w:szCs w:val="32"/>
          <w:lang w:val="en-US" w:eastAsia="zh-CN"/>
        </w:rPr>
        <w:t>96.56</w:t>
      </w:r>
      <w:r>
        <w:rPr>
          <w:rFonts w:hint="default" w:ascii="Times New Roman" w:hAnsi="Times New Roman" w:eastAsia="仿宋_GB2312" w:cs="Times New Roman"/>
          <w:sz w:val="32"/>
          <w:szCs w:val="32"/>
          <w:lang w:eastAsia="zh-CN"/>
        </w:rPr>
        <w:t>%，通过实施该项目秸秆综合利用率达到了</w:t>
      </w:r>
      <w:r>
        <w:rPr>
          <w:rFonts w:hint="default" w:ascii="Times New Roman" w:hAnsi="Times New Roman" w:eastAsia="仿宋_GB2312" w:cs="Times New Roman"/>
          <w:sz w:val="32"/>
          <w:szCs w:val="32"/>
          <w:lang w:val="en-US" w:eastAsia="zh-CN"/>
        </w:rPr>
        <w:t>97.36%。</w:t>
      </w:r>
    </w:p>
    <w:p w14:paraId="604FFACF">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748F757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D38174F">
      <w:pPr>
        <w:shd w:val="clear" w:color="auto" w:fill="auto"/>
        <w:spacing w:line="600" w:lineRule="exact"/>
        <w:ind w:firstLine="640" w:firstLineChars="200"/>
        <w:outlineLvl w:val="0"/>
        <w:rPr>
          <w:rFonts w:hint="eastAsia" w:ascii="仿宋_GB2312" w:hAnsi="仿宋_GB2312" w:eastAsia="仿宋_GB2312" w:cs="仿宋_GB2312"/>
          <w:b w:val="0"/>
          <w:bCs w:val="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609.52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609.52</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仿宋_GB2312" w:hAnsi="仿宋_GB2312" w:eastAsia="仿宋_GB2312" w:cs="仿宋_GB2312"/>
          <w:b w:val="0"/>
          <w:bCs w:val="0"/>
          <w:sz w:val="32"/>
          <w:szCs w:val="32"/>
          <w:highlight w:val="none"/>
          <w:lang w:val="en-US" w:eastAsia="zh-CN"/>
        </w:rPr>
        <w:t>财政拨款。</w:t>
      </w:r>
    </w:p>
    <w:p w14:paraId="7FB88C1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8FFD03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609.52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609.52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仿宋_GB2312" w:hAnsi="仿宋_GB2312" w:eastAsia="仿宋_GB2312" w:cs="仿宋_GB2312"/>
          <w:sz w:val="32"/>
          <w:szCs w:val="32"/>
          <w:highlight w:val="none"/>
          <w:lang w:val="en-US" w:eastAsia="zh-CN"/>
        </w:rPr>
        <w:t>558.72</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91.67</w:t>
      </w:r>
      <w:r>
        <w:rPr>
          <w:rFonts w:hint="default" w:ascii="Times New Roman" w:hAnsi="Times New Roman" w:eastAsia="仿宋_GB2312" w:cs="Times New Roman"/>
          <w:sz w:val="32"/>
          <w:szCs w:val="32"/>
          <w:highlight w:val="none"/>
          <w:lang w:val="en-US" w:eastAsia="zh-CN"/>
        </w:rPr>
        <w:t>%，主要用于：</w:t>
      </w:r>
      <w:r>
        <w:rPr>
          <w:rFonts w:hint="eastAsia" w:ascii="仿宋_GB2312" w:hAnsi="仿宋_GB2312" w:eastAsia="仿宋_GB2312" w:cs="仿宋_GB2312"/>
          <w:b w:val="0"/>
          <w:bCs w:val="0"/>
          <w:sz w:val="32"/>
          <w:szCs w:val="32"/>
        </w:rPr>
        <w:t>托里县2024年秸秆综合利用重点县建设项目</w:t>
      </w:r>
      <w:r>
        <w:rPr>
          <w:rFonts w:hint="default" w:ascii="Times New Roman" w:hAnsi="Times New Roman" w:eastAsia="仿宋_GB2312" w:cs="Times New Roman"/>
          <w:sz w:val="32"/>
          <w:szCs w:val="32"/>
          <w:highlight w:val="none"/>
          <w:lang w:val="en-US" w:eastAsia="zh-CN"/>
        </w:rPr>
        <w:t>。</w:t>
      </w:r>
    </w:p>
    <w:p w14:paraId="2AEE38F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1EBB34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3037097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托里县2024年秸秆综合利用重点县建设项目，资金总额600万元。通过购置农机具5台，费用550万元；建立1个秸秆还田生态效应监测点位，10个秸秆还田调查点位及做好农作物草谷比、秸秆可收集系数和还田监测任务，费用30万元；开展综合利用调查、宣传、培训，建立秸秆资源综合利用台账、撰写相关报告及专家咨询服务等，费用20万元。服务对象满意率95%。通过实施该项目加强秸秆收储运体系建设，促进秸秆打捆离田利用，提高资源利用效率。</w:t>
      </w:r>
    </w:p>
    <w:p w14:paraId="61571D23">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1EE864E1">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完成政府采购意向公开前期工作，公开期满进项采购工作。</w:t>
      </w:r>
    </w:p>
    <w:p w14:paraId="77A9C1C8">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37112DB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0A0850A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32C2570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E1BDB9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bookmarkStart w:id="0" w:name="OLE_LINK1"/>
      <w:r>
        <w:rPr>
          <w:rFonts w:hint="default" w:ascii="Times New Roman" w:hAnsi="Times New Roman" w:eastAsia="仿宋_GB2312" w:cs="Times New Roman"/>
          <w:sz w:val="32"/>
          <w:szCs w:val="32"/>
          <w:highlight w:val="none"/>
          <w:lang w:val="en-US" w:eastAsia="zh-CN"/>
        </w:rPr>
        <w:t>经济效益</w:t>
      </w:r>
      <w:bookmarkEnd w:id="0"/>
      <w:r>
        <w:rPr>
          <w:rFonts w:hint="default" w:ascii="Times New Roman" w:hAnsi="Times New Roman" w:eastAsia="仿宋_GB2312" w:cs="Times New Roman"/>
          <w:sz w:val="32"/>
          <w:szCs w:val="32"/>
          <w:highlight w:val="none"/>
          <w:lang w:val="en-US" w:eastAsia="zh-CN"/>
        </w:rPr>
        <w:t>、社会效益、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38D52E4B">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CC7847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AAD4E7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B2E320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0E0AD0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43002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bookmarkStart w:id="1" w:name="OLE_LINK3"/>
      <w:r>
        <w:rPr>
          <w:rFonts w:hint="default" w:ascii="Times New Roman" w:hAnsi="Times New Roman"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rPr>
        <w:t>多维度指标</w:t>
      </w:r>
      <w:bookmarkEnd w:id="1"/>
      <w:r>
        <w:rPr>
          <w:rFonts w:hint="default" w:ascii="Times New Roman" w:hAnsi="Times New Roman" w:eastAsia="仿宋_GB2312" w:cs="Times New Roman"/>
          <w:sz w:val="32"/>
          <w:szCs w:val="32"/>
          <w:highlight w:val="none"/>
        </w:rPr>
        <w:t>，为项目后续的改进与优化提供科学依据。</w:t>
      </w:r>
    </w:p>
    <w:p w14:paraId="2DE6ED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F2E51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9F37B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0DEA9F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BEC3F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359CF1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8E47C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59D240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3D8CF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27843E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3BCC910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本项目预算绩效评价报告的评价对象是农作物秸秆综合服务利用重点县建设项目及其预算执行情况。该项目由</w:t>
      </w:r>
      <w:r>
        <w:rPr>
          <w:rFonts w:hint="eastAsia" w:ascii="Times New Roman" w:hAnsi="Times New Roman" w:eastAsia="仿宋_GB2312" w:cs="Times New Roman"/>
          <w:b w:val="0"/>
          <w:bCs w:val="0"/>
          <w:highlight w:val="none"/>
          <w:lang w:eastAsia="zh-CN"/>
        </w:rPr>
        <w:t>托里县农业农村局项目办</w:t>
      </w:r>
      <w:r>
        <w:rPr>
          <w:rFonts w:hint="default" w:ascii="Times New Roman" w:hAnsi="Times New Roman" w:eastAsia="仿宋_GB2312" w:cs="Times New Roman"/>
          <w:b w:val="0"/>
          <w:bCs w:val="0"/>
          <w:highlight w:val="none"/>
        </w:rPr>
        <w:t>负责实施，旨在购置农机具5台，费用；建立1个秸秆还田生态效应监测点位，10个秸秆还田调查点位及做好农作物草谷比、秸秆可收集系数和还田监测任务；开展综合利用调查、宣传、培训，建立秸秆资源综合利用台账、撰写相关报告及专家咨询服务等。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2024年12月25日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558.72</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7A4F3AB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749A781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5EE8867F">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3660DC3E">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0CBE341C">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14:paraId="432E28C3">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2785329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31BAE7EE">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C89C6E0">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59FF7ACA">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2C748D95">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1F26B583">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0721E91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12343699">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3A7F9BC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30C5641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7EAA36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464D3790">
      <w:pPr>
        <w:spacing w:line="560" w:lineRule="exact"/>
        <w:ind w:firstLine="708" w:firstLineChars="200"/>
        <w:rPr>
          <w:rFonts w:hint="eastAsia" w:eastAsia="仿宋_GB2312" w:cs="Times New Roman"/>
          <w:color w:val="000000"/>
          <w:spacing w:val="17"/>
          <w:sz w:val="32"/>
          <w:szCs w:val="32"/>
          <w:lang w:val="en-US"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w:t>
      </w:r>
      <w:r>
        <w:rPr>
          <w:rFonts w:hint="eastAsia" w:eastAsia="仿宋_GB2312" w:cs="Times New Roman"/>
          <w:color w:val="000000"/>
          <w:spacing w:val="17"/>
          <w:sz w:val="32"/>
          <w:szCs w:val="32"/>
          <w:lang w:eastAsia="zh-CN"/>
        </w:rPr>
        <w:t>预算执行</w:t>
      </w:r>
      <w:r>
        <w:rPr>
          <w:rFonts w:hint="eastAsia" w:eastAsia="仿宋_GB2312" w:cs="Times New Roman"/>
          <w:color w:val="000000"/>
          <w:spacing w:val="17"/>
          <w:sz w:val="32"/>
          <w:szCs w:val="32"/>
          <w:lang w:val="en-US" w:eastAsia="zh-CN"/>
        </w:rPr>
        <w:t>10</w:t>
      </w:r>
      <w:r>
        <w:rPr>
          <w:rFonts w:hint="default" w:ascii="Times New Roman" w:hAnsi="Times New Roman" w:eastAsia="仿宋_GB2312" w:cs="Times New Roman"/>
          <w:color w:val="000000"/>
          <w:spacing w:val="17"/>
          <w:sz w:val="32"/>
          <w:szCs w:val="32"/>
        </w:rPr>
        <w:t>分，</w:t>
      </w:r>
      <w:r>
        <w:rPr>
          <w:rFonts w:hint="eastAsia" w:ascii="仿宋_GB2312" w:hAnsi="仿宋_GB2312" w:eastAsia="仿宋_GB2312" w:cs="仿宋_GB2312"/>
          <w:sz w:val="32"/>
          <w:szCs w:val="32"/>
        </w:rPr>
        <w:t>产出指标</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分</w:t>
      </w:r>
      <w:r>
        <w:rPr>
          <w:rFonts w:hint="default" w:ascii="Times New Roman" w:hAnsi="Times New Roman" w:eastAsia="仿宋_GB2312" w:cs="Times New Roman"/>
          <w:color w:val="000000"/>
          <w:spacing w:val="17"/>
          <w:sz w:val="32"/>
          <w:szCs w:val="32"/>
        </w:rPr>
        <w:t>，</w:t>
      </w:r>
      <w:r>
        <w:rPr>
          <w:rFonts w:hint="eastAsia" w:eastAsia="仿宋_GB2312" w:cs="Times New Roman"/>
          <w:color w:val="000000"/>
          <w:spacing w:val="17"/>
          <w:sz w:val="32"/>
          <w:szCs w:val="32"/>
          <w:lang w:eastAsia="zh-CN"/>
        </w:rPr>
        <w:t>成本指标</w:t>
      </w:r>
      <w:r>
        <w:rPr>
          <w:rFonts w:hint="eastAsia" w:eastAsia="仿宋_GB2312" w:cs="Times New Roman"/>
          <w:color w:val="000000"/>
          <w:spacing w:val="17"/>
          <w:sz w:val="32"/>
          <w:szCs w:val="32"/>
          <w:lang w:val="en-US" w:eastAsia="zh-CN"/>
        </w:rPr>
        <w:t>20分，效益指标20分，满意度10分。</w:t>
      </w:r>
    </w:p>
    <w:p w14:paraId="060163F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7ED7E79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2E8E95E7">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20677B08">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6C38A17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6C5FFD2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DBF939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B1BF993">
      <w:pPr>
        <w:spacing w:line="560" w:lineRule="exact"/>
        <w:ind w:firstLine="708" w:firstLineChars="200"/>
        <w:rPr>
          <w:rFonts w:hint="default" w:ascii="Times New Roman" w:hAnsi="Times New Roman" w:eastAsia="仿宋_GB2312" w:cs="Times New Roman"/>
          <w:color w:val="000000"/>
          <w:spacing w:val="17"/>
          <w:sz w:val="32"/>
          <w:szCs w:val="32"/>
          <w:highlight w:val="yellow"/>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r>
        <w:rPr>
          <w:rFonts w:hint="eastAsia" w:eastAsia="仿宋_GB2312" w:cs="Times New Roman"/>
          <w:color w:val="000000"/>
          <w:spacing w:val="17"/>
          <w:sz w:val="32"/>
          <w:szCs w:val="32"/>
          <w:highlight w:val="none"/>
          <w:lang w:val="en-US" w:eastAsia="zh-CN"/>
        </w:rPr>
        <w:t>可以更好的节约成本。</w:t>
      </w:r>
    </w:p>
    <w:p w14:paraId="7ED54DD3">
      <w:pPr>
        <w:spacing w:line="560" w:lineRule="exact"/>
        <w:ind w:firstLine="708" w:firstLineChars="200"/>
        <w:rPr>
          <w:rFonts w:hint="default" w:ascii="Times New Roman" w:hAnsi="Times New Roman" w:eastAsia="仿宋_GB2312" w:cs="Times New Roman"/>
          <w:color w:val="000000"/>
          <w:spacing w:val="17"/>
          <w:sz w:val="32"/>
          <w:szCs w:val="32"/>
          <w:highlight w:val="yellow"/>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r>
        <w:rPr>
          <w:rFonts w:hint="eastAsia" w:eastAsia="仿宋_GB2312" w:cs="Times New Roman"/>
          <w:color w:val="000000"/>
          <w:spacing w:val="17"/>
          <w:sz w:val="32"/>
          <w:szCs w:val="32"/>
          <w:highlight w:val="none"/>
          <w:lang w:val="en-US" w:eastAsia="zh-CN"/>
        </w:rPr>
        <w:t>可以帮助负责人找出问题的关键所在，制定相应的决策和措施。</w:t>
      </w:r>
    </w:p>
    <w:p w14:paraId="09DD8F4B">
      <w:pPr>
        <w:spacing w:line="560" w:lineRule="exact"/>
        <w:ind w:firstLine="708" w:firstLineChars="200"/>
        <w:rPr>
          <w:rFonts w:hint="default" w:ascii="Times New Roman" w:hAnsi="Times New Roman" w:eastAsia="仿宋_GB2312" w:cs="Times New Roman"/>
          <w:color w:val="000000"/>
          <w:spacing w:val="17"/>
          <w:sz w:val="32"/>
          <w:szCs w:val="32"/>
          <w:highlight w:val="yellow"/>
          <w:lang w:val="en-US" w:eastAsia="zh-CN"/>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r>
        <w:rPr>
          <w:rFonts w:hint="eastAsia" w:eastAsia="仿宋_GB2312" w:cs="Times New Roman"/>
          <w:color w:val="000000"/>
          <w:spacing w:val="17"/>
          <w:sz w:val="32"/>
          <w:szCs w:val="32"/>
          <w:highlight w:val="none"/>
          <w:lang w:val="en-US" w:eastAsia="zh-CN"/>
        </w:rPr>
        <w:t>可以更好的节约成本。</w:t>
      </w:r>
    </w:p>
    <w:p w14:paraId="29FE34E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7FAB96D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rPr>
        <w:t>标准。</w:t>
      </w:r>
    </w:p>
    <w:p w14:paraId="431E5E5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2FA3196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2CB84F1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0D95152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1F43EA13">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2F496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570CFF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34B3DC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709F57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612F5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0F373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4989B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087290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05D6A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53B4F9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FFD25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9D6CF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49AA224">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1E5953D4">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4BAF4BE8">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lang w:eastAsia="zh-CN"/>
        </w:rPr>
        <w:t>秸秆综合利用重点县建设项目</w:t>
      </w:r>
      <w:r>
        <w:rPr>
          <w:rFonts w:hint="default" w:ascii="Times New Roman" w:hAnsi="Times New Roman" w:eastAsia="仿宋_GB2312" w:cs="Times New Roman"/>
          <w:sz w:val="32"/>
          <w:szCs w:val="32"/>
          <w:highlight w:val="none"/>
        </w:rPr>
        <w:t>在用于</w:t>
      </w:r>
      <w:bookmarkStart w:id="2" w:name="OLE_LINK2"/>
      <w:r>
        <w:rPr>
          <w:rFonts w:hint="default" w:ascii="Times New Roman" w:hAnsi="Times New Roman" w:eastAsia="仿宋_GB2312" w:cs="Times New Roman"/>
          <w:sz w:val="32"/>
          <w:szCs w:val="32"/>
          <w:highlight w:val="none"/>
        </w:rPr>
        <w:t>购置农机具5台，费用550万元；建立1个秸秆还田生态效应监测点位，10个秸秆还田调查点位及做好农作物草谷比、秸秆可收集系数和还田监测任务，费用30万元；开展综合利用调查、宣传、培训，建立秸秆资源综合利用台账、撰写相关报告及专家咨询服务等，</w:t>
      </w:r>
      <w:bookmarkEnd w:id="2"/>
      <w:r>
        <w:rPr>
          <w:rFonts w:hint="default" w:ascii="Times New Roman" w:hAnsi="Times New Roman" w:eastAsia="仿宋_GB2312" w:cs="Times New Roman"/>
          <w:sz w:val="32"/>
          <w:szCs w:val="32"/>
          <w:highlight w:val="none"/>
        </w:rPr>
        <w:t>费用20万元等方面表现出色，达到了预期的标准与要求。同时，项目也在</w:t>
      </w:r>
      <w:r>
        <w:rPr>
          <w:rFonts w:hint="eastAsia" w:eastAsia="仿宋_GB2312" w:cs="Times New Roman"/>
          <w:sz w:val="32"/>
          <w:szCs w:val="32"/>
          <w:highlight w:val="none"/>
          <w:lang w:eastAsia="zh-CN"/>
        </w:rPr>
        <w:t>秸秆综合利用率</w:t>
      </w:r>
      <w:r>
        <w:rPr>
          <w:rFonts w:hint="default" w:ascii="Times New Roman" w:hAnsi="Times New Roman" w:eastAsia="仿宋_GB2312" w:cs="Times New Roman"/>
          <w:sz w:val="32"/>
          <w:szCs w:val="32"/>
          <w:highlight w:val="none"/>
        </w:rPr>
        <w:t>取得了显著的成效，如秸秆综合利用率97.36%。</w:t>
      </w:r>
    </w:p>
    <w:p w14:paraId="50C0B3D2">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托里县农业农村局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5F447DC5">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default" w:ascii="Times New Roman" w:hAnsi="Times New Roman" w:eastAsia="仿宋_GB2312" w:cs="Times New Roman"/>
          <w:sz w:val="32"/>
          <w:szCs w:val="32"/>
          <w:highlight w:val="none"/>
          <w:lang w:val="en-US" w:eastAsia="zh-CN"/>
        </w:rPr>
        <w:t>经济效益、</w:t>
      </w:r>
      <w:r>
        <w:rPr>
          <w:rFonts w:hint="eastAsia" w:eastAsia="仿宋_GB2312" w:cs="Times New Roman"/>
          <w:sz w:val="32"/>
          <w:szCs w:val="32"/>
          <w:highlight w:val="none"/>
          <w:lang w:val="en-US" w:eastAsia="zh-CN"/>
        </w:rPr>
        <w:t>社会效益、生态效益</w:t>
      </w:r>
      <w:r>
        <w:rPr>
          <w:rFonts w:hint="default" w:ascii="Times New Roman" w:hAnsi="Times New Roman" w:eastAsia="仿宋_GB2312" w:cs="Times New Roman"/>
          <w:sz w:val="32"/>
          <w:szCs w:val="32"/>
          <w:highlight w:val="none"/>
        </w:rPr>
        <w:t>等多维度指标等方面产生了积极的影响。具体而言</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提高</w:t>
      </w:r>
      <w:r>
        <w:rPr>
          <w:rFonts w:hint="eastAsia" w:ascii="Times New Roman" w:hAnsi="Times New Roman"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val="en-US" w:eastAsia="zh-CN"/>
        </w:rPr>
        <w:t>农作物秸秆利用率，带动农户增收</w:t>
      </w:r>
      <w:r>
        <w:rPr>
          <w:rFonts w:hint="eastAsia" w:ascii="Times New Roman" w:hAnsi="Times New Roman" w:eastAsia="仿宋_GB2312" w:cs="Times New Roman"/>
          <w:sz w:val="32"/>
          <w:szCs w:val="32"/>
          <w:highlight w:val="none"/>
          <w:lang w:val="en-US" w:eastAsia="zh-CN"/>
        </w:rPr>
        <w:t>、减少了秸秆污染环境，提升了秸秆利用价值</w:t>
      </w:r>
      <w:r>
        <w:rPr>
          <w:rFonts w:hint="default" w:ascii="Times New Roman" w:hAnsi="Times New Roman" w:eastAsia="仿宋_GB2312" w:cs="Times New Roman"/>
          <w:sz w:val="32"/>
          <w:szCs w:val="32"/>
          <w:highlight w:val="none"/>
        </w:rPr>
        <w:t>等方面的提升，为项目的利益相关者带来了实实在在的利益。</w:t>
      </w:r>
    </w:p>
    <w:p w14:paraId="33390BEC">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sz w:val="32"/>
          <w:szCs w:val="32"/>
          <w:highlight w:val="none"/>
          <w:lang w:eastAsia="zh-CN"/>
        </w:rPr>
        <w:t>秸秆综合利用重点县建设项目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13CF2494">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71DA532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w:t>
      </w:r>
      <w:bookmarkStart w:id="3" w:name="OLE_LINK4"/>
      <w:r>
        <w:rPr>
          <w:rFonts w:hint="eastAsia" w:ascii="Times New Roman" w:hAnsi="Times New Roman" w:eastAsia="仿宋_GB2312" w:cs="Times New Roman"/>
          <w:b w:val="0"/>
          <w:bCs w:val="0"/>
          <w:highlight w:val="none"/>
          <w:lang w:eastAsia="zh-CN"/>
        </w:rPr>
        <w:t>预算执行</w:t>
      </w:r>
      <w:bookmarkEnd w:id="3"/>
      <w:r>
        <w:rPr>
          <w:rFonts w:hint="eastAsia" w:ascii="Times New Roman" w:hAnsi="Times New Roman" w:eastAsia="仿宋_GB2312" w:cs="Times New Roman"/>
          <w:b w:val="0"/>
          <w:bCs w:val="0"/>
          <w:highlight w:val="none"/>
          <w:lang w:val="en-US" w:eastAsia="zh-CN"/>
        </w:rPr>
        <w:t>10分</w:t>
      </w:r>
      <w:r>
        <w:rPr>
          <w:rFonts w:hint="default" w:ascii="Times New Roman" w:hAnsi="Times New Roman" w:eastAsia="仿宋_GB2312" w:cs="Times New Roman"/>
          <w:b w:val="0"/>
          <w:bCs w:val="0"/>
          <w:highlight w:val="none"/>
        </w:rPr>
        <w:t>，得分为</w:t>
      </w:r>
      <w:r>
        <w:rPr>
          <w:rFonts w:hint="eastAsia" w:ascii="Times New Roman" w:hAnsi="Times New Roman" w:eastAsia="仿宋_GB2312" w:cs="Times New Roman"/>
          <w:b w:val="0"/>
          <w:bCs w:val="0"/>
          <w:highlight w:val="none"/>
          <w:lang w:val="en-US" w:eastAsia="zh-CN"/>
        </w:rPr>
        <w:t>10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bookmarkStart w:id="4" w:name="OLE_LINK5"/>
      <w:r>
        <w:rPr>
          <w:rFonts w:hint="eastAsia" w:ascii="Times New Roman" w:hAnsi="Times New Roman" w:eastAsia="仿宋_GB2312" w:cs="Times New Roman"/>
          <w:b w:val="0"/>
          <w:bCs w:val="0"/>
          <w:highlight w:val="none"/>
          <w:lang w:eastAsia="zh-CN"/>
        </w:rPr>
        <w:t>产出指标</w:t>
      </w:r>
      <w:bookmarkEnd w:id="4"/>
      <w:r>
        <w:rPr>
          <w:rFonts w:hint="eastAsia" w:ascii="Times New Roman" w:hAnsi="Times New Roman" w:eastAsia="仿宋_GB2312" w:cs="Times New Roman"/>
          <w:b w:val="0"/>
          <w:bCs w:val="0"/>
          <w:highlight w:val="none"/>
          <w:lang w:val="en-US" w:eastAsia="zh-CN"/>
        </w:rPr>
        <w:t>40分</w:t>
      </w:r>
      <w:r>
        <w:rPr>
          <w:rFonts w:hint="default" w:ascii="Times New Roman" w:hAnsi="Times New Roman" w:eastAsia="仿宋_GB2312" w:cs="Times New Roman"/>
          <w:b w:val="0"/>
          <w:bCs w:val="0"/>
          <w:highlight w:val="none"/>
        </w:rPr>
        <w:t>，得分为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bookmarkStart w:id="5" w:name="OLE_LINK6"/>
      <w:r>
        <w:rPr>
          <w:rFonts w:hint="eastAsia" w:ascii="Times New Roman" w:hAnsi="Times New Roman" w:eastAsia="仿宋_GB2312" w:cs="Times New Roman"/>
          <w:b w:val="0"/>
          <w:bCs w:val="0"/>
          <w:highlight w:val="none"/>
          <w:lang w:eastAsia="zh-CN"/>
        </w:rPr>
        <w:t>成本指标</w:t>
      </w:r>
      <w:bookmarkEnd w:id="5"/>
      <w:r>
        <w:rPr>
          <w:rFonts w:hint="eastAsia" w:ascii="Times New Roman" w:hAnsi="Times New Roman" w:eastAsia="仿宋_GB2312" w:cs="Times New Roman"/>
          <w:b w:val="0"/>
          <w:bCs w:val="0"/>
          <w:highlight w:val="none"/>
          <w:lang w:val="en-US" w:eastAsia="zh-CN"/>
        </w:rPr>
        <w:t>20分</w:t>
      </w:r>
      <w:r>
        <w:rPr>
          <w:rFonts w:hint="default" w:ascii="Times New Roman" w:hAnsi="Times New Roman" w:eastAsia="仿宋_GB2312" w:cs="Times New Roman"/>
          <w:b w:val="0"/>
          <w:bCs w:val="0"/>
          <w:highlight w:val="none"/>
        </w:rPr>
        <w:t>，得分为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bookmarkStart w:id="6" w:name="OLE_LINK7"/>
      <w:r>
        <w:rPr>
          <w:rFonts w:hint="eastAsia" w:ascii="Times New Roman" w:hAnsi="Times New Roman" w:eastAsia="仿宋_GB2312" w:cs="Times New Roman"/>
          <w:b w:val="0"/>
          <w:bCs w:val="0"/>
          <w:highlight w:val="none"/>
          <w:lang w:eastAsia="zh-CN"/>
        </w:rPr>
        <w:t>效益指标</w:t>
      </w:r>
      <w:bookmarkEnd w:id="6"/>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10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bookmarkStart w:id="7" w:name="OLE_LINK8"/>
      <w:r>
        <w:rPr>
          <w:rFonts w:hint="eastAsia" w:ascii="Times New Roman" w:hAnsi="Times New Roman" w:eastAsia="仿宋_GB2312" w:cs="Times New Roman"/>
          <w:b w:val="0"/>
          <w:bCs w:val="0"/>
          <w:highlight w:val="none"/>
          <w:lang w:eastAsia="zh-CN"/>
        </w:rPr>
        <w:t>满意度指标</w:t>
      </w:r>
      <w:bookmarkEnd w:id="7"/>
      <w:r>
        <w:rPr>
          <w:rFonts w:hint="eastAsia" w:ascii="Times New Roman" w:hAnsi="Times New Roman" w:eastAsia="仿宋_GB2312" w:cs="Times New Roman"/>
          <w:b w:val="0"/>
          <w:bCs w:val="0"/>
          <w:highlight w:val="none"/>
          <w:lang w:val="en-US" w:eastAsia="zh-CN"/>
        </w:rPr>
        <w:t>10分，得分为10分，得分率100%。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3AADAEE3">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3"/>
        <w:tblW w:w="4998" w:type="pct"/>
        <w:jc w:val="center"/>
        <w:tblLayout w:type="autofit"/>
        <w:tblCellMar>
          <w:top w:w="0" w:type="dxa"/>
          <w:left w:w="108" w:type="dxa"/>
          <w:bottom w:w="0" w:type="dxa"/>
          <w:right w:w="108" w:type="dxa"/>
        </w:tblCellMar>
      </w:tblPr>
      <w:tblGrid>
        <w:gridCol w:w="2787"/>
        <w:gridCol w:w="1927"/>
        <w:gridCol w:w="2023"/>
        <w:gridCol w:w="2023"/>
      </w:tblGrid>
      <w:tr w14:paraId="765FBD41">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263C588B">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7B1DFFF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491334F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30D1D245">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24E2F792">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01BA75A">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eastAsia="zh-CN"/>
              </w:rPr>
              <w:t>预算执行</w:t>
            </w:r>
          </w:p>
        </w:tc>
        <w:tc>
          <w:tcPr>
            <w:tcW w:w="1099" w:type="pct"/>
            <w:tcBorders>
              <w:top w:val="nil"/>
              <w:left w:val="nil"/>
              <w:bottom w:val="single" w:color="auto" w:sz="4" w:space="0"/>
              <w:right w:val="single" w:color="auto" w:sz="4" w:space="0"/>
            </w:tcBorders>
            <w:shd w:val="clear" w:color="auto" w:fill="auto"/>
            <w:vAlign w:val="center"/>
          </w:tcPr>
          <w:p w14:paraId="743ABD9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w:t>
            </w:r>
          </w:p>
        </w:tc>
        <w:tc>
          <w:tcPr>
            <w:tcW w:w="1154" w:type="pct"/>
            <w:tcBorders>
              <w:top w:val="nil"/>
              <w:left w:val="nil"/>
              <w:bottom w:val="single" w:color="auto" w:sz="4" w:space="0"/>
              <w:right w:val="single" w:color="auto" w:sz="4" w:space="0"/>
            </w:tcBorders>
            <w:shd w:val="clear" w:color="auto" w:fill="auto"/>
            <w:vAlign w:val="center"/>
          </w:tcPr>
          <w:p w14:paraId="143FC7C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w:t>
            </w:r>
          </w:p>
        </w:tc>
        <w:tc>
          <w:tcPr>
            <w:tcW w:w="1154" w:type="pct"/>
            <w:tcBorders>
              <w:top w:val="nil"/>
              <w:left w:val="nil"/>
              <w:bottom w:val="single" w:color="auto" w:sz="4" w:space="0"/>
              <w:right w:val="single" w:color="auto" w:sz="4" w:space="0"/>
            </w:tcBorders>
            <w:shd w:val="clear" w:color="auto" w:fill="auto"/>
            <w:vAlign w:val="center"/>
          </w:tcPr>
          <w:p w14:paraId="26E8228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1BC4B780">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D9D8177">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eastAsia="zh-CN"/>
              </w:rPr>
              <w:t>产出指标</w:t>
            </w:r>
          </w:p>
        </w:tc>
        <w:tc>
          <w:tcPr>
            <w:tcW w:w="1099" w:type="pct"/>
            <w:tcBorders>
              <w:top w:val="nil"/>
              <w:left w:val="nil"/>
              <w:bottom w:val="single" w:color="auto" w:sz="4" w:space="0"/>
              <w:right w:val="single" w:color="auto" w:sz="4" w:space="0"/>
            </w:tcBorders>
            <w:shd w:val="clear" w:color="auto" w:fill="auto"/>
            <w:vAlign w:val="center"/>
          </w:tcPr>
          <w:p w14:paraId="33667EFE">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33437768">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138471B8">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19A896F8">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75D5B7BE">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eastAsia="zh-CN"/>
              </w:rPr>
              <w:t>成本指标</w:t>
            </w:r>
          </w:p>
        </w:tc>
        <w:tc>
          <w:tcPr>
            <w:tcW w:w="1099" w:type="pct"/>
            <w:tcBorders>
              <w:top w:val="nil"/>
              <w:left w:val="nil"/>
              <w:bottom w:val="single" w:color="auto" w:sz="4" w:space="0"/>
              <w:right w:val="single" w:color="auto" w:sz="4" w:space="0"/>
            </w:tcBorders>
            <w:shd w:val="clear" w:color="auto" w:fill="auto"/>
            <w:vAlign w:val="center"/>
          </w:tcPr>
          <w:p w14:paraId="1D846F7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0A6CDBFF">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04ECAC5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3B3E1FA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2D356CC">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eastAsia="zh-CN"/>
              </w:rPr>
              <w:t>效益指标</w:t>
            </w:r>
          </w:p>
        </w:tc>
        <w:tc>
          <w:tcPr>
            <w:tcW w:w="1099" w:type="pct"/>
            <w:tcBorders>
              <w:top w:val="nil"/>
              <w:left w:val="nil"/>
              <w:bottom w:val="single" w:color="auto" w:sz="4" w:space="0"/>
              <w:right w:val="single" w:color="auto" w:sz="4" w:space="0"/>
            </w:tcBorders>
            <w:shd w:val="clear" w:color="auto" w:fill="auto"/>
            <w:vAlign w:val="center"/>
          </w:tcPr>
          <w:p w14:paraId="0F709FB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D74F4AE">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7C1E8B5">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5E19ADF5">
        <w:tblPrEx>
          <w:tblCellMar>
            <w:top w:w="0" w:type="dxa"/>
            <w:left w:w="108" w:type="dxa"/>
            <w:bottom w:w="0" w:type="dxa"/>
            <w:right w:w="108" w:type="dxa"/>
          </w:tblCellMar>
        </w:tblPrEx>
        <w:trPr>
          <w:trHeight w:val="340" w:hRule="atLeast"/>
          <w:jc w:val="center"/>
        </w:trPr>
        <w:tc>
          <w:tcPr>
            <w:tcW w:w="1590" w:type="pct"/>
            <w:tcBorders>
              <w:top w:val="single" w:color="auto" w:sz="4" w:space="0"/>
              <w:left w:val="single" w:color="auto" w:sz="4" w:space="0"/>
              <w:bottom w:val="single" w:color="auto" w:sz="4" w:space="0"/>
              <w:right w:val="single" w:color="auto" w:sz="4" w:space="0"/>
            </w:tcBorders>
            <w:shd w:val="clear" w:color="auto" w:fill="auto"/>
            <w:vAlign w:val="center"/>
          </w:tcPr>
          <w:p w14:paraId="7FF2CEA7">
            <w:pPr>
              <w:jc w:val="center"/>
              <w:rPr>
                <w:rFonts w:hint="default" w:ascii="Times New Roman" w:hAnsi="Times New Roman" w:eastAsia="仿宋_GB2312" w:cs="Times New Roman"/>
                <w:b/>
                <w:bCs/>
                <w:color w:val="000000"/>
                <w:sz w:val="21"/>
                <w:szCs w:val="21"/>
                <w:highlight w:val="none"/>
              </w:rPr>
            </w:pPr>
            <w:r>
              <w:rPr>
                <w:rFonts w:hint="eastAsia" w:ascii="Times New Roman" w:hAnsi="Times New Roman" w:eastAsia="仿宋_GB2312" w:cs="Times New Roman"/>
                <w:b w:val="0"/>
                <w:bCs w:val="0"/>
                <w:highlight w:val="none"/>
                <w:lang w:eastAsia="zh-CN"/>
              </w:rPr>
              <w:t>满意度指标</w:t>
            </w:r>
          </w:p>
        </w:tc>
        <w:tc>
          <w:tcPr>
            <w:tcW w:w="1099" w:type="pct"/>
            <w:tcBorders>
              <w:top w:val="single" w:color="auto" w:sz="4" w:space="0"/>
              <w:left w:val="single" w:color="auto" w:sz="4" w:space="0"/>
              <w:bottom w:val="single" w:color="auto" w:sz="4" w:space="0"/>
              <w:right w:val="single" w:color="auto" w:sz="4" w:space="0"/>
            </w:tcBorders>
            <w:shd w:val="clear" w:color="auto" w:fill="auto"/>
            <w:vAlign w:val="center"/>
          </w:tcPr>
          <w:p w14:paraId="1FD12006">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color w:val="000000"/>
                <w:sz w:val="21"/>
                <w:szCs w:val="21"/>
                <w:highlight w:val="none"/>
                <w:lang w:val="en-US" w:eastAsia="zh-CN"/>
              </w:rPr>
              <w:t>10</w:t>
            </w:r>
          </w:p>
        </w:tc>
        <w:tc>
          <w:tcPr>
            <w:tcW w:w="1154" w:type="pct"/>
            <w:tcBorders>
              <w:top w:val="single" w:color="auto" w:sz="4" w:space="0"/>
              <w:left w:val="single" w:color="auto" w:sz="4" w:space="0"/>
              <w:bottom w:val="single" w:color="auto" w:sz="4" w:space="0"/>
              <w:right w:val="single" w:color="auto" w:sz="4" w:space="0"/>
            </w:tcBorders>
            <w:shd w:val="clear" w:color="auto" w:fill="auto"/>
            <w:vAlign w:val="center"/>
          </w:tcPr>
          <w:p w14:paraId="35291B7F">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w:t>
            </w:r>
          </w:p>
        </w:tc>
        <w:tc>
          <w:tcPr>
            <w:tcW w:w="1154" w:type="pct"/>
            <w:tcBorders>
              <w:top w:val="single" w:color="auto" w:sz="4" w:space="0"/>
              <w:left w:val="single" w:color="auto" w:sz="4" w:space="0"/>
              <w:bottom w:val="single" w:color="auto" w:sz="4" w:space="0"/>
              <w:right w:val="single" w:color="auto" w:sz="4" w:space="0"/>
            </w:tcBorders>
            <w:shd w:val="clear" w:color="auto" w:fill="auto"/>
            <w:vAlign w:val="center"/>
          </w:tcPr>
          <w:p w14:paraId="7C604266">
            <w:pPr>
              <w:jc w:val="center"/>
              <w:rPr>
                <w:rFonts w:hint="default" w:ascii="Times New Roman" w:hAnsi="Times New Roman" w:eastAsia="仿宋_GB2312" w:cs="Times New Roman"/>
                <w:color w:val="000000"/>
                <w:sz w:val="21"/>
                <w:szCs w:val="21"/>
                <w:highlight w:val="none"/>
                <w:lang w:val="en-US" w:eastAsia="zh-CN"/>
              </w:rPr>
            </w:pPr>
            <w:r>
              <w:rPr>
                <w:rFonts w:hint="eastAsia" w:ascii="Times New Roman" w:hAnsi="Times New Roman" w:eastAsia="仿宋_GB2312" w:cs="Times New Roman"/>
                <w:color w:val="000000"/>
                <w:sz w:val="21"/>
                <w:szCs w:val="21"/>
                <w:highlight w:val="none"/>
                <w:lang w:val="en-US" w:eastAsia="zh-CN"/>
              </w:rPr>
              <w:t>100%</w:t>
            </w:r>
          </w:p>
        </w:tc>
      </w:tr>
      <w:tr w14:paraId="5E6B0B80">
        <w:tblPrEx>
          <w:tblCellMar>
            <w:top w:w="0" w:type="dxa"/>
            <w:left w:w="108" w:type="dxa"/>
            <w:bottom w:w="0" w:type="dxa"/>
            <w:right w:w="108" w:type="dxa"/>
          </w:tblCellMar>
        </w:tblPrEx>
        <w:trPr>
          <w:trHeight w:val="340" w:hRule="atLeast"/>
          <w:jc w:val="center"/>
        </w:trPr>
        <w:tc>
          <w:tcPr>
            <w:tcW w:w="1590" w:type="pct"/>
            <w:tcBorders>
              <w:top w:val="single" w:color="auto" w:sz="4" w:space="0"/>
              <w:left w:val="single" w:color="auto" w:sz="4" w:space="0"/>
              <w:bottom w:val="single" w:color="auto" w:sz="4" w:space="0"/>
              <w:right w:val="single" w:color="auto" w:sz="4" w:space="0"/>
            </w:tcBorders>
            <w:shd w:val="clear" w:color="auto" w:fill="auto"/>
            <w:vAlign w:val="center"/>
          </w:tcPr>
          <w:p w14:paraId="5E096CA4">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099" w:type="pct"/>
            <w:tcBorders>
              <w:top w:val="single" w:color="auto" w:sz="4" w:space="0"/>
              <w:left w:val="single" w:color="auto" w:sz="4" w:space="0"/>
              <w:bottom w:val="single" w:color="auto" w:sz="4" w:space="0"/>
              <w:right w:val="single" w:color="auto" w:sz="4" w:space="0"/>
            </w:tcBorders>
            <w:shd w:val="clear" w:color="auto" w:fill="auto"/>
            <w:vAlign w:val="center"/>
          </w:tcPr>
          <w:p w14:paraId="25185835">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1154" w:type="pct"/>
            <w:tcBorders>
              <w:top w:val="single" w:color="auto" w:sz="4" w:space="0"/>
              <w:left w:val="single" w:color="auto" w:sz="4" w:space="0"/>
              <w:bottom w:val="single" w:color="auto" w:sz="4" w:space="0"/>
              <w:right w:val="single" w:color="auto" w:sz="4" w:space="0"/>
            </w:tcBorders>
            <w:shd w:val="clear" w:color="auto" w:fill="auto"/>
            <w:vAlign w:val="center"/>
          </w:tcPr>
          <w:p w14:paraId="33E9F04D">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1154" w:type="pct"/>
            <w:tcBorders>
              <w:top w:val="single" w:color="auto" w:sz="4" w:space="0"/>
              <w:left w:val="single" w:color="auto" w:sz="4" w:space="0"/>
              <w:bottom w:val="single" w:color="auto" w:sz="4" w:space="0"/>
              <w:right w:val="single" w:color="auto" w:sz="4" w:space="0"/>
            </w:tcBorders>
            <w:shd w:val="clear" w:color="auto" w:fill="auto"/>
            <w:vAlign w:val="center"/>
          </w:tcPr>
          <w:p w14:paraId="74C33C95">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529331EF">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1E94E3D6">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24CD4663">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DC5CC59">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0F93A62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08CBB0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862C24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29C2F3D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8917AE1">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6E0B95F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50B1805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25C679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085EA04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92AB089">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4C56456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7A050B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DDB5F5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B52B64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0EE12A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0CC8A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F4ABB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0C8601A">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10FEEF0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EC4DC51">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251A8828">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520CA9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609.52</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w:t>
      </w:r>
      <w:r>
        <w:rPr>
          <w:rFonts w:hint="default" w:ascii="Times New Roman" w:hAnsi="Times New Roman" w:eastAsia="仿宋_GB2312" w:cs="Times New Roman"/>
          <w:sz w:val="32"/>
          <w:szCs w:val="32"/>
          <w:lang w:val="en-US" w:eastAsia="zh-CN"/>
        </w:rPr>
        <w:t>资金按计划进度执行。</w:t>
      </w:r>
    </w:p>
    <w:p w14:paraId="6CD0C5D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607C481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558.72</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91.67</w:t>
      </w:r>
      <w:r>
        <w:rPr>
          <w:rFonts w:hint="default" w:ascii="Times New Roman" w:hAnsi="Times New Roman" w:eastAsia="仿宋_GB2312" w:cs="Times New Roman"/>
          <w:sz w:val="32"/>
          <w:szCs w:val="32"/>
          <w:highlight w:val="none"/>
          <w:lang w:val="en-US" w:eastAsia="zh-CN"/>
        </w:rPr>
        <w:t>%。</w:t>
      </w:r>
    </w:p>
    <w:p w14:paraId="5C3414F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750F69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47B66A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4F269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224063D">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1EFB18B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551D86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E677C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62D166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FDF095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3B7B64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197E9A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0781CC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24E7E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115CDBEB">
      <w:pPr>
        <w:pStyle w:val="11"/>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295427F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个三级指标构成，实际得分</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w:t>
      </w:r>
      <w:r>
        <w:rPr>
          <w:rFonts w:hint="default" w:ascii="Times New Roman" w:hAnsi="Times New Roman" w:eastAsia="仿宋_GB2312" w:cs="Times New Roman"/>
          <w:sz w:val="32"/>
          <w:szCs w:val="32"/>
          <w:lang w:val="en-US" w:eastAsia="zh-CN"/>
        </w:rPr>
        <w:t>指标完成情况如下：</w:t>
      </w:r>
    </w:p>
    <w:p w14:paraId="3404585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72D813BC">
      <w:pPr>
        <w:shd w:val="clear" w:color="auto" w:fill="auto"/>
        <w:spacing w:line="600" w:lineRule="exact"/>
        <w:ind w:firstLine="640" w:firstLineChars="200"/>
        <w:outlineLvl w:val="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highlight w:val="none"/>
        </w:rPr>
        <w:t>指标1：</w:t>
      </w:r>
      <w:r>
        <w:rPr>
          <w:rFonts w:hint="eastAsia" w:ascii="仿宋_GB2312" w:hAnsi="仿宋_GB2312" w:eastAsia="仿宋_GB2312" w:cs="仿宋_GB2312"/>
          <w:sz w:val="32"/>
          <w:szCs w:val="32"/>
        </w:rPr>
        <w:t>购置农机具，指标值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≥5台，实际完成</w:t>
      </w:r>
      <w:r>
        <w:rPr>
          <w:rFonts w:hint="eastAsia" w:ascii="仿宋_GB2312" w:hAnsi="仿宋_GB2312" w:eastAsia="仿宋_GB2312" w:cs="仿宋_GB2312"/>
          <w:sz w:val="32"/>
          <w:szCs w:val="32"/>
          <w:lang w:val="en-US" w:eastAsia="zh-CN"/>
        </w:rPr>
        <w:t>值：5台</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32D11336">
      <w:pPr>
        <w:shd w:val="clear" w:color="auto" w:fill="auto"/>
        <w:spacing w:line="600" w:lineRule="exact"/>
        <w:ind w:firstLine="640" w:firstLineChars="200"/>
        <w:outlineLvl w:val="0"/>
        <w:rPr>
          <w:rFonts w:hint="eastAsia" w:ascii="仿宋_GB2312" w:hAnsi="仿宋_GB2312" w:eastAsia="仿宋_GB2312" w:cs="仿宋_GB2312"/>
          <w:sz w:val="32"/>
          <w:szCs w:val="32"/>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2：</w:t>
      </w:r>
      <w:r>
        <w:rPr>
          <w:rFonts w:hint="eastAsia" w:ascii="仿宋_GB2312" w:hAnsi="仿宋_GB2312" w:eastAsia="仿宋_GB2312" w:cs="仿宋_GB2312"/>
          <w:sz w:val="32"/>
          <w:szCs w:val="32"/>
        </w:rPr>
        <w:t>秸秆还田生态效应监测点位，指标值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≥10个，实际完成</w:t>
      </w:r>
      <w:r>
        <w:rPr>
          <w:rFonts w:hint="eastAsia" w:ascii="仿宋_GB2312" w:hAnsi="仿宋_GB2312" w:eastAsia="仿宋_GB2312" w:cs="仿宋_GB2312"/>
          <w:sz w:val="32"/>
          <w:szCs w:val="32"/>
          <w:lang w:val="en-US" w:eastAsia="zh-CN"/>
        </w:rPr>
        <w:t>值：10个</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33ED9B2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3：</w:t>
      </w:r>
      <w:r>
        <w:rPr>
          <w:rFonts w:hint="eastAsia" w:ascii="仿宋_GB2312" w:hAnsi="仿宋_GB2312" w:eastAsia="仿宋_GB2312" w:cs="仿宋_GB2312"/>
          <w:sz w:val="32"/>
          <w:szCs w:val="32"/>
        </w:rPr>
        <w:t>秸秆综合利用调查、宣传、培训，指标值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≥2000人，实际完成</w:t>
      </w:r>
      <w:r>
        <w:rPr>
          <w:rFonts w:hint="eastAsia" w:ascii="仿宋_GB2312" w:hAnsi="仿宋_GB2312" w:eastAsia="仿宋_GB2312" w:cs="仿宋_GB2312"/>
          <w:sz w:val="32"/>
          <w:szCs w:val="32"/>
          <w:lang w:val="en-US" w:eastAsia="zh-CN"/>
        </w:rPr>
        <w:t>值：2000人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highlight w:val="none"/>
        </w:rPr>
        <w:t xml:space="preserve">   </w:t>
      </w:r>
    </w:p>
    <w:p w14:paraId="4F4B938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08D5D2EC">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rPr>
      </w:pPr>
      <w:r>
        <w:rPr>
          <w:rFonts w:hint="default" w:ascii="Times New Roman" w:hAnsi="Times New Roman" w:eastAsia="仿宋_GB2312" w:cs="Times New Roman"/>
          <w:sz w:val="32"/>
          <w:szCs w:val="32"/>
          <w:highlight w:val="none"/>
        </w:rPr>
        <w:t>指标1：</w:t>
      </w:r>
      <w:r>
        <w:rPr>
          <w:rFonts w:hint="eastAsia" w:ascii="仿宋_GB2312" w:hAnsi="仿宋_GB2312" w:eastAsia="仿宋_GB2312" w:cs="仿宋_GB2312"/>
          <w:sz w:val="32"/>
          <w:szCs w:val="32"/>
        </w:rPr>
        <w:t>采购验收合格率，指标值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，实际完成</w:t>
      </w:r>
      <w:r>
        <w:rPr>
          <w:rFonts w:hint="eastAsia" w:ascii="仿宋_GB2312" w:hAnsi="仿宋_GB2312" w:eastAsia="仿宋_GB2312" w:cs="仿宋_GB2312"/>
          <w:sz w:val="32"/>
          <w:szCs w:val="32"/>
          <w:lang w:val="en-US" w:eastAsia="zh-CN"/>
        </w:rPr>
        <w:t>值：100%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73C3CD9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608CCA6E">
      <w:pPr>
        <w:shd w:val="clear" w:color="auto" w:fill="auto"/>
        <w:spacing w:line="600" w:lineRule="exact"/>
        <w:ind w:firstLine="640" w:firstLineChars="200"/>
        <w:outlineLvl w:val="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highlight w:val="none"/>
        </w:rPr>
        <w:t>指标1：</w:t>
      </w:r>
      <w:r>
        <w:rPr>
          <w:rFonts w:hint="eastAsia" w:ascii="仿宋_GB2312" w:hAnsi="仿宋_GB2312" w:eastAsia="仿宋_GB2312" w:cs="仿宋_GB2312"/>
          <w:b w:val="0"/>
          <w:bCs w:val="0"/>
          <w:kern w:val="2"/>
          <w:sz w:val="32"/>
          <w:szCs w:val="32"/>
          <w:lang w:val="en-US" w:eastAsia="zh-CN" w:bidi="ar-SA"/>
        </w:rPr>
        <w:t>秸秆项目完工及时率</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，实际完成</w:t>
      </w:r>
      <w:r>
        <w:rPr>
          <w:rFonts w:hint="eastAsia" w:ascii="仿宋_GB2312" w:hAnsi="仿宋_GB2312" w:eastAsia="仿宋_GB2312" w:cs="仿宋_GB2312"/>
          <w:sz w:val="32"/>
          <w:szCs w:val="32"/>
          <w:lang w:val="en-US" w:eastAsia="zh-CN"/>
        </w:rPr>
        <w:t>值：100%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764A152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CB039A5">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highlight w:val="red"/>
          <w:lang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.购置农机具费用，指标值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≤550万元，实际完成</w:t>
      </w:r>
      <w:r>
        <w:rPr>
          <w:rFonts w:hint="eastAsia" w:ascii="仿宋_GB2312" w:hAnsi="仿宋_GB2312" w:eastAsia="仿宋_GB2312" w:cs="仿宋_GB2312"/>
          <w:sz w:val="32"/>
          <w:szCs w:val="32"/>
          <w:lang w:val="en-US" w:eastAsia="zh-CN"/>
        </w:rPr>
        <w:t>值：499.2万元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highlight w:val="none"/>
        </w:rPr>
        <w:t>完成率</w:t>
      </w:r>
      <w:r>
        <w:rPr>
          <w:rFonts w:hint="eastAsia" w:ascii="仿宋_GB2312" w:hAnsi="仿宋_GB2312" w:eastAsia="仿宋_GB2312" w:cs="仿宋_GB2312"/>
          <w:sz w:val="32"/>
          <w:szCs w:val="32"/>
          <w:highlight w:val="none"/>
          <w:lang w:val="en-US" w:eastAsia="zh-CN"/>
        </w:rPr>
        <w:t>90.76</w:t>
      </w:r>
      <w:r>
        <w:rPr>
          <w:rFonts w:hint="eastAsia" w:ascii="仿宋_GB2312" w:hAnsi="仿宋_GB2312" w:eastAsia="仿宋_GB2312" w:cs="仿宋_GB2312"/>
          <w:sz w:val="32"/>
          <w:szCs w:val="32"/>
          <w:highlight w:val="none"/>
        </w:rPr>
        <w:t>%、偏差率</w:t>
      </w:r>
      <w:r>
        <w:rPr>
          <w:rFonts w:hint="eastAsia" w:ascii="仿宋_GB2312" w:hAnsi="仿宋_GB2312" w:eastAsia="仿宋_GB2312" w:cs="仿宋_GB2312"/>
          <w:sz w:val="32"/>
          <w:szCs w:val="32"/>
          <w:highlight w:val="none"/>
          <w:lang w:val="en-US" w:eastAsia="zh-CN"/>
        </w:rPr>
        <w:t>9.24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2C519AF">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.建立1个秸秆还田生态效应监测点位，10个秸秆还田调查点位及做好农作物草谷比、秸秆可收集系数和还田监测任务指标，指标值为≤30万元，实际完成</w:t>
      </w:r>
      <w:r>
        <w:rPr>
          <w:rFonts w:hint="eastAsia" w:ascii="仿宋_GB2312" w:hAnsi="仿宋_GB2312" w:eastAsia="仿宋_GB2312" w:cs="仿宋_GB2312"/>
          <w:sz w:val="32"/>
          <w:szCs w:val="32"/>
          <w:lang w:val="en-US" w:eastAsia="zh-CN"/>
        </w:rPr>
        <w:t>值：30万元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5B73382E">
      <w:pPr>
        <w:pStyle w:val="2"/>
        <w:keepNext/>
        <w:keepLines/>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rPr>
          <w:rFonts w:hint="eastAsia"/>
        </w:rPr>
      </w:pPr>
      <w:r>
        <w:rPr>
          <w:rFonts w:hint="eastAsia" w:ascii="仿宋_GB2312" w:hAnsi="仿宋_GB2312" w:eastAsia="仿宋_GB2312" w:cs="仿宋_GB2312"/>
          <w:b w:val="0"/>
          <w:bCs w:val="0"/>
          <w:sz w:val="32"/>
          <w:szCs w:val="32"/>
          <w:lang w:eastAsia="zh-CN"/>
        </w:rPr>
        <w:t>指标</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.开展综合利用调查、宣传、培训，建立秸秆资源综合利用台账、撰写相关报告及专家咨询服务，指标值为≤20万元，实际完成</w:t>
      </w:r>
      <w:r>
        <w:rPr>
          <w:rFonts w:hint="eastAsia" w:ascii="仿宋_GB2312" w:hAnsi="仿宋_GB2312" w:eastAsia="仿宋_GB2312" w:cs="仿宋_GB2312"/>
          <w:b w:val="0"/>
          <w:bCs w:val="0"/>
          <w:sz w:val="32"/>
          <w:szCs w:val="32"/>
          <w:lang w:val="en-US" w:eastAsia="zh-CN"/>
        </w:rPr>
        <w:t>值：20万元</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指标</w:t>
      </w:r>
      <w:r>
        <w:rPr>
          <w:rFonts w:hint="eastAsia" w:ascii="仿宋_GB2312" w:hAnsi="仿宋_GB2312" w:eastAsia="仿宋_GB2312" w:cs="仿宋_GB2312"/>
          <w:b w:val="0"/>
          <w:bCs w:val="0"/>
          <w:sz w:val="32"/>
          <w:szCs w:val="32"/>
        </w:rPr>
        <w:t>完成率</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%、偏差率</w:t>
      </w:r>
      <w:r>
        <w:rPr>
          <w:rFonts w:hint="eastAsia" w:ascii="仿宋_GB2312" w:hAnsi="仿宋_GB2312" w:eastAsia="仿宋_GB2312" w:cs="仿宋_GB2312"/>
          <w:b w:val="0"/>
          <w:bCs w:val="0"/>
          <w:sz w:val="32"/>
          <w:szCs w:val="32"/>
          <w:lang w:val="en-US" w:eastAsia="zh-CN"/>
        </w:rPr>
        <w:t>0</w:t>
      </w:r>
      <w:r>
        <w:rPr>
          <w:rFonts w:hint="eastAsia" w:ascii="仿宋_GB2312" w:hAnsi="仿宋_GB2312" w:eastAsia="仿宋_GB2312" w:cs="仿宋_GB2312"/>
          <w:b w:val="0"/>
          <w:bCs w:val="0"/>
          <w:sz w:val="32"/>
          <w:szCs w:val="32"/>
        </w:rPr>
        <w:t>%。</w:t>
      </w:r>
    </w:p>
    <w:p w14:paraId="3A8A515B">
      <w:pPr>
        <w:pStyle w:val="11"/>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1B33732E">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w:t>
      </w:r>
      <w:r>
        <w:rPr>
          <w:rFonts w:hint="default" w:ascii="Times New Roman" w:hAnsi="Times New Roman" w:eastAsia="仿宋_GB2312" w:cs="Times New Roman"/>
          <w:sz w:val="32"/>
          <w:szCs w:val="32"/>
          <w:lang w:val="en-US" w:eastAsia="zh-CN"/>
        </w:rPr>
        <w:t>指标完成情况如下：</w:t>
      </w:r>
    </w:p>
    <w:p w14:paraId="65FFADEE">
      <w:pPr>
        <w:numPr>
          <w:ilvl w:val="0"/>
          <w:numId w:val="5"/>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67B2A3D0">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4D5AB309">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rPr>
      </w:pPr>
      <w:r>
        <w:rPr>
          <w:rFonts w:hint="eastAsia" w:ascii="仿宋_GB2312" w:hAnsi="仿宋_GB2312" w:eastAsia="仿宋_GB2312" w:cs="仿宋_GB2312"/>
          <w:sz w:val="32"/>
          <w:szCs w:val="32"/>
        </w:rPr>
        <w:t>提高农作物秸秆利用率，可带动农户指标，指标值为≥2000户，实际完成</w:t>
      </w:r>
      <w:r>
        <w:rPr>
          <w:rFonts w:hint="eastAsia" w:ascii="仿宋_GB2312" w:hAnsi="仿宋_GB2312" w:eastAsia="仿宋_GB2312" w:cs="仿宋_GB2312"/>
          <w:sz w:val="32"/>
          <w:szCs w:val="32"/>
          <w:lang w:val="en-US" w:eastAsia="zh-CN"/>
        </w:rPr>
        <w:t>2000户</w:t>
      </w:r>
      <w:r>
        <w:rPr>
          <w:rFonts w:hint="eastAsia" w:ascii="仿宋_GB2312" w:hAnsi="仿宋_GB2312" w:eastAsia="仿宋_GB2312" w:cs="仿宋_GB2312"/>
          <w:sz w:val="32"/>
          <w:szCs w:val="32"/>
        </w:rPr>
        <w:t>，完成率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5E20002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4D81B7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培育市场化利用主体，延伸产业链，提升价值链，建立秸秆综合利用的稳定运行机制，提高秸秆综合利用率指标，指标值为≥96％，实际完成97.36%，完成率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2CB8EFB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③生态效益指标：</w:t>
      </w:r>
    </w:p>
    <w:p w14:paraId="6FA541B7">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textAlignment w:val="auto"/>
        <w:rPr>
          <w:rFonts w:hint="eastAsia"/>
        </w:rPr>
      </w:pPr>
      <w:r>
        <w:rPr>
          <w:rFonts w:hint="eastAsia" w:ascii="仿宋_GB2312" w:hAnsi="仿宋_GB2312" w:eastAsia="仿宋_GB2312" w:cs="仿宋_GB2312"/>
          <w:b w:val="0"/>
          <w:bCs w:val="0"/>
          <w:kern w:val="2"/>
          <w:sz w:val="32"/>
          <w:szCs w:val="32"/>
          <w:lang w:val="en-US" w:eastAsia="zh-CN" w:bidi="ar-SA"/>
        </w:rPr>
        <w:t>减少秸秆污染环境，提升了秸秆利用价值指标，指标值为显著提高，实际完成基本达成目标，完成率100%、偏差率0%。</w:t>
      </w:r>
    </w:p>
    <w:p w14:paraId="2288439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4AFA44F8">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服务对象满意率指标，指标值为≥95%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实际完成</w:t>
      </w:r>
      <w:r>
        <w:rPr>
          <w:rFonts w:hint="eastAsia" w:ascii="仿宋_GB2312" w:hAnsi="仿宋_GB2312" w:eastAsia="仿宋_GB2312" w:cs="仿宋_GB2312"/>
          <w:sz w:val="32"/>
          <w:szCs w:val="32"/>
          <w:lang w:val="en-US" w:eastAsia="zh-CN"/>
        </w:rPr>
        <w:t>96.56%</w:t>
      </w:r>
      <w:r>
        <w:rPr>
          <w:rFonts w:hint="eastAsia" w:ascii="仿宋_GB2312" w:hAnsi="仿宋_GB2312" w:eastAsia="仿宋_GB2312" w:cs="仿宋_GB2312"/>
          <w:sz w:val="32"/>
          <w:szCs w:val="32"/>
        </w:rPr>
        <w:t>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%，偏差率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11137A3A">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62E6584A">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default" w:ascii="仿宋_GB2312" w:hAnsi="仿宋_GB2312" w:eastAsia="仿宋_GB2312" w:cs="仿宋_GB2312"/>
          <w:sz w:val="32"/>
          <w:szCs w:val="32"/>
          <w:lang w:eastAsia="zh-CN"/>
        </w:rPr>
        <w:t>托里县2024年秸秆综合利用重点县建设项目</w:t>
      </w:r>
      <w:r>
        <w:rPr>
          <w:rFonts w:hint="default" w:ascii="仿宋_GB2312" w:hAnsi="仿宋_GB2312" w:eastAsia="仿宋_GB2312" w:cs="仿宋_GB2312"/>
          <w:sz w:val="32"/>
          <w:szCs w:val="32"/>
        </w:rPr>
        <w:t>项目年初预算</w:t>
      </w:r>
      <w:r>
        <w:rPr>
          <w:rFonts w:hint="eastAsia" w:ascii="仿宋_GB2312" w:hAnsi="仿宋_GB2312" w:eastAsia="仿宋_GB2312" w:cs="仿宋_GB2312"/>
          <w:sz w:val="32"/>
          <w:szCs w:val="32"/>
          <w:lang w:val="en-US" w:eastAsia="zh-CN"/>
        </w:rPr>
        <w:t>609.52</w:t>
      </w:r>
      <w:r>
        <w:rPr>
          <w:rFonts w:hint="default" w:ascii="仿宋_GB2312" w:hAnsi="仿宋_GB2312" w:eastAsia="仿宋_GB2312" w:cs="仿宋_GB2312"/>
          <w:sz w:val="32"/>
          <w:szCs w:val="32"/>
        </w:rPr>
        <w:t>万元，全年预算</w:t>
      </w:r>
      <w:r>
        <w:rPr>
          <w:rFonts w:hint="eastAsia" w:ascii="仿宋_GB2312" w:hAnsi="仿宋_GB2312" w:eastAsia="仿宋_GB2312" w:cs="仿宋_GB2312"/>
          <w:sz w:val="32"/>
          <w:szCs w:val="32"/>
          <w:lang w:val="en-US" w:eastAsia="zh-CN"/>
        </w:rPr>
        <w:t>609.52</w:t>
      </w:r>
      <w:r>
        <w:rPr>
          <w:rFonts w:hint="default"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558.72</w:t>
      </w:r>
      <w:r>
        <w:rPr>
          <w:rFonts w:hint="default"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91.53</w:t>
      </w:r>
      <w:r>
        <w:rPr>
          <w:rFonts w:hint="default" w:ascii="仿宋_GB2312" w:hAnsi="仿宋_GB2312" w:eastAsia="仿宋_GB2312" w:cs="仿宋_GB2312"/>
          <w:sz w:val="32"/>
          <w:szCs w:val="32"/>
        </w:rPr>
        <w:t>%，项目绩效指标总体完成率为</w:t>
      </w:r>
      <w:r>
        <w:rPr>
          <w:rFonts w:hint="eastAsia" w:ascii="仿宋_GB2312" w:hAnsi="仿宋_GB2312" w:eastAsia="仿宋_GB2312" w:cs="仿宋_GB2312"/>
          <w:sz w:val="32"/>
          <w:szCs w:val="32"/>
          <w:lang w:val="en-US" w:eastAsia="zh-CN"/>
        </w:rPr>
        <w:t>91.67</w:t>
      </w:r>
      <w:r>
        <w:rPr>
          <w:rFonts w:hint="default" w:ascii="仿宋_GB2312" w:hAnsi="仿宋_GB2312" w:eastAsia="仿宋_GB2312" w:cs="仿宋_GB2312"/>
          <w:sz w:val="32"/>
          <w:szCs w:val="32"/>
        </w:rPr>
        <w:t>%，总体偏差率为</w:t>
      </w:r>
      <w:r>
        <w:rPr>
          <w:rFonts w:hint="eastAsia" w:ascii="仿宋_GB2312" w:hAnsi="仿宋_GB2312" w:eastAsia="仿宋_GB2312" w:cs="仿宋_GB2312"/>
          <w:sz w:val="32"/>
          <w:szCs w:val="32"/>
          <w:lang w:val="en-US" w:eastAsia="zh-CN"/>
        </w:rPr>
        <w:t>8.33</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34680372">
      <w:pPr>
        <w:spacing w:line="560" w:lineRule="exact"/>
        <w:ind w:firstLine="640" w:firstLineChars="200"/>
        <w:rPr>
          <w:rStyle w:val="20"/>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6B188ADD">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3AF8782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0D63ACD">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6ECE52B">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8" w:name="page8"/>
      <w:bookmarkEnd w:id="8"/>
      <w:r>
        <w:rPr>
          <w:rFonts w:hint="default" w:ascii="Times New Roman" w:hAnsi="Times New Roman" w:eastAsia="黑体" w:cs="Times New Roman"/>
          <w:sz w:val="32"/>
          <w:szCs w:val="32"/>
        </w:rPr>
        <w:t>明的问题</w:t>
      </w:r>
    </w:p>
    <w:p w14:paraId="01814BF0">
      <w:pPr>
        <w:pStyle w:val="12"/>
        <w:spacing w:after="0" w:line="560" w:lineRule="exact"/>
        <w:ind w:left="0" w:leftChars="0"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bookmarkEnd w:id="9"/>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F96ABD-C17D-4202-A76D-366E13D5D0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E07C980B-6681-473C-85C5-A4EF4B57EF25}"/>
  </w:font>
  <w:font w:name="华文中宋">
    <w:altName w:val="宋体"/>
    <w:panose1 w:val="02010600040101010101"/>
    <w:charset w:val="86"/>
    <w:family w:val="auto"/>
    <w:pitch w:val="default"/>
    <w:sig w:usb0="00000000" w:usb1="00000000" w:usb2="00000000" w:usb3="00000000" w:csb0="0004009F" w:csb1="DFD70000"/>
    <w:embedRegular r:id="rId3" w:fontKey="{C6568C59-07E9-4195-B3C1-FF2FD088DE81}"/>
  </w:font>
  <w:font w:name="方正小标宋_GBK">
    <w:panose1 w:val="02000000000000000000"/>
    <w:charset w:val="86"/>
    <w:family w:val="script"/>
    <w:pitch w:val="default"/>
    <w:sig w:usb0="A00002BF" w:usb1="38CF7CFA" w:usb2="00082016" w:usb3="00000000" w:csb0="00040001" w:csb1="00000000"/>
    <w:embedRegular r:id="rId4" w:fontKey="{A665DC16-173D-4380-A49B-BD691A36679A}"/>
  </w:font>
  <w:font w:name="楷体_GB2312">
    <w:altName w:val="楷体"/>
    <w:panose1 w:val="02010609030101010101"/>
    <w:charset w:val="86"/>
    <w:family w:val="auto"/>
    <w:pitch w:val="default"/>
    <w:sig w:usb0="00000000" w:usb1="00000000" w:usb2="00000000" w:usb3="00000000" w:csb0="00040000" w:csb1="00000000"/>
    <w:embedRegular r:id="rId5" w:fontKey="{8EFCC7AD-8294-4F02-B79C-BE5CC89AC032}"/>
  </w:font>
  <w:font w:name="方正仿宋_GBK">
    <w:altName w:val="微软雅黑"/>
    <w:panose1 w:val="02000000000000000000"/>
    <w:charset w:val="86"/>
    <w:family w:val="auto"/>
    <w:pitch w:val="default"/>
    <w:sig w:usb0="00000000" w:usb1="00000000" w:usb2="00082016" w:usb3="00000000" w:csb0="00040001" w:csb1="00000000"/>
    <w:embedRegular r:id="rId6" w:fontKey="{37DEC377-9D43-4BA1-AF76-55C98460EAE6}"/>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7" w:fontKey="{B0EF55E2-0A7C-4C73-81B3-DBA1125D7D11}"/>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B3D889D">
        <w:pPr>
          <w:pStyle w:val="7"/>
          <w:jc w:val="center"/>
        </w:pPr>
        <w:r>
          <w:fldChar w:fldCharType="begin"/>
        </w:r>
        <w:r>
          <w:instrText xml:space="preserve">PAGE   \* MERGEFORMAT</w:instrText>
        </w:r>
        <w:r>
          <w:fldChar w:fldCharType="separate"/>
        </w:r>
        <w:r>
          <w:rPr>
            <w:lang w:val="zh-CN"/>
          </w:rPr>
          <w:t>13</w:t>
        </w:r>
        <w:r>
          <w:fldChar w:fldCharType="end"/>
        </w:r>
      </w:p>
    </w:sdtContent>
  </w:sdt>
  <w:p w14:paraId="411EF0F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26BF28B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szCs w:val="21"/>
    </w:rPr>
  </w:style>
  <w:style w:type="paragraph" w:styleId="4">
    <w:name w:val="Body Text"/>
    <w:basedOn w:val="1"/>
    <w:qFormat/>
    <w:uiPriority w:val="0"/>
    <w:pPr>
      <w:spacing w:after="120"/>
    </w:pPr>
  </w:style>
  <w:style w:type="paragraph" w:styleId="5">
    <w:name w:val="Body Text Indent"/>
    <w:basedOn w:val="1"/>
    <w:next w:val="3"/>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next w:val="1"/>
    <w:qFormat/>
    <w:uiPriority w:val="0"/>
    <w:pPr>
      <w:ind w:firstLine="420" w:firstLineChars="200"/>
    </w:p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5"/>
    <w:link w:val="6"/>
    <w:qFormat/>
    <w:uiPriority w:val="0"/>
    <w:rPr>
      <w:rFonts w:ascii="Times New Roman" w:hAnsi="Times New Roman" w:eastAsia="宋体" w:cs="Times New Roman"/>
      <w:kern w:val="2"/>
      <w:sz w:val="18"/>
      <w:szCs w:val="18"/>
    </w:rPr>
  </w:style>
  <w:style w:type="character" w:customStyle="1" w:styleId="23">
    <w:name w:val="页眉 字符"/>
    <w:basedOn w:val="15"/>
    <w:link w:val="8"/>
    <w:qFormat/>
    <w:uiPriority w:val="0"/>
    <w:rPr>
      <w:rFonts w:ascii="Times New Roman" w:hAnsi="Times New Roman" w:eastAsia="宋体" w:cs="Times New Roman"/>
      <w:kern w:val="2"/>
      <w:sz w:val="18"/>
      <w:szCs w:val="18"/>
    </w:rPr>
  </w:style>
  <w:style w:type="character" w:customStyle="1" w:styleId="24">
    <w:name w:val="批注文字 字符"/>
    <w:basedOn w:val="15"/>
    <w:link w:val="17"/>
    <w:qFormat/>
    <w:uiPriority w:val="0"/>
    <w:rPr>
      <w:rFonts w:ascii="Times New Roman" w:hAnsi="Times New Roman" w:eastAsia="宋体" w:cs="Times New Roman"/>
      <w:kern w:val="2"/>
      <w:sz w:val="21"/>
      <w:szCs w:val="24"/>
    </w:rPr>
  </w:style>
  <w:style w:type="character" w:customStyle="1" w:styleId="25">
    <w:name w:val="批注主题 字符"/>
    <w:basedOn w:val="24"/>
    <w:link w:val="18"/>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1891A1F3037B4E88BC69B9F2B13B3567</vt:lpwstr>
  </property>
  <property fmtid="{D5CDD505-2E9C-101B-9397-08002B2CF9AE}" pid="4" name="KSOTemplateDocerSaveRecord">
    <vt:lpwstr>eyJoZGlkIjoiM2FhZGU1MWRiNDE2NGExODE0Yjk0NDMzNzJjYzU5YWIiLCJ1c2VySWQiOiIxMjM2Mzc4MTQ4In0=</vt:lpwstr>
  </property>
</Properties>
</file>

<file path=customXml/itemProps1.xml><?xml version="1.0" encoding="utf-8"?>
<ds:datastoreItem xmlns:ds="http://schemas.openxmlformats.org/officeDocument/2006/customXml" ds:itemID="{78ce29c1-f184-43f5-8ef4-b482e541e4ae}">
  <ds:schemaRefs/>
</ds:datastoreItem>
</file>

<file path=docProps/app.xml><?xml version="1.0" encoding="utf-8"?>
<Properties xmlns="http://schemas.openxmlformats.org/officeDocument/2006/extended-properties" xmlns:vt="http://schemas.openxmlformats.org/officeDocument/2006/docPropsVTypes">
  <Template>Normal</Template>
  <Pages>21</Pages>
  <Words>9077</Words>
  <Characters>9443</Characters>
  <Lines>58</Lines>
  <Paragraphs>16</Paragraphs>
  <TotalTime>2</TotalTime>
  <ScaleCrop>false</ScaleCrop>
  <LinksUpToDate>false</LinksUpToDate>
  <CharactersWithSpaces>9449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2025-10-31T07:35:27Z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1891A1F3037B4E88BC69B9F2B13B3567</vt:lpwstr>
  </property>
  <property fmtid="{D5CDD505-2E9C-101B-9397-08002B2CF9AE}" pid="4" name="KSOTemplateDocerSaveRecord">
    <vt:lpwstr>eyJoZGlkIjoiZjZjY2YzNDY3YWM4YThjNjdkZTk2MDAwYjE2OGQzNDQiLCJ1c2VySWQiOiIzNzI2MDMzNTYifQ==</vt:lpwstr>
  </property>
</Properties>
</file>