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b/>
          <w:kern w:val="0"/>
          <w:sz w:val="52"/>
          <w:szCs w:val="52"/>
        </w:rPr>
      </w:pPr>
    </w:p>
    <w:p>
      <w:pPr>
        <w:spacing w:line="540" w:lineRule="exact"/>
        <w:rPr>
          <w:rFonts w:ascii="宋体" w:eastAsia="宋体" w:hAnsi="宋体" w:asciiTheme="minorEastAsia" w:eastAsiaTheme="minorEastAsia" w:hAnsiTheme="minorEastAsia" w:cs="Arial" w:cstheme="minorEastAsia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方正小标宋_GBK" w:hAnsi="Times New Roman" w:cs="Times New Roman" w:hint="eastAsia"/>
          <w:kern w:val="0"/>
          <w:sz w:val="48"/>
          <w:szCs w:val="48"/>
          <w:lang w:val="en-US" w:eastAsia="zh-CN"/>
        </w:rPr>
      </w:pPr>
      <w:r>
        <w:rPr>
          <w:rFonts w:ascii="Times New Roman" w:eastAsia="方正小标宋_GBK" w:hAnsi="Times New Roman" w:cs="Times New Roman" w:hint="eastAsia"/>
          <w:kern w:val="0"/>
          <w:sz w:val="48"/>
          <w:szCs w:val="48"/>
          <w:lang w:val="en-US" w:eastAsia="zh-CN"/>
        </w:rPr>
        <w:t xml:space="preserve">2024年托里县农村公路车购税“以奖代补”切块资金建设项目项目支出绩效评价</w:t>
      </w:r>
    </w:p>
    <w:p>
      <w:pPr>
        <w:spacing w:line="540" w:lineRule="exact"/>
        <w:jc w:val="center"/>
        <w:rPr>
          <w:rFonts w:ascii="Times New Roman" w:eastAsia="方正小标宋_GBK" w:hAnsi="Times New Roman" w:cs="Times New Roman" w:hint="eastAsia"/>
          <w:kern w:val="0"/>
          <w:sz w:val="48"/>
          <w:szCs w:val="48"/>
          <w:lang w:val="en-US" w:eastAsia="zh-CN"/>
        </w:rPr>
      </w:pPr>
      <w:r>
        <w:rPr>
          <w:rFonts w:ascii="Times New Roman" w:eastAsia="方正小标宋_GBK" w:hAnsi="Times New Roman" w:cs="Times New Roman" w:hint="eastAsia"/>
          <w:kern w:val="0"/>
          <w:sz w:val="48"/>
          <w:szCs w:val="48"/>
          <w:lang w:val="en-US" w:eastAsia="zh-CN"/>
        </w:rPr>
        <w:t xml:space="preserve">报告</w:t>
      </w: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eastAsia"/>
          <w:kern w:val="0"/>
          <w:sz w:val="36"/>
          <w:szCs w:val="36"/>
        </w:rPr>
      </w:pPr>
      <w:r>
        <w:rPr>
          <w:rFonts w:ascii="Times New Roman" w:eastAsia="仿宋_GB2312" w:hAnsi="Times New Roman" w:cs="Times New Roman" w:hint="eastAsia"/>
          <w:kern w:val="0"/>
          <w:sz w:val="36"/>
          <w:szCs w:val="36"/>
        </w:rPr>
        <w:t xml:space="preserve">（202</w:t>
      </w:r>
      <w:r>
        <w:rPr>
          <w:rFonts w:ascii="Times New Roman" w:eastAsia="仿宋_GB2312" w:hAnsi="Times New Roman" w:cs="Times New Roman" w:hint="eastAsia"/>
          <w:kern w:val="0"/>
          <w:sz w:val="36"/>
          <w:szCs w:val="36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kern w:val="0"/>
          <w:sz w:val="30"/>
          <w:szCs w:val="30"/>
        </w:rPr>
      </w:pPr>
    </w:p>
    <w:p>
      <w:pPr>
        <w:pStyle w:val="Title"/>
        <w:rPr>
          <w:rFonts w:ascii="宋体" w:eastAsia="宋体" w:hAnsi="宋体" w:asciiTheme="minorEastAsia" w:eastAsiaTheme="minorEastAsia" w:hAnsiTheme="minorEastAsia" w:cs="Arial" w:cstheme="minorEastAsia" w:hint="eastAsia"/>
        </w:rPr>
      </w:pP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kern w:val="0"/>
          <w:sz w:val="30"/>
          <w:szCs w:val="30"/>
        </w:rPr>
      </w:pPr>
    </w:p>
    <w:p>
      <w:pPr>
        <w:spacing w:line="540" w:lineRule="exact"/>
        <w:rPr>
          <w:rFonts w:ascii="宋体" w:eastAsia="宋体" w:hAnsi="宋体" w:asciiTheme="minorEastAsia" w:eastAsiaTheme="minorEastAsia" w:hAnsiTheme="minorEastAsia" w:cs="Arial" w:cstheme="minorEastAsia" w:hint="eastAsia"/>
          <w:kern w:val="0"/>
          <w:sz w:val="30"/>
          <w:szCs w:val="30"/>
        </w:rPr>
      </w:pPr>
    </w:p>
    <w:p>
      <w:pPr>
        <w:spacing w:line="240" w:lineRule="auto"/>
        <w:ind w:firstLine="1440" w:firstLineChars="400"/>
        <w:jc w:val="left"/>
        <w:rPr>
          <w:rFonts w:ascii="仿宋_GB2312" w:eastAsia="仿宋_GB2312" w:hAnsi="仿宋_GB2312" w:cs="仿宋_GB2312" w:hint="eastAsia"/>
          <w:kern w:val="0"/>
          <w:sz w:val="36"/>
          <w:szCs w:val="36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2024年托里县农村公路车购税“以奖代补”切块资金建设项目</w:t>
      </w:r>
    </w:p>
    <w:p>
      <w:pPr>
        <w:spacing w:line="700" w:lineRule="exact"/>
        <w:ind w:firstLine="1440" w:firstLineChars="400"/>
        <w:jc w:val="left"/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托里县交通运输局</w:t>
      </w:r>
    </w:p>
    <w:p>
      <w:pPr>
        <w:spacing w:line="700" w:lineRule="exact"/>
        <w:ind w:firstLine="1440" w:firstLineChars="400"/>
        <w:jc w:val="left"/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托里县交通运输局</w:t>
      </w:r>
    </w:p>
    <w:p>
      <w:pPr>
        <w:spacing w:line="700" w:lineRule="exact"/>
        <w:ind w:firstLine="1440" w:firstLineChars="400"/>
        <w:jc w:val="left"/>
        <w:rPr>
          <w:rFonts w:ascii="仿宋_GB2312" w:eastAsia="仿宋_GB2312" w:hAnsi="仿宋_GB2312" w:cs="仿宋_GB2312" w:hint="eastAsia"/>
          <w:kern w:val="0"/>
          <w:sz w:val="36"/>
          <w:szCs w:val="36"/>
          <w:lang w:eastAsia="zh-CN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王桂杰</w:t>
      </w:r>
    </w:p>
    <w:p>
      <w:pPr>
        <w:spacing w:line="700" w:lineRule="exact"/>
        <w:ind w:firstLine="1440" w:firstLineChars="400"/>
        <w:jc w:val="left"/>
        <w:rPr>
          <w:rFonts w:ascii="仿宋_GB2312" w:eastAsia="仿宋_GB2312" w:hAnsi="仿宋_GB2312" w:cs="仿宋_GB2312" w:hint="eastAsia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填报时间：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2025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en-US" w:eastAsia="zh-CN"/>
        </w:rPr>
        <w:t xml:space="preserve">31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 xml:space="preserve">日</w:t>
      </w:r>
    </w:p>
    <w:p>
      <w:pPr>
        <w:spacing w:line="540" w:lineRule="exact"/>
        <w:jc w:val="center"/>
        <w:rPr>
          <w:rFonts w:ascii="宋体" w:eastAsia="宋体" w:hAnsi="宋体" w:asciiTheme="minorEastAsia" w:eastAsiaTheme="minorEastAsia" w:hAnsiTheme="minorEastAsia" w:cs="Arial" w:cstheme="minorEastAsia" w:hint="eastAsia"/>
          <w:kern w:val="0"/>
          <w:sz w:val="30"/>
          <w:szCs w:val="30"/>
        </w:rPr>
      </w:pPr>
    </w:p>
    <w:p>
      <w:pPr>
        <w:spacing w:line="560" w:lineRule="exact"/>
        <w:rPr>
          <w:rFonts w:ascii="宋体" w:eastAsia="宋体" w:hAnsi="宋体" w:asciiTheme="minorEastAsia" w:eastAsiaTheme="minorEastAsia" w:hAnsiTheme="minorEastAsia" w:cs="Arial" w:cstheme="minorEastAsia" w:hint="eastAsia"/>
          <w:bCs/>
          <w:sz w:val="32"/>
          <w:szCs w:val="32"/>
        </w:rPr>
        <w:sectPr>
          <w:pgSz w:w="11906" w:h="16838" w:orient="portrait"/>
          <w:pgMar w:top="1701" w:right="1417" w:bottom="1440" w:left="1417" w:header="851" w:footer="992" w:gutter="0"/>
          <w:pgBorders/>
          <w:cols w:num="1" w:space="0">
            <w:col w:w="9072"/>
          </w:cols>
          <w:rtlGutter w:val="0"/>
          <w:docGrid w:type="lines" w:linePitch="312" w:charSpace="0"/>
        </w:sectPr>
      </w:pP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 xml:space="preserve"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1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项目背景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十九届五中全会提出，优先发展农业农村，全面推进乡村振兴。坚持把解决好“三农”问题作为全党工作重中之重，走中国特色社会主义乡村振兴道路，全面实施乡村振兴战略，强化以工补农、以城带乡，推动形成工农互促、城乡互补、协调发展、共同繁荣的新型工农城乡关系，加快农业农村现代化。要保障国家粮食安全，提高农业质量效益和竞争力，实施乡村建设行动，深化农村改革，实现巩固拓展脱贫攻坚成果同乡村振兴有效衔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第三次中央新疆工作座谈会中指出，要持之以恒抓好脱贫攻坚和促进就业两件大事。要健全完善防止返贫监测和帮扶制度机制，接续推进全面脱贫与乡村振兴有机衔接，着重增强内生发展动力和发展活力，确保脱贫后能发展、可持续。要加大政策支持力度，创新体制机制，坚持就近就地就业和有序转移输出就业有机结合。要大力推动南疆经济社会发展和民生改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新疆维吾尔自治区“十四五”交通运输发展规划（征求意见稿）提出，要紧紧围绕维护新疆社会稳定和长治久安的总目标，以各族人民群众满意为宗旨，以自治区党委“1+3+3+改革开放”的总体部署为引领，坚持以人民为中心，坚持新发展理念，坚持推动高质量发展，坚持以供给侧结构性改革为主线，牢牢把握交通“先行官”定位，围绕“进出疆快起来、出入境联起来、南北疆畅起来、疆内环起来”发展目标，加快建设发达的快速网、完善的干线网、广泛的基础网，推动交通发展向更加注重质量效益、更加注重一体化融合发展、更加注重创新驱动转变，构建安全、便捷、高效、绿色、经济的现代化综合交通体系，打造一流设施、一流技术、一流管理、一流服务，引领对外开放、驱动经济升级，使交通运输成为新疆现代化经济体系建设的新引擎，为建设团结和谐、繁荣富裕、文明进步、安居乐业的社会主义新疆，为实现中华民族伟大复兴中国梦提供有力支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本项目为托里县路网工程的重要组成部分，是庙尔沟镇阿克开乃热村、萨尔哈木斯村、萨尔加克、恰勒盖村的重要运输通道，本项目的建成将对完善当地路网及推动当地经济、农牧业发展将起到极大的促进作用，且本项目对全面推进乡村振兴具有积极意义。</w:t>
      </w:r>
    </w:p>
    <w:p>
      <w:pPr>
        <w:pStyle w:val="Title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仿宋_GB2312" w:eastAsia="仿宋_GB2312" w:hAnsi="仿宋_GB2312" w:cs="仿宋_GB2312" w:hint="eastAsia"/>
          <w:kern w:val="2"/>
        </w:rPr>
      </w:pPr>
      <w:r>
        <w:rPr>
          <w:rFonts w:ascii="仿宋_GB2312" w:eastAsia="仿宋_GB2312" w:hAnsi="仿宋_GB2312" w:cs="仿宋_GB2312" w:hint="eastAsia"/>
          <w:kern w:val="2"/>
          <w:lang w:val="en-US" w:eastAsia="zh-CN"/>
        </w:rPr>
        <w:t xml:space="preserve">2.</w:t>
      </w:r>
      <w:r>
        <w:rPr>
          <w:rFonts w:ascii="仿宋_GB2312" w:eastAsia="仿宋_GB2312" w:hAnsi="仿宋_GB2312" w:cs="仿宋_GB2312" w:hint="eastAsia"/>
          <w:kern w:val="2"/>
        </w:rPr>
        <w:t xml:space="preserve">项目主要内容：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项目主要内容：托里县2024年车辆购置税收入补助地方（第一批）农村公路建设项目，新改建农村公路62.69公里，路面宽度等于大于4米，路基宽度等于大于5米的四级公路。 建设地点包含托里县沙依巴克村、阿克开乃热村、江布阔拉村等19处。为顺利推进项目的落实，结合托里县农村公路建设实际，项目整合为：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1）2024年托里县农村公路车购税“以奖代补”切块资金建设项目（Y006线K13+760岔口-阿克开乃热村），计划里程35.64公里；（2）2024年托里县农村公路车购税“以奖代补”切块资金建设项目（S221线K139+150岔口-沙依巴克村），计划里程9公里；（3）2024年托里县农村公路车购税以奖代补"切块资金建设项目（江布勒阔拉村支线1-东外环路等12个项目），计划里程10.18公里；（4）2024年托里县农村公路车购税“以奖代补”切块资金建设项目（繁荣路岔口-沙籽南路东二巷等5条路），计划里程7.88公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项目实施情况：（1）2024年托里县农村公路车购税“以奖代补”切块资金建设项目(Y006线K13+760岔口-阿克开乃热村)，工程中标价为 17829688.54元。本项目主线位于托里县庙尔沟镇、终点通往库普乡境内，路线起点接G335线K3560+100处，终点顺接沥青路面，路线全长：29.995Km；支线 一起点接沥青路面，终点接 G335线K3638+300处，路线全长：4.894335Km， 支线二起点、终点均接沥青路面，路线全长：0.964063Km。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于2024年7月20日开工，2024年11月10日完工。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2）2024年托里县农村公路车购税“以奖代补”切块资金建设项目（S221线K139+150岔口-沙依巴克村）项目中标价：4478495.27元，本项目位于托里县多拉特乡境内，主线起点（K1+492.429）与G335线呈十字交叉，终点（K8+658.549）位于多拉特乡阿克塞村、萨依巴克村牧民定居点，主线长：7.166120km；支线1起点位于阿克赛村与主线K7+787.666呈T型交叉，终点位于阿克赛村接油路，支线1长0.529202km；支线2位于阿克赛村与支线1K0+225.164处呈T型交叉，终点位于阿克赛村接油路，支线2长0.380008km；支线3位于萨依巴克村与主线K8+338.158处呈T型交叉，终点位于萨依巴克村接油路，支线3长0.327001km；支线4起终点均位于萨依巴克村接油路，支线4长0.326734km；支线5起终点均位于萨依巴克村接油路，支线5长0.380026km；本项目总长9.109091k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于2024年7月12日开工，2024年9月30日完工。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（3）2024年托里县农村公路车购税以奖代补"切块资金建设项目（江布勒阔拉村支线1-东外环路等12个项目）项目中标价：5050000.44元，本项目位于托里县是阿合别斗乡江布勒阔拉村，项目共17条线， 路线起终点均衔接现有道路，路线全长：11.264km；</w:t>
      </w:r>
    </w:p>
    <w:tbl>
      <w:tblPr>
        <w:tblStyle w:val="TableGrid"/>
        <w:tblpPr w:leftFromText="180" w:rightFromText="180" w:vertAnchor="text" w:tblpX="-80" w:tblpY="89"/>
        <w:tblOverlap w:val="never"/>
        <w:tblW w:w="89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185"/>
        <w:gridCol w:w="2055"/>
        <w:gridCol w:w="1245"/>
        <w:gridCol w:w="1215"/>
        <w:gridCol w:w="2025"/>
        <w:gridCol w:w="1200"/>
      </w:tblGrid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路线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编号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桩号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长度（米）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路线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编号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桩号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长度（米）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C037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K0+000～K0+842.082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842.082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C042支线4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K0+000～K0+520.476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520.476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C038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K0+000～K0+538.405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538.405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C042支线5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K0+000～K0+522.776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522.776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C039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K0+000～K0+538.237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538.237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C043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K0+000～K1+639.610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639.610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C040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K0+000～K1+078.834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1078.834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C044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K0+000～K0+689.885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689.885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C041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K0+000～K1+081.474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1081.474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C045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K0+000～K0+593.859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593.859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C042 主线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K0+000～K0+736.203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736.203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C046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K0+000～K0+519.151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519.151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C042支线1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K0+000～K0+199.218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99.218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C047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K0+000～K0+520.882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520.882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C042支线2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K0+000～K0+199.397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199.397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C048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K0+000～K0+521.000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521.00</w:t>
            </w:r>
          </w:p>
        </w:tc>
      </w:tr>
      <w:tr>
        <w:tblPrEx>
          <w:tblW w:w="89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/>
        </w:trPr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C042支线3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K0+000～K0+522.604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kern w:val="0"/>
                <w:sz w:val="19"/>
                <w:szCs w:val="19"/>
                <w:lang w:val="en-US" w:eastAsia="zh-CN"/>
              </w:rPr>
              <w:t xml:space="preserve">522.604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于2024年6月20日开工，2024年9月10日完工。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4）2024年托里县农村公路车购税“以奖代补”切块资金建设项目（繁荣路岔口-沙籽南路东二巷等5条路）项目中标价：3915000.61元，本项目位于托里县库普乡也木其村、阿克塔因恰村牧民定居点内，项目共11条线， 路线起终点均衔接现有道路，路线全长：10.051192km；</w:t>
      </w:r>
    </w:p>
    <w:tbl>
      <w:tblPr>
        <w:tblStyle w:val="TableGrid"/>
        <w:tblpPr w:leftFromText="180" w:rightFromText="180" w:vertAnchor="text" w:tblpX="-80" w:tblpY="89"/>
        <w:tblOverlap w:val="never"/>
        <w:tblW w:w="898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155"/>
        <w:gridCol w:w="2025"/>
        <w:gridCol w:w="1095"/>
        <w:gridCol w:w="1365"/>
        <w:gridCol w:w="2130"/>
        <w:gridCol w:w="1215"/>
      </w:tblGrid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路线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编号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桩号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长度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路线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编号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桩号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ind w:left="0" w:firstLine="0" w:leftChars="0" w:firstLineChars="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长度</w:t>
            </w:r>
          </w:p>
        </w:tc>
      </w:tr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C053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K0+000～K1+727.65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1727.655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C057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K0+000～K1+301.785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1301.785</w:t>
            </w:r>
          </w:p>
        </w:tc>
      </w:tr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C054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K0+00～K1+729.241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1729.241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C059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K0+000～K1+180.040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1180.04</w:t>
            </w:r>
          </w:p>
        </w:tc>
      </w:tr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C055主线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K0+00～K0+909.050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909.050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C05支线 3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K0+000～K0+354.692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354.692</w:t>
            </w:r>
          </w:p>
        </w:tc>
      </w:tr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C055主线支线1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K0+00～K0+648.322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648.322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C05支线 4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K0+000～K0+354.179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354.179</w:t>
            </w:r>
          </w:p>
        </w:tc>
      </w:tr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C055主线支线2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K0+00～K0+757.874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757.874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C055支线 5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K0+000～K1+001.214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1001.214</w:t>
            </w:r>
          </w:p>
        </w:tc>
      </w:tr>
      <w:tr>
        <w:tblPrEx>
          <w:tblW w:w="898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/>
        </w:trPr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C055主线支线3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both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K0+00～K0+087.140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kern w:val="0"/>
                <w:sz w:val="21"/>
                <w:szCs w:val="21"/>
                <w:lang w:val="en-US" w:eastAsia="zh-CN"/>
              </w:rPr>
              <w:t xml:space="preserve">87.14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30" w:lineRule="exact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于2024年6月20日开工，2024年9月10日完工。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资金投入和使用情况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（1）资金投入情况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该项目年初预算数2428.28万元，全年预算数2428.28万元，该项目资金已全部落实到位，资金来源为财政拨款。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（2）资金使用情况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该项目年初预算数2428.28万元，全年预算数2428.28万元，全年执行数2428.28万元，预算执行率为100%，主要用于：2024年托里县农村公路车购税“以奖代补”切块资金建设项目建安。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1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总体目标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托里县2024年车辆购置税收入补助地方（第一批）农村公路建设项目2428.28万元，用于托里县沙依巴克村、阿克开乃热村、江布阔拉村等19处， 新改建四级公路农村公路62.69公里，路面宽度等于大于4米，路基宽度等于大于5米沥青混凝土路面，提升项目区群众生产生活条件，加强完善农村交通运输路网建设状况，扩大受益群众，进一步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巩固拓展脱贫攻坚成果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。改善通行服务水平群众满意度达到95%。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b/>
          <w:bCs/>
          <w:color w:val="FF0000"/>
          <w:sz w:val="30"/>
          <w:szCs w:val="30"/>
          <w:highlight w:val="none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2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阶段性目标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2024年10月《托里县2024年车辆购置税收入补助地方（第一批）农村公路建设项目》，完成托里县沙依巴克村、阿克开乃热村、江布阔拉村等19处路面宽大于等于4米，路基大于等于5米沥青混凝土路面，总长62.69公里的四级公路，平均每公里成本45.93万（因成本涨价等原因每公里7.21万元），项目的建成提升了托里县沙依巴克村、阿克开乃热村、江布阔拉村等15个村区间道路的通行条件，完善农村交通运输路网建设状况，扩大受益群众，进一步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巩固拓展脱贫攻坚成果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。项目区通行服务水平群众满意度达到99.33%。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 xml:space="preserve">二、绩效评价工作开展情况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（一）绩效评价目的、对象和范围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  <w:highlight w:val="none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highlight w:val="none"/>
          <w:lang w:val="en-US" w:eastAsia="zh-CN"/>
        </w:rPr>
        <w:t xml:space="preserve">1.绩效评价完整性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在评价指标体系的构建上，充分考虑了项目的性质、目标以及预期成果，选取了具有代表性和可衡量性的关键指标，涵盖了社会效益，力求全方位反映项目的绩效状况。同时，对于每个指标的评价标准和数据来源均进行了明确说明，确保评价结果的客观性和可追溯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  <w:highlight w:val="none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highlight w:val="none"/>
          <w:lang w:val="en-US" w:eastAsia="zh-CN"/>
        </w:rPr>
        <w:t xml:space="preserve">2.绩效评价的目的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（1）评估项目实施效果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通过对项目预算执行情况及各项绩效目标达成程度的系统性分析，全面、客观地评估项目在预定周期内的实施效果，包括社会效益指标，为项目后续的改进与优化提供科学依据。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（2）提升资源利用效率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（3）强化项目管理责任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（4）为决策提供支持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（5）促进项目持续改进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  <w:lang w:val="en-US" w:eastAsia="zh-CN"/>
        </w:rPr>
        <w:t xml:space="preserve"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</w:rPr>
        <w:t xml:space="preserve">绩效评价的对象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本项目预算绩效评价报告的评价对象是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《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2024年托里县农村公路车购税“以奖代补”切块资金建设项目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》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及其预算执行情况。该项目由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托里县交通运输局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负责实施，旨在通过对项目的建设条件、建设内容和规模、投资估算与资金筹措、社会效益等方面的论证分析，本项目符合建设需求，项目的实施切实改善农牧民出行交通条件和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项目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区公共服务水平，对地方稳定和经济发展起到了举足轻重的促进作用。项目预算涵盖从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2024年1月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至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2024年12月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的全部资金投入与支出，涉及资金总额为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2428.28万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元。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  <w:lang w:val="en-US" w:eastAsia="zh-CN"/>
        </w:rPr>
        <w:t xml:space="preserve">4.</w:t>
      </w:r>
      <w:r>
        <w:rPr>
          <w:rFonts w:ascii="仿宋_GB2312" w:eastAsia="仿宋_GB2312" w:hAnsi="仿宋_GB2312" w:cs="仿宋_GB2312" w:hint="eastAsia"/>
          <w:b/>
          <w:bCs/>
        </w:rPr>
        <w:t xml:space="preserve">绩效评价的范围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项目预算编制与执行：全面审视项目预算的编制依据、合理性、科学性以及实际执行情况，包括预算调整的原因和效果。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资金管理：深入分析项目资金的分配、使用和监管情况，确保资金使用的合规性、高效性和透明度。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社会、生态等影响：考察项目对社会方面的综合影响。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（二）绩效评价原则、评价指标体系（详情见表1）、评价方法、评价标准。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 xml:space="preserve">1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</w:rPr>
        <w:t xml:space="preserve">绩效评价原则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本次项目绩效评价遵循以下基本原则：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（1）科学公正。绩效评价应当运用科学合理的方法，按照规范的程序，对项目绩效进行客观、公正的反映。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（4）公开透明。绩效评价结果应依法依规公开，并自觉接受社会监督。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 xml:space="preserve">2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仿宋_GB2312" w:eastAsia="仿宋_GB2312" w:hAnsi="仿宋_GB2312" w:cs="仿宋_GB2312" w:hint="eastAsia"/>
          <w:b/>
          <w:bCs/>
        </w:rPr>
        <w:t xml:space="preserve">评价指标体系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（1）确定评价指标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（2）确定权重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FF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（3）确定指标标准值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</w:rPr>
        <w:t xml:space="preserve">绩效评价总分值100分，根据综合评分结果，90（含）-100分为优、80（含）-90分为良、60（含）-80分为中、60分以下为差。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</w:rPr>
      </w:pPr>
      <w:r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</w:rPr>
        <w:t xml:space="preserve">3</w:t>
      </w:r>
      <w:r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  <w:lang w:val="en-US" w:eastAsia="zh-CN"/>
        </w:rPr>
        <w:t xml:space="preserve">.</w:t>
      </w:r>
      <w:r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</w:rPr>
        <w:t xml:space="preserve">绩效评价方法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</w:pP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  <w:t xml:space="preserve">本次评价指标中，既有定性指标又有定量指标，各类指标因考核内容不同和客观标准不同存在较大差异，因此核定具体指标时采用了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val="en-US" w:eastAsia="zh-CN"/>
        </w:rPr>
        <w:t xml:space="preserve">因素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  <w:t xml:space="preserve">法，具体评价方法如下：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sz w:val="32"/>
          <w:szCs w:val="32"/>
          <w:highlight w:val="none"/>
        </w:rPr>
        <w:t xml:space="preserve">因素分析法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sz w:val="32"/>
          <w:szCs w:val="32"/>
          <w:highlight w:val="none"/>
          <w:lang w:eastAsia="zh-CN"/>
        </w:rPr>
        <w:t xml:space="preserve">。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val="en-US" w:eastAsia="zh-CN"/>
        </w:rPr>
        <w:t xml:space="preserve">通过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</w:rPr>
        <w:t xml:space="preserve">综合分析影响绩效目标实现、实施效果的内外部因素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val="en-US" w:eastAsia="zh-CN"/>
        </w:rPr>
        <w:t xml:space="preserve">对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</w:rPr>
        <w:t xml:space="preserve">绩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val="en-US" w:eastAsia="zh-CN"/>
        </w:rPr>
        <w:t xml:space="preserve">执行实进行设置目标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eastAsia="zh-CN"/>
        </w:rPr>
        <w:t xml:space="preserve">，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val="en-US" w:eastAsia="zh-CN"/>
        </w:rPr>
        <w:t xml:space="preserve">在实施过程中多方因素进行预期计划，从而保障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</w:rPr>
        <w:t xml:space="preserve">目标实施情况，核心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val="en-US" w:eastAsia="zh-CN"/>
        </w:rPr>
        <w:t xml:space="preserve">是使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</w:rPr>
        <w:t xml:space="preserve">资金的支出完成情况和项目的产出效益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  <w:lang w:val="en-US" w:eastAsia="zh-CN"/>
        </w:rPr>
        <w:t xml:space="preserve">得到因果关系的效果，达到预期效果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highlight w:val="none"/>
        </w:rPr>
        <w:t xml:space="preserve">。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</w:rPr>
      </w:pPr>
      <w:r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</w:rPr>
        <w:t xml:space="preserve">4</w:t>
      </w:r>
      <w:r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  <w:sz w:val="32"/>
          <w:szCs w:val="32"/>
          <w:lang w:val="en-US" w:eastAsia="zh-CN"/>
        </w:rPr>
        <w:t xml:space="preserve">.</w:t>
      </w:r>
      <w:r>
        <w:rPr>
          <w:rFonts w:ascii="宋体" w:eastAsia="宋体" w:hAnsi="宋体" w:asciiTheme="minorEastAsia" w:eastAsiaTheme="minorEastAsia" w:hAnsiTheme="minorEastAsia" w:cs="Arial" w:cstheme="minorEastAsia" w:hint="eastAsia"/>
          <w:b/>
          <w:bCs/>
        </w:rPr>
        <w:t xml:space="preserve">评价标准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lang w:val="en-US"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lang w:val="en-US" w:eastAsia="zh-CN"/>
        </w:rPr>
        <w:t xml:space="preserve">绩效评价标准通常包括计划标准、行业标准、历史标准等，用于对绩效指标完成情况进行比较、分析、评价。本次评价主要采用了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val="en-US" w:eastAsia="zh-CN"/>
        </w:rPr>
        <w:t xml:space="preserve">计划</w:t>
      </w: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lang w:val="en-US" w:eastAsia="zh-CN"/>
        </w:rPr>
        <w:t xml:space="preserve">标准。</w:t>
      </w:r>
    </w:p>
    <w:p>
      <w:pPr>
        <w:pStyle w:val="Title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eastAsia="zh-CN"/>
        </w:rPr>
      </w:pP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val="en-US" w:eastAsia="zh-CN"/>
        </w:rPr>
        <w:t xml:space="preserve">计划标准。通过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  <w:t xml:space="preserve">对绩效指标完成情况以预先制定的目标、计划、预算、定额等作为评价标准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eastAsia="zh-CN"/>
        </w:rPr>
        <w:t xml:space="preserve">，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val="en-US" w:eastAsia="zh-CN"/>
        </w:rPr>
        <w:t xml:space="preserve">量化对目标值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  <w:t xml:space="preserve">进行比较、分析、评价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eastAsia="zh-CN"/>
        </w:rPr>
        <w:t xml:space="preserve">，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  <w:lang w:val="en-US" w:eastAsia="zh-CN"/>
        </w:rPr>
        <w:t xml:space="preserve">对完成绩效目标进行考核，方便快捷得出真实有效的评价结果</w:t>
      </w:r>
      <w:r>
        <w:rPr>
          <w:rFonts w:ascii="Times New Roman" w:eastAsia="仿宋_GB2312" w:hAnsi="Times New Roman" w:cs="Times New Roman" w:hint="eastAsia"/>
          <w:b w:val="0"/>
          <w:bCs w:val="0"/>
          <w:color w:val="000000"/>
          <w:spacing w:val="17"/>
          <w:kern w:val="2"/>
        </w:rPr>
        <w:t xml:space="preserve">。</w:t>
      </w:r>
    </w:p>
    <w:p>
      <w:pPr>
        <w:pStyle w:val="Title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楷体_GB2312" w:eastAsia="楷体_GB2312" w:hAnsi="楷体_GB2312" w:cs="楷体_GB2312" w:hint="eastAsia"/>
          <w:color w:val="000000"/>
          <w:spacing w:val="17"/>
        </w:rPr>
      </w:pPr>
      <w:r>
        <w:rPr>
          <w:rFonts w:ascii="楷体_GB2312" w:eastAsia="楷体_GB2312" w:hAnsi="楷体_GB2312" w:cs="楷体_GB2312" w:hint="eastAsia"/>
          <w:color w:val="000000"/>
          <w:spacing w:val="17"/>
        </w:rPr>
        <w:t xml:space="preserve">绩效评价工作过程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1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）前期准备与规划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在项目绩效评价工作启动之初，成立了专门的评价工作小组，小组成员由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财务人员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、项目管理人员及相关领域技术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人员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）指标体系构建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依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3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）数据收集与整理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4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）数据分析与评估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5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）报告撰写与反馈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（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6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宋体" w:eastAsia="宋体" w:hAnsi="宋体" w:asciiTheme="minorEastAsia" w:eastAsiaTheme="minorEastAsia" w:hAnsiTheme="minorEastAsia" w:cs="Arial" w:cstheme="minorEastAsia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综合评价情况及评价结论（附相关评分表）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楷体_GB2312" w:eastAsia="楷体_GB2312" w:hAnsi="楷体_GB2312" w:cs="楷体_GB2312" w:hint="eastAsia"/>
          <w:lang w:val="en-US" w:eastAsia="zh-CN"/>
        </w:rPr>
      </w:pPr>
      <w:r>
        <w:rPr>
          <w:rFonts w:ascii="楷体_GB2312" w:eastAsia="楷体_GB2312" w:hAnsi="楷体_GB2312" w:cs="楷体_GB2312" w:hint="eastAsia"/>
          <w:lang w:eastAsia="zh-CN"/>
        </w:rPr>
        <w:t xml:space="preserve">（</w:t>
      </w:r>
      <w:r>
        <w:rPr>
          <w:rFonts w:ascii="楷体_GB2312" w:eastAsia="楷体_GB2312" w:hAnsi="楷体_GB2312" w:cs="楷体_GB2312" w:hint="eastAsia"/>
          <w:lang w:val="en-US" w:eastAsia="zh-CN"/>
        </w:rPr>
        <w:t xml:space="preserve">一</w:t>
      </w:r>
      <w:r>
        <w:rPr>
          <w:rFonts w:ascii="楷体_GB2312" w:eastAsia="楷体_GB2312" w:hAnsi="楷体_GB2312" w:cs="楷体_GB2312" w:hint="eastAsia"/>
          <w:lang w:eastAsia="zh-CN"/>
        </w:rPr>
        <w:t xml:space="preserve">）</w:t>
      </w:r>
      <w:r>
        <w:rPr>
          <w:rFonts w:ascii="楷体_GB2312" w:eastAsia="楷体_GB2312" w:hAnsi="楷体_GB2312" w:cs="楷体_GB2312" w:hint="eastAsia"/>
          <w:lang w:val="en-US" w:eastAsia="zh-CN"/>
        </w:rPr>
        <w:t xml:space="preserve">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本项目的综合评价基于对项目各方面绩效的深入分析与评估。从项目目标的达成情况来看，《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2024年托里县农村公路车购税“以奖代补”切块资金建设项目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》在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实施效益、满意度指标等方面表现出色，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达到了预期的标准与要求。同时，项目也在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健我县农村路网中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取得了显著的成效，如项目的实施切实改善农牧民出行交通条件，对地方稳定和经济发展起到了举足轻重的促进作用等。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在项目管理方面，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托里县交通运输局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通过有效的规划、组织与协调，项目得以顺利实施，并在预算与时间上保持了良好的控制。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从项目效益的角度来看，本项目不仅实现了预期的社会效益方面产生了积极的影响。具体而言，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基本服务水平有效提升、基本服务水平有效提升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等方面的提升，为项目的利益相关者带来了实实在在的利益。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综上所述，《2024年托里县农村公路车购税“以奖代补”切块资金建设项目》在绩效评价中表现出色，达到了项目的预期目标，并在多个方面取得了显著的成效。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楷体_GB2312" w:eastAsia="楷体_GB2312" w:hAnsi="楷体_GB2312" w:cs="楷体_GB2312" w:hint="eastAsia"/>
          <w:lang w:val="en-US" w:eastAsia="zh-CN"/>
        </w:rPr>
      </w:pPr>
      <w:r>
        <w:rPr>
          <w:rFonts w:ascii="楷体_GB2312" w:eastAsia="楷体_GB2312" w:hAnsi="楷体_GB2312" w:cs="楷体_GB2312" w:hint="eastAsia"/>
          <w:lang w:eastAsia="zh-CN"/>
        </w:rPr>
        <w:t xml:space="preserve">（</w:t>
      </w:r>
      <w:r>
        <w:rPr>
          <w:rFonts w:ascii="楷体_GB2312" w:eastAsia="楷体_GB2312" w:hAnsi="楷体_GB2312" w:cs="楷体_GB2312" w:hint="eastAsia"/>
          <w:lang w:val="en-US" w:eastAsia="zh-CN"/>
        </w:rPr>
        <w:t xml:space="preserve">二</w:t>
      </w:r>
      <w:r>
        <w:rPr>
          <w:rFonts w:ascii="楷体_GB2312" w:eastAsia="楷体_GB2312" w:hAnsi="楷体_GB2312" w:cs="楷体_GB2312" w:hint="eastAsia"/>
          <w:lang w:eastAsia="zh-CN"/>
        </w:rPr>
        <w:t xml:space="preserve">）</w:t>
      </w:r>
      <w:r>
        <w:rPr>
          <w:rFonts w:ascii="楷体_GB2312" w:eastAsia="楷体_GB2312" w:hAnsi="楷体_GB2312" w:cs="楷体_GB2312" w:hint="eastAsia"/>
          <w:lang w:val="en-US" w:eastAsia="zh-CN"/>
        </w:rPr>
        <w:t xml:space="preserve">评价结论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lang w:eastAsia="zh-CN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20分，得分率为100%。项目过程类指标权重为20分，得分为20分，得分率为 100%。项目产出类指标权重为40分，得分为40分，得分率为100%。项目效益类指标权重为20分，得分为20分，得分率为100%。具体打分情况详见：附件1综合评分表</w:t>
      </w:r>
      <w:r>
        <w:rPr>
          <w:rFonts w:ascii="仿宋_GB2312" w:eastAsia="仿宋_GB2312" w:hAnsi="仿宋_GB2312" w:cs="仿宋_GB2312" w:hint="eastAsia"/>
          <w:b w:val="0"/>
          <w:bCs w:val="0"/>
          <w:lang w:eastAsia="zh-CN"/>
        </w:rPr>
        <w:t xml:space="preserve">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420" w:firstLineChars="200"/>
        <w:textAlignment w:val="auto"/>
        <w:rPr>
          <w:rFonts w:ascii="宋体" w:eastAsia="宋体" w:hAnsi="宋体" w:asciiTheme="minorEastAsia" w:eastAsiaTheme="minorEastAsia" w:hAnsiTheme="minorEastAsia" w:cs="Arial" w:cstheme="minorEastAsia" w:hint="eastAsia"/>
          <w:sz w:val="21"/>
          <w:szCs w:val="21"/>
        </w:rPr>
      </w:pPr>
      <w:r>
        <w:rPr>
          <w:rFonts w:ascii="宋体" w:eastAsia="宋体" w:hAnsi="宋体" w:asciiTheme="minorEastAsia" w:eastAsiaTheme="minorEastAsia" w:hAnsiTheme="minorEastAsia" w:cs="Arial" w:cstheme="minorEastAsia" w:hint="eastAsia"/>
          <w:sz w:val="21"/>
          <w:szCs w:val="21"/>
        </w:rPr>
        <w:t xml:space="preserve">表1综合评分表</w:t>
      </w:r>
    </w:p>
    <w:tbl>
      <w:tblPr>
        <w:tblStyle w:val="NormalTable"/>
        <w:tblW w:w="4998" w:type="pct"/>
        <w:jc w:val="center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939"/>
        <w:gridCol w:w="2031"/>
        <w:gridCol w:w="2134"/>
        <w:gridCol w:w="2134"/>
      </w:tblGrid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  <w:t xml:space="preserve">一级指标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  <w:t xml:space="preserve">权重分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  <w:t xml:space="preserve">得分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得分率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  <w:t xml:space="preserve"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  <w:t xml:space="preserve"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  <w:t xml:space="preserve"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40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40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  <w:t xml:space="preserve"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color w:val="000000"/>
                <w:sz w:val="21"/>
                <w:szCs w:val="21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</w:rPr>
              <w:t xml:space="preserve"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default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center"/>
              <w:textAlignment w:val="auto"/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asciiTheme="minorEastAsia" w:eastAsiaTheme="minorEastAsia" w:hAnsiTheme="minorEastAsia" w:cs="Arial" w:cstheme="minorEastAsia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100%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四、绩效评价指标分析</w:t>
      </w:r>
    </w:p>
    <w:p>
      <w:pPr>
        <w:pStyle w:val="Title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楷体_GB2312" w:eastAsia="楷体_GB2312" w:hAnsi="楷体_GB2312" w:cs="楷体_GB2312" w:hint="eastAsia"/>
        </w:rPr>
      </w:pPr>
      <w:r>
        <w:rPr>
          <w:rFonts w:ascii="楷体_GB2312" w:eastAsia="楷体_GB2312" w:hAnsi="楷体_GB2312" w:cs="楷体_GB2312" w:hint="eastAsia"/>
        </w:rPr>
        <w:t xml:space="preserve">（一）项目决策情况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0"/>
        <w:rPr>
          <w:rFonts w:ascii="仿宋_GB2312" w:eastAsia="仿宋_GB2312" w:hAnsi="仿宋_GB2312" w:cs="仿宋_GB2312" w:hint="eastAsia"/>
          <w:sz w:val="32"/>
          <w:szCs w:val="32"/>
          <w:highlight w:val="none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highlight w:val="none"/>
          <w:lang w:val="en-US" w:eastAsia="zh-CN"/>
        </w:rPr>
        <w:t xml:space="preserve">项目决策类指标包括项目立项、绩效目标和资金投入三方面的内容，由6个三级指标构成，权重分值为90分，实际得分20分，得分率为100%。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1.项目立项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（1）立项依据充分性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（2）立项程序规范性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eastAsia="zh-CN"/>
        </w:rPr>
        <w:t xml:space="preserve">项目申请、设立过程符合相关要求，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</w:rPr>
        <w:t xml:space="preserve">严格按照审批流程准备符合要求的文件、材料；</w:t>
      </w:r>
      <w:r>
        <w:rPr>
          <w:rFonts w:ascii="仿宋_GB2312" w:eastAsia="仿宋_GB2312" w:hAnsi="仿宋_GB2312" w:cs="仿宋_GB2312" w:hint="eastAsia"/>
          <w:color w:val="000000"/>
          <w:spacing w:val="17"/>
          <w:sz w:val="32"/>
          <w:szCs w:val="32"/>
          <w:lang w:val="en-US" w:eastAsia="zh-CN"/>
        </w:rPr>
        <w:t xml:space="preserve"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2.绩效目标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（1）绩效目标合理性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bidi="ar-SA"/>
        </w:rPr>
        <w:t xml:space="preserve">年初结合实际工作内容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设定绩效目标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bidi="ar-SA"/>
        </w:rPr>
        <w:t xml:space="preserve">，绩效目标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（2）绩效指标明确性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3.资金投入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（1）预算编制科学性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（2）资金分配合理性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Title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rPr>
          <w:rFonts w:ascii="楷体_GB2312" w:eastAsia="楷体_GB2312" w:hAnsi="楷体_GB2312" w:cs="楷体_GB2312" w:hint="eastAsia"/>
        </w:rPr>
      </w:pPr>
      <w:r>
        <w:rPr>
          <w:rFonts w:ascii="楷体_GB2312" w:eastAsia="楷体_GB2312" w:hAnsi="楷体_GB2312" w:cs="楷体_GB2312" w:hint="eastAsia"/>
        </w:rPr>
        <w:t xml:space="preserve">项目过程情况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项目过程类指标包括资金管理和组织实施两方面的内容，由5个三级指标构成，权重分值为20分，实际得分20分，得分率为100%。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1.资金管理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（1）资金到位率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本项目总投资2428.28万元，财政资金及时足额到位，到位率100%，预算资金按计划进度执行。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（2）预算执行率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预算编制较为详细，项目资金支出总体能够按照预算执行，预算资金支出2428.28万元，预算执行率为100%。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（3）资金使用合规性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lang w:val="en-US" w:eastAsia="zh-CN"/>
        </w:rPr>
        <w:t xml:space="preserve">2.组织实施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（1）管理制度健全性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在制度设计上，我们注重了制度的科学性与可操作性，确保制度能够切实指导项目的执行与管理。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（2）制度执行有效性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pStyle w:val="BodyTextFirstIndent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项目产出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  <w:lang w:val="en-US" w:eastAsia="zh-CN"/>
        </w:rPr>
        <w:t xml:space="preserve">情况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项目产出类指标包括产出数量、产出质量、产出时效、产出成本四方面的内容，由7个三级指标构成，权重分为40分，实际得分40分，得分率为100%。具体产出指标完成情况如下：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instrText xml:space="preserve"> = 1 \* GB3 </w:instrTex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①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数量指标：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指标1：改建农村公路里程，指标值：&gt;=62.69公里，实际完成值：=62.69公里，指标完成率100%。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指标2：改建路面宽度，指标值：&gt;=4米，实际完成值：=4米，指标完成率100%。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指标3：改建路基宽度，指标值：&gt;=5米，实际完成值：=5米，指标完成率100%。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instrText xml:space="preserve"> = 2 \* GB3 </w:instrTex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②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质量指标：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指标1：项目资金使用合规性，指标值：=100%，实际完成值：=100%公里，指标完成率100%。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指标2：完工项目验收合格率，指标值：=100%，实际完成值：=100%，指标完成率100%。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instrText xml:space="preserve"> = 3 \* GB3 </w:instrTex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③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时效指标：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指标1：按期完成时间，指标值：2024年12月20日，实际完成值：2024年10月30日，指标完成率100%。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instrText xml:space="preserve"> = 4 \* GB3 </w:instrTex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④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成本指标：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指标1：改建农村公路平均成本，指标值：&gt;=38.73万元/公里，实际完成值：=38.73万元/公里，指标完成率100%。</w:t>
      </w:r>
    </w:p>
    <w:p>
      <w:pPr>
        <w:pStyle w:val="BodyTextFirstIndent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  <w:lang w:val="en-US" w:eastAsia="zh-CN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  <w:lang w:val="en-US" w:eastAsia="zh-CN"/>
        </w:rPr>
        <w:t xml:space="preserve">项目效益情况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1.实施效益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①社会效益指标：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指标1：基本公共服务水平，指标值：有效提升，实际完成值：有效提升，指标完成率100%。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指标2：公路安全水平，指标值：持续提升，实际完成值：持续提升，指标完成率100%。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/>
          <w:bCs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2.满意度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指标1：改善通行服务水平群众满意度，指标值：&gt;=95%，实际完成值：=99.33%，指标完成率104.56%。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  <w:lang w:val="en-US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  <w:lang w:val="en-US" w:eastAsia="zh-CN"/>
        </w:rPr>
        <w:t xml:space="preserve">（五）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  <w:lang w:val="en-US"/>
        </w:rPr>
        <w:t xml:space="preserve">预算执行进度与绩效指标总体完成率偏差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2024年托里县农村公路车购税“以奖代补”切块资金建设项目年初预算2428.28万元，全年预算2428.28万元，实际支出2428.28万元，预算执行率为100%，项目绩效指标总体完成率为100.46%，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bidi="ar-SA"/>
        </w:rPr>
        <w:t xml:space="preserve">总体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偏差率为0.46%。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fontstyle01"/>
          <w:rFonts w:ascii="黑体" w:eastAsia="黑体" w:hAnsi="黑体" w:cs="黑体" w:hint="eastAsia"/>
          <w:color w:val="auto"/>
        </w:rPr>
      </w:pP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 xml:space="preserve">五</w:t>
      </w: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 xml:space="preserve">、</w:t>
      </w:r>
      <w:r>
        <w:rPr>
          <w:rFonts w:ascii="黑体" w:eastAsia="黑体" w:hAnsi="黑体" w:cs="黑体" w:hint="eastAsia"/>
          <w:sz w:val="32"/>
          <w:szCs w:val="32"/>
        </w:rPr>
        <w:t xml:space="preserve">主要经验及做法、存在的问题及原因分析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  <w:t xml:space="preserve">（一）主要经验及做法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存在的问题及原因分析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1.重视不足，没能科学编制项目实施方案，提高预算精准度。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2.因人员变动等因素使我单位绩效工作人员更换，造成工作衔接不到位的情况。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3.相关绩效管理方面专业知识的系统性学习有待加强。各项指标的设置要进一步优化、完善，主要在细化、量化上改进。在绩效自评过程中，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由于部分人员</w:t>
      </w: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缺乏相关绩效管理专业知识，自评价工作还存在自我审定的局限性，影响评价质量。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0"/>
        <w:rPr>
          <w:rFonts w:ascii="黑体" w:eastAsia="黑体" w:hAnsi="黑体" w:cs="黑体" w:hint="eastAsia"/>
          <w:sz w:val="32"/>
          <w:szCs w:val="32"/>
          <w:highlight w:val="none"/>
          <w:lang w:val="en-US" w:eastAsia="zh-CN"/>
        </w:rPr>
      </w:pPr>
      <w:r>
        <w:rPr>
          <w:rFonts w:ascii="黑体" w:eastAsia="黑体" w:hAnsi="黑体" w:cs="黑体" w:hint="eastAsia"/>
          <w:sz w:val="32"/>
          <w:szCs w:val="32"/>
          <w:highlight w:val="none"/>
          <w:lang w:val="en-US" w:eastAsia="zh-CN"/>
        </w:rPr>
        <w:t xml:space="preserve">六、有关建议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1.高位推动工作，与责任单位主管责任挂钩。进一步加强对绩效管理工作的组织领导，提高对预算绩效管理工作重要性的认识，加大全局对全面实施预算绩效管理和绩效管理工作的学习力度，让“花钱必问效，无效必问责”的理念深入工作每个环节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2.多进行有关绩效管理工作方面的培训。积极组织第三方开展绩效管理工作培训，进一步夯实业务基础，提高我单位绩效人员水平。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3.专门设定对绩效工作人员定职、定岗、定责等相关制度措施，进一步提升我单位绩效管理工作业务水平，扎实做好绩效管理工作。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 xml:space="preserve">4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 xml:space="preserve">七</w:t>
      </w: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 xml:space="preserve">、</w:t>
      </w:r>
      <w:r>
        <w:rPr>
          <w:rFonts w:ascii="黑体" w:eastAsia="黑体" w:hAnsi="黑体" w:cs="黑体" w:hint="eastAsia"/>
          <w:sz w:val="32"/>
          <w:szCs w:val="32"/>
        </w:rPr>
        <w:t xml:space="preserve">其他需要说</w:t>
      </w:r>
      <w:bookmarkStart w:id="1" w:name="page8"/>
      <w:bookmarkEnd w:id="1"/>
      <w:r>
        <w:rPr>
          <w:rFonts w:ascii="黑体" w:eastAsia="黑体" w:hAnsi="黑体" w:cs="黑体" w:hint="eastAsia"/>
          <w:sz w:val="32"/>
          <w:szCs w:val="32"/>
        </w:rPr>
        <w:t xml:space="preserve">明的问题</w:t>
      </w:r>
    </w:p>
    <w:p>
      <w:pPr>
        <w:pStyle w:val="Title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40" w:firstLineChars="200"/>
        <w:jc w:val="both"/>
        <w:textAlignment w:val="auto"/>
        <w:outlineLvl w:val="9"/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ascii="仿宋_GB2312" w:eastAsia="仿宋_GB2312" w:hAnsi="仿宋_GB2312" w:cs="仿宋_GB2312" w:hint="eastAsia"/>
          <w:b w:val="0"/>
          <w:bCs w:val="0"/>
          <w:color w:val="000000"/>
          <w:spacing w:val="17"/>
          <w:kern w:val="2"/>
          <w:sz w:val="32"/>
          <w:szCs w:val="32"/>
          <w:lang w:val="en-US" w:bidi="ar-SA"/>
        </w:rPr>
        <w:t xml:space="preserve">本项目无其他需说明</w:t>
      </w:r>
    </w:p>
    <w:sectPr>
      <w:footerReference w:type="default" r:id="rId2"/>
      <w:pgSz w:w="11906" w:h="16838" w:orient="portrait"/>
      <w:pgMar w:top="1440" w:right="1440" w:bottom="1440" w:left="1440" w:header="851" w:footer="992" w:gutter="0"/>
      <w:pgBorders/>
      <w:cols w:num="1" w:space="0">
        <w:col w:w="9026"/>
      </w:cols>
      <w:rtlGutter w:val="0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6C44E9-4451-439E-9782-0D5E480F0B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54ACFE7-FB6E-49AD-855D-64F0F80B3FF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4041A4D-F688-422A-8856-C1FDC5FDA0E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A7D4784-E5B6-4060-89BE-185275BB006D}"/>
  </w:font>
  <w:font w:name="方正小标宋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仿宋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楷体">
    <w:panose1 w:val="00000000000000000000"/>
    <w:charset w:val="01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147468962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13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multiLevelType w:val="singleLevel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90"/>
  <w:embedTrueTypeFonts/>
  <w:saveSubsetFonts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MTdiOGM5NzlhN2JhOTc3OTljZTBmY2FhN2MzNTk3OD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1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 w:qFormat="1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libri Light" w:eastAsia="宋体" w:hAnsi="Calibri Light" w:asciiTheme="majorHAnsi" w:eastAsiaTheme="majorEastAsia" w:hAnsiTheme="majorHAnsi"/>
      <w:b/>
      <w:bCs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Comment Text"/>
    <w:basedOn w:val="Normal"/>
    <w:link w:val="批注文字字符"/>
    <w:qFormat/>
    <w:pPr>
      <w:jc w:val="left"/>
    </w:pPr>
    <w:rPr/>
  </w:style>
  <w:style w:type="paragraph" w:styleId="BodyText">
    <w:name w:val="Body Text"/>
    <w:basedOn w:val="Normal"/>
    <w:qFormat/>
    <w:pPr>
      <w:spacing w:after="120"/>
    </w:pPr>
    <w:rPr/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Calibri" w:hAnsi="Calibri"/>
    </w:rPr>
  </w:style>
  <w:style w:type="paragraph" w:styleId="BalloonText">
    <w:name w:val="Balloon Text"/>
    <w:basedOn w:val="Normal"/>
    <w:link w:val="批注框文本字符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uiPriority w:val="10"/>
    <w:qFormat/>
    <w:pPr>
      <w:widowControl/>
      <w:spacing w:before="240" w:after="60"/>
      <w:jc w:val="center"/>
      <w:outlineLvl w:val="0"/>
    </w:pPr>
    <w:rPr>
      <w:rFonts w:ascii="Calibri Light" w:eastAsia="宋体" w:hAnsi="Calibri Light" w:asciiTheme="majorHAnsi" w:eastAsiaTheme="majorEastAsia" w:hAnsiTheme="majorHAnsi"/>
      <w:b/>
      <w:bCs/>
      <w:kern w:val="28"/>
      <w:sz w:val="32"/>
      <w:szCs w:val="32"/>
    </w:rPr>
  </w:style>
  <w:style w:type="paragraph" w:styleId="CommentSubject">
    <w:name w:val="Comment Subject"/>
    <w:basedOn w:val="CommentText"/>
    <w:next w:val="CommentText"/>
    <w:link w:val="批注主题字符"/>
    <w:qFormat/>
    <w:rPr>
      <w:b/>
      <w:bCs/>
    </w:rPr>
  </w:style>
  <w:style w:type="paragraph" w:styleId="BodyTextFirstIndent">
    <w:name w:val="Body Text First Indent"/>
    <w:basedOn w:val="BodyText"/>
    <w:qFormat/>
    <w:pPr>
      <w:spacing w:after="0"/>
      <w:ind w:firstLine="200" w:firstLineChars="200"/>
    </w:pPr>
    <w:rPr/>
  </w:style>
  <w:style w:type="paragraph" w:styleId="BodyTextFirstIndent2">
    <w:name w:val="Body Text First Indent 2"/>
    <w:basedOn w:val="BodyTextIndent"/>
    <w:qFormat/>
    <w:pPr>
      <w:ind w:firstLine="420" w:firstLineChars="200"/>
    </w:pPr>
    <w:rPr/>
  </w:style>
  <w:style w:type="table" w:styleId="TableGrid">
    <w:name w:val="Table Grid"/>
    <w:basedOn w:val="NormalTable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CommentReference">
    <w:name w:val="Comment Reference"/>
    <w:basedOn w:val="DefaultParagraphFont"/>
    <w:qFormat/>
    <w:rPr>
      <w:sz w:val="21"/>
      <w:szCs w:val="21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character" w:customStyle="1" w:styleId="批注框文本字符">
    <w:name w:val="批注框文本 字符"/>
    <w:basedOn w:val="DefaultParagraphFont"/>
    <w:link w:val="BalloonText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页眉字符">
    <w:name w:val="页眉 字符"/>
    <w:basedOn w:val="DefaultParagraphFont"/>
    <w:link w:val="Header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批注文字字符">
    <w:name w:val="批注文字 字符"/>
    <w:basedOn w:val="DefaultParagraphFont"/>
    <w:link w:val="CommentText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批注主题字符">
    <w:name w:val="批注主题 字符"/>
    <w:basedOn w:val="批注文字字符"/>
    <w:link w:val="CommentSubject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font1.odttf"/><Relationship Id="rId2" Type="http://schemas.openxmlformats.org/officeDocument/2006/relationships/font" Target="fonts/font2.odttf"/><Relationship Id="rId3" Type="http://schemas.openxmlformats.org/officeDocument/2006/relationships/font" Target="fonts/font3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D5B769C0A71943C08A8392E5EA5A0D32_13</vt:lpwstr>
  </property>
  <property fmtid="{D5CDD505-2E9C-101B-9397-08002B2CF9AE}" pid="4" name="KSOTemplateDocerSaveRecord">
    <vt:lpwstr>eyJoZGlkIjoiYmZhY2ExYzI4ZjJhOGI3MDk0N2E3NmFkY2UyNzRmZWYifQ==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71</TotalTime>
  <Pages>24</Pages>
  <Words>3734</Words>
  <Characters>4808</Characters>
  <Application>WPS Office_12.1.0.20784_F1E327BC-269C-435d-A152-05C5408002CA</Application>
  <DocSecurity>0</DocSecurity>
  <Lines>58</Lines>
  <Paragraphs>16</Paragraphs>
  <CharactersWithSpaces>4820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稳</cp:lastModifiedBy>
  <cp:revision>2</cp:revision>
  <cp:lastPrinted>2025-04-16T10:40:41Z</cp:lastPrinted>
  <dcterms:created xsi:type="dcterms:W3CDTF">2023-03-08T13:13:00Z</dcterms:created>
  <dcterms:modified xsi:type="dcterms:W3CDTF">2025-04-16T10:41:02Z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2052-12.1.0.20784</vt:lpwstr>
  </property>
  <property fmtid="{D5CDD505-2E9C-101B-9397-08002B2CF9AE}" pid="3" name="ICV">
    <vt:lpwstr>D5B769C0A71943C08A8392E5EA5A0D32_13</vt:lpwstr>
  </property>
  <property fmtid="{D5CDD505-2E9C-101B-9397-08002B2CF9AE}" pid="4" name="KSOTemplateDocerSaveRecord">
    <vt:lpwstr>eyJoZGlkIjoiYmZhY2ExYzI4ZjJhOGI3MDk0N2E3NmFkY2UyNzRmZWYifQ_x003D__x003D_</vt:lpwstr>
  </property>
</Properties>
</file>