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818E4"/>
    <w:p w14:paraId="2830CD7C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0C7984E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FD54303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94D0E2F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B66EA79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2024年其他项目类-城市维护建设税返还城区路灯电费项目支出绩效评价</w:t>
      </w:r>
    </w:p>
    <w:p w14:paraId="6CE59D28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报告</w:t>
      </w:r>
    </w:p>
    <w:p w14:paraId="70BF08D7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1C9B9F4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77FB4DC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596E26B8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71AEBE3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557DC62F">
      <w:pPr>
        <w:pStyle w:val="10"/>
        <w:rPr>
          <w:rFonts w:hint="default" w:ascii="Times New Roman" w:hAnsi="Times New Roman" w:cs="Times New Roman"/>
        </w:rPr>
      </w:pPr>
    </w:p>
    <w:p w14:paraId="0D7067A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5896B7C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57E6346B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项目名称：2024年其他项目类-城市维护建设税返还城区路灯电费项目</w:t>
      </w:r>
    </w:p>
    <w:p w14:paraId="331DE763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托里县城建监察大队</w:t>
      </w:r>
    </w:p>
    <w:p w14:paraId="46AF88A4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托里县城建监察大队</w:t>
      </w:r>
    </w:p>
    <w:p w14:paraId="4F2CD001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王军</w:t>
      </w:r>
    </w:p>
    <w:p w14:paraId="1F9E801F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6F9393C0">
      <w:pPr>
        <w:spacing w:line="560" w:lineRule="exact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  <w:bookmarkStart w:id="1" w:name="_GoBack"/>
      <w:bookmarkEnd w:id="1"/>
    </w:p>
    <w:p w14:paraId="6D0B6FD2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03A700FE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64B2A32C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199A8C12">
      <w:pPr>
        <w:pStyle w:val="10"/>
        <w:numPr>
          <w:ilvl w:val="0"/>
          <w:numId w:val="0"/>
        </w:numPr>
        <w:spacing w:before="0" w:after="0" w:line="560" w:lineRule="exact"/>
        <w:ind w:firstLine="600" w:firstLineChars="200"/>
        <w:jc w:val="both"/>
        <w:rPr>
          <w:rFonts w:hint="default" w:ascii="Times New Roman" w:hAnsi="Times New Roman" w:eastAsia="仿宋_GB2312" w:cs="Times New Roman"/>
          <w:kern w:val="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0"/>
          <w:szCs w:val="30"/>
          <w:highlight w:val="none"/>
          <w:lang w:val="en-US" w:eastAsia="zh-CN" w:bidi="ar-SA"/>
        </w:rPr>
        <w:t>道路照明设施作为城市的公共照明设施，既是展示形象的窗口，也是塑造城市整体形象的重要元素。路灯是保障城市夜间交通安全、提高城市品质的重要公共设施，随着我县城区路灯数量的日渐增加，路灯亮化工程除了必要的大量硬件基础设施投入外，路灯电费也飞速递增。我单位承担托里县城区路灯电费充值管理工作，通过设置专项资金予以保证城区道路照明设施安全运行，不仅对居民出行、夜间车辆交通安全、维护社会治安起到保障作用，还同时亮化区容、区貌，提升城市人居环境质量和人民生活质量。</w:t>
      </w:r>
    </w:p>
    <w:p w14:paraId="752E5609">
      <w:pPr>
        <w:pStyle w:val="10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247E6BA2">
      <w:pPr>
        <w:pStyle w:val="21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jc w:val="both"/>
        <w:textAlignment w:val="auto"/>
        <w:rPr>
          <w:rFonts w:hint="default" w:ascii="Times New Roman" w:hAnsi="Times New Roman" w:eastAsia="黑体" w:cs="Times New Roman"/>
          <w:highlight w:val="yellow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项目主要内容：托里县城建监察大队2024年其他项目类-城市维护建设税返还城区路灯电费项目的实施。该项目经济效益、社会效益、可持续发展等成效明显，城建监察大队从业务管理、资金管理、资金使用等方面加强对项目管理，不断完善机制、明确责任，已较好完成路灯电费资金绩效评价的任务和目标，确保项目资金安全可靠，合规合法，通过城区路灯及亮化设施项目实施，保障了城区道路照明及公共亮化设施的正常运行，美化、亮化了城市，方便了市民夜间出行及夜间道路安全，项目基本达到既定目标，资金使用绩效良好。</w:t>
      </w:r>
    </w:p>
    <w:p w14:paraId="4A929ECE">
      <w:pPr>
        <w:spacing w:line="56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项目实施情况：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  <w:highlight w:val="none"/>
          <w:lang w:val="en-US" w:eastAsia="zh-CN" w:bidi="ar-SA"/>
        </w:rPr>
        <w:t>本项目于202</w:t>
      </w:r>
      <w:r>
        <w:rPr>
          <w:rFonts w:hint="eastAsia" w:eastAsia="仿宋_GB2312" w:cs="Times New Roman"/>
          <w:kern w:val="0"/>
          <w:sz w:val="30"/>
          <w:szCs w:val="30"/>
          <w:highlight w:val="none"/>
          <w:lang w:val="en-US" w:eastAsia="zh-CN" w:bidi="ar-SA"/>
        </w:rPr>
        <w:t>4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  <w:highlight w:val="none"/>
          <w:lang w:val="en-US" w:eastAsia="zh-CN" w:bidi="ar-SA"/>
        </w:rPr>
        <w:t>年1月开始实施，截至202</w:t>
      </w:r>
      <w:r>
        <w:rPr>
          <w:rFonts w:hint="eastAsia" w:eastAsia="仿宋_GB2312" w:cs="Times New Roman"/>
          <w:kern w:val="0"/>
          <w:sz w:val="30"/>
          <w:szCs w:val="30"/>
          <w:highlight w:val="none"/>
          <w:lang w:val="en-US" w:eastAsia="zh-CN" w:bidi="ar-SA"/>
        </w:rPr>
        <w:t>4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  <w:highlight w:val="none"/>
          <w:lang w:val="en-US" w:eastAsia="zh-CN" w:bidi="ar-SA"/>
        </w:rPr>
        <w:t>年12月，该项目已实施完成，各项任务指标全部完成。通过本项目的实施，有效解决了居民出行和夜间车辆通行的安全隐患，提升了城市人居环境质量和人民生活质量，增强了居民出行、夜间车辆交通安全指数，美化亮化了城区街道。</w:t>
      </w:r>
    </w:p>
    <w:p w14:paraId="599908EF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708E212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5066DB2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30A8CCD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2186C27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万元，全年执行数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%，主要用于：缴纳城区街道1762个路灯、70个红绿灯电费，及时缴纳电费，保障路灯正常运行。</w:t>
      </w:r>
    </w:p>
    <w:p w14:paraId="427789A7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41A8AB2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442862E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资金20万元，主要用于城区街道1762个路灯、70个红绿灯电费缴纳，保障路灯的照明，以保证城区道路照明设施安全运行，不仅对居民出行、夜间车辆交通安全、维护社会治安起到保障作用，还同时亮化区容、区貌，提升城市人居环境质量和人民生活质量,美化亮化了城区街道，方便了群众晚上的出行，减少出行安全隐患，受益群众满意度达到95%。</w:t>
      </w:r>
    </w:p>
    <w:p w14:paraId="6FDD4A9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FF0000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6DCDE9E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城市维护建设税返还路灯电费项目资金20万元，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用于城区街道1762个路灯、70个红绿灯电费缴纳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确保项目资金按时足额拨付，实现专款专用。保障城区路灯稳定供电，逐步扩大亮化覆盖区域，阶段性支付电费，确保无拖欠导致断电。提高路灯完好率，缩短故障修复时间。提升夜间出行安全及城市形象，开展满意度调查，阶段性目标满意度达95%</w:t>
      </w:r>
    </w:p>
    <w:p w14:paraId="0C3C867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5C4C8E58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1EA6ACE7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1.绩效评价完整性</w:t>
      </w:r>
    </w:p>
    <w:p w14:paraId="26C2C6D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263FB3E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在评价指标体系的构建上，充分考虑了项目的性质、目标以及预期成果，选取了具有代表性和可衡量性的关键指标，涵盖了社会效益、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效益等多个维度，力求全方位反映项目的绩效状况。同时，对于每个指标的评价标准和数据来源均进行了明确说明，确保评价结果的客观性和可追溯性。</w:t>
      </w:r>
    </w:p>
    <w:p w14:paraId="4638A4A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004080F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430321D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6A89069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绩效评价的目的</w:t>
      </w:r>
    </w:p>
    <w:p w14:paraId="693F8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（1）评估项目实施效果</w:t>
      </w:r>
    </w:p>
    <w:p w14:paraId="3ED8D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通过对项目预算执行情况及各项绩效目标达成程度的系统性分析，全面、客观地评估项目在预定周期内的实施效果，包括社会效益、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效益以及可持续性等多维度指标，为项目后续的改进与优化提供科学依据。</w:t>
      </w:r>
    </w:p>
    <w:p w14:paraId="5B097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（2）提升资源利用效率</w:t>
      </w:r>
    </w:p>
    <w:p w14:paraId="3C73C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4E3F9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（3）强化项目管理责任</w:t>
      </w:r>
    </w:p>
    <w:p w14:paraId="3FF6B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13231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（4）为决策提供支持</w:t>
      </w:r>
    </w:p>
    <w:p w14:paraId="5DFB6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6EBC3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（5）促进项目持续改进</w:t>
      </w:r>
    </w:p>
    <w:p w14:paraId="18225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6172F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08570B0F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绩效评价的对象</w:t>
      </w:r>
    </w:p>
    <w:p w14:paraId="4EAA2A4F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本项目预算绩效评价报告的评价对象是2024年其他项目类-城市维护建设税返还城区路灯电费项目及其预算执行情况。该项目由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eastAsia="zh-CN"/>
        </w:rPr>
        <w:t>托里县城建监察大队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负责实施，旨在城区街道1762个路灯、70个红绿灯电费缴纳，保障路灯的照明，以保证城区道路照明设施安全运行，不仅对居民出行、夜间车辆交通安全、维护社会治安起到保障作用，还同时亮化区容、区貌，提升城市人居环境质量和人民生活质量,美化亮化了城区街道，方便了群众晚上的出行，减少出行安全隐患，受益群众满意度达到95%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2024年12月31日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元。</w:t>
      </w:r>
    </w:p>
    <w:p w14:paraId="430B39FC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绩效评价的范围</w:t>
      </w:r>
    </w:p>
    <w:p w14:paraId="16B7B925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66B28C7E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2B33B220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资金管理：深入分析项目资金的分配、使用和监管情况，确保资金使用的合规性、高效性和透明度。</w:t>
      </w:r>
    </w:p>
    <w:p w14:paraId="2BFEBB35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10867E6E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社会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影响：考察项目对社会、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等方面的综合影响。</w:t>
      </w:r>
    </w:p>
    <w:p w14:paraId="378DCC9E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6D22E6B6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50BE999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1336B6DD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3AFFE3B4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0DC3E344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35590811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02C05ADE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503F2B75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68502E19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6CA38124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5AA85AE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36EA2056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75952E1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12A9D41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7B8E5965">
      <w:pPr>
        <w:pStyle w:val="10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6214F0E1">
      <w:pPr>
        <w:pStyle w:val="10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5453170A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6B13E84E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1697F176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4116FF4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一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）比较法。</w:t>
      </w:r>
      <w:r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</w:p>
    <w:p w14:paraId="361C0C31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gree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二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）公众评判法。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highlight w:val="none"/>
          <w:lang w:val="en-US" w:eastAsia="zh-CN" w:bidi="ar-SA"/>
        </w:rPr>
        <w:t>评价组采用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</w:p>
    <w:p w14:paraId="0B7536DE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33CBB47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绩效评价标准通常包括计划标准、行业标准、历史标准等，用于对绩效指标完成情况进行比较、分析、评价。本次评价主要采用了计划标准。</w:t>
      </w:r>
    </w:p>
    <w:p w14:paraId="0972F900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计划标准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通过对绩效指标完成情况以预先指定的目标、计划、预算、定额等作为评价标准，量化对目标值进行比较、分析、评价，对完成绩效目标进行考核，方便快捷得出真实有效的评价结果。</w:t>
      </w:r>
    </w:p>
    <w:p w14:paraId="26595D87">
      <w:pPr>
        <w:pStyle w:val="10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652A1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前期准备与规划</w:t>
      </w:r>
    </w:p>
    <w:p w14:paraId="008C3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在项目绩效评价工作启动之初，成立了专门的评价工作小组，小组成员由财务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、项目管理人员及相关领域技术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28AC8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）指标体系构建</w:t>
      </w:r>
    </w:p>
    <w:p w14:paraId="33834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09CC0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）数据收集与整理</w:t>
      </w:r>
    </w:p>
    <w:p w14:paraId="498B6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19A92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）数据分析与评估</w:t>
      </w:r>
    </w:p>
    <w:p w14:paraId="35A8D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153A7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）报告撰写与反馈</w:t>
      </w:r>
    </w:p>
    <w:p w14:paraId="63AD8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26AAB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）后续跟踪与改进</w:t>
      </w:r>
    </w:p>
    <w:p w14:paraId="68AAA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38875DEB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11BA822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6DEC1F7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2024年其他项目类-城市维护建设税返还城区路灯电费项目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在路灯正常运行率、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电费缴纳过程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等方面表现出色，达到了预期的标准与要求。同时，项目也在城区道路照明设施安全运行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居民出行、夜间车辆交通安全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维护社会治安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方面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取得了显著的成效，如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提升城市人居环境质量和人民生活质量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2.改善城区环境3.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方便了群众晚上的出行，减少出行安全隐患等。</w:t>
      </w:r>
    </w:p>
    <w:p w14:paraId="737BA32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托里县城建监察大队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3DFCB28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从项目效益的角度来看，本项目不仅实现了预期的社会效益、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效益等方面产生了积极的影响。具体而言，减少出行安全隐患、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改善城区环境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等方面的提升，为项目的利益相关者带来了实实在在的利益。</w:t>
      </w:r>
    </w:p>
    <w:p w14:paraId="073C629C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综上所述，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2024年其他项目类-城市维护建设税返还城区路灯电费项目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 w14:paraId="78F0447D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4A5CEA73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：总得分为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分，属于“优”。其中，项目决策类指标权重为20分，得分为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。</w:t>
      </w:r>
    </w:p>
    <w:p w14:paraId="333166E4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3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30651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62282D39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0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E5808D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3F70C2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A7016DF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66760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F128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E727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D42A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EDB7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20%</w:t>
            </w:r>
          </w:p>
        </w:tc>
      </w:tr>
      <w:tr w14:paraId="1A90B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AF45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FE55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8234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4244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20%</w:t>
            </w:r>
          </w:p>
        </w:tc>
      </w:tr>
      <w:tr w14:paraId="2C001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AF79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421D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A2A0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CAA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40%</w:t>
            </w:r>
          </w:p>
        </w:tc>
      </w:tr>
      <w:tr w14:paraId="010BC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05F0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E7D0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EBA2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8017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20%</w:t>
            </w:r>
          </w:p>
        </w:tc>
      </w:tr>
      <w:tr w14:paraId="43B10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587D7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1AC3B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4E0C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C8DA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</w:tbl>
    <w:p w14:paraId="2B724DB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25092CA0">
      <w:pPr>
        <w:pStyle w:val="10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7C47F15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355D4CC5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1.项目立项</w:t>
      </w:r>
    </w:p>
    <w:p w14:paraId="3A6E16B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2F4E8AE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6B218F6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269670C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073590B5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2F53FCD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05D5F68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15312F4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3C7ADD8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459F4BE7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45AF71C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65648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6F17CDE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1FF4F23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2FFB4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22D7E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32440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5AB1FD73">
      <w:pPr>
        <w:pStyle w:val="10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7434108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三级指标构成，权重分值为20分，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2921F38A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1.资金管理</w:t>
      </w:r>
    </w:p>
    <w:p w14:paraId="681843F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（1）资金到位率</w:t>
      </w:r>
    </w:p>
    <w:p w14:paraId="78A55BC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本项目总投资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%，预算资金按计划进度执行。</w:t>
      </w:r>
    </w:p>
    <w:p w14:paraId="4E220BE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（2）预算执行率</w:t>
      </w:r>
    </w:p>
    <w:p w14:paraId="6BCF685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7DAE868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456C7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4B6B1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210ED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06B03857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2.组织实施</w:t>
      </w:r>
    </w:p>
    <w:p w14:paraId="2E2A9D3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（1）管理制度健全性</w:t>
      </w:r>
    </w:p>
    <w:p w14:paraId="27A63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6FE4A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2EB46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3E9C17F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3D914EC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32FBB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1868D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42365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729F511A">
      <w:pPr>
        <w:pStyle w:val="11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0E0D78E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7D5C2A8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1B8E8036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指标1：城区路灯用电数量，指标值：&gt;=1762个，实际完成值：1762个，指标完成率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偏差为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0%。</w:t>
      </w:r>
    </w:p>
    <w:p w14:paraId="3F10A6E8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</w:t>
      </w: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：红绿灯数量，指标值：&gt;=70个，实际完成值：70个，指标完成率100%，偏差为0%。</w:t>
      </w:r>
    </w:p>
    <w:p w14:paraId="12C53BA1">
      <w:pPr>
        <w:shd w:val="clear" w:color="auto" w:fill="auto"/>
        <w:spacing w:line="600" w:lineRule="exact"/>
        <w:ind w:firstLine="640" w:firstLineChars="200"/>
        <w:outlineLvl w:val="0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</w:t>
      </w: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：用电度数，指标值：&gt;=45.09万度，实际完成值：45.09万度，指标完成率100%，偏差为0%。</w:t>
      </w:r>
    </w:p>
    <w:p w14:paraId="283C93B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26DA2A4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指标1：路灯正常运行率，指标值：=100%，实际完成值：100%，指标完成率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偏差为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0%。</w:t>
      </w:r>
    </w:p>
    <w:p w14:paraId="115C8EB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③时效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指标：</w:t>
      </w:r>
    </w:p>
    <w:p w14:paraId="0BF50AA4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指标1：缴纳电费及时率，指标值：=100%，实际完成值：100%，指标完成率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偏差为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0%。</w:t>
      </w:r>
    </w:p>
    <w:p w14:paraId="045EDF52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：电费缴纳完成时间，指标值：2024年12月25日，实际完成值：2024年12月25日，指标完成率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偏差为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0%。</w:t>
      </w:r>
    </w:p>
    <w:p w14:paraId="7FE7974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④成本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指标：</w:t>
      </w:r>
    </w:p>
    <w:p w14:paraId="1034FBC9">
      <w:pPr>
        <w:shd w:val="clear" w:color="auto" w:fill="auto"/>
        <w:spacing w:line="600" w:lineRule="exact"/>
        <w:ind w:firstLine="640" w:firstLineChars="200"/>
        <w:outlineLvl w:val="0"/>
        <w:rPr>
          <w:rFonts w:hint="default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用电成本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4436元/万度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4436元/万度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偏差为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0%。</w:t>
      </w:r>
    </w:p>
    <w:p w14:paraId="2FBA8386">
      <w:pPr>
        <w:pStyle w:val="11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1E97FA5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项目效益类指标包括项目实施效益和满意度两方面的内容，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 w14:paraId="6E07CA4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1.实施效益</w:t>
      </w:r>
    </w:p>
    <w:p w14:paraId="3771B75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288281F9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指标1：减少出行安全隐患，指标值：有效减少，实际完成值：有效减少，指标完成率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偏差为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0%。</w:t>
      </w:r>
    </w:p>
    <w:p w14:paraId="5D55C40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生态效益指标：</w:t>
      </w:r>
    </w:p>
    <w:p w14:paraId="27B17A9E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指标1：改善城区环境，指标值：效果明显，实际完成值：效果明显，指标完成率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偏差为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0%。</w:t>
      </w:r>
    </w:p>
    <w:p w14:paraId="540E68EE">
      <w:pPr>
        <w:numPr>
          <w:ilvl w:val="0"/>
          <w:numId w:val="5"/>
        </w:num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满意度</w:t>
      </w:r>
    </w:p>
    <w:p w14:paraId="48E3B879"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指标1：受益群众满意度，指标值：&gt;=95%，实际完成值：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=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95%，指标完成率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偏差为0%。</w:t>
      </w:r>
    </w:p>
    <w:p w14:paraId="309D6339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735A4D0D">
      <w:pPr>
        <w:pStyle w:val="21"/>
        <w:spacing w:line="560" w:lineRule="exact"/>
        <w:ind w:firstLine="640"/>
        <w:rPr>
          <w:rFonts w:hint="eastAsia" w:ascii="Times New Roman" w:hAnsi="Times New Roman" w:eastAsia="宋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2024年其他项目类-城市维护建设税返还城区路灯电费项目年初预算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万元，全年预算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万元，实际支出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万元，预算执行率为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%，项目绩效指标总体完成率为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%，总体偏差率为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%</w:t>
      </w:r>
      <w:r>
        <w:rPr>
          <w:rFonts w:hint="eastAsia" w:cs="Times New Roman"/>
          <w:highlight w:val="none"/>
          <w:lang w:eastAsia="zh-CN"/>
        </w:rPr>
        <w:t>。</w:t>
      </w:r>
    </w:p>
    <w:p w14:paraId="2FFD2AB5">
      <w:pPr>
        <w:spacing w:line="560" w:lineRule="exact"/>
        <w:ind w:firstLine="640" w:firstLineChars="200"/>
        <w:rPr>
          <w:rStyle w:val="20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648AB743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1D5C4E7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4B59357D">
      <w:pPr>
        <w:pStyle w:val="10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6ACFE992">
      <w:pPr>
        <w:keepNext/>
        <w:keepLines/>
        <w:numPr>
          <w:ilvl w:val="0"/>
          <w:numId w:val="6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5920FCA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35E667D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58D8892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04D9380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211531C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77B97E7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122121C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3246DEC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0A9CFE4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049E4A8F">
      <w:pPr>
        <w:pStyle w:val="12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9CEE5F-7D31-4D2E-954D-9A72A09F11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C282020-5DBF-469E-BA5B-839B2570F71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76E8037-5DC0-4642-96F6-5B4B640A9D8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86BC03CA-0535-421F-AA66-AFEFC85CF32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F70FACE2-C3C5-4651-8CAF-4F8486479A7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B967F25E-5041-4495-8F8F-CA14DCB6945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54501801-6840-4270-AFB8-161189BDE70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6D18CBCE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1790E798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03D62ECE"/>
    <w:multiLevelType w:val="singleLevel"/>
    <w:tmpl w:val="03D62EC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NotDisplayPageBoundaries w:val="1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1E910569"/>
    <w:rsid w:val="47BF6ACD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0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1">
    <w:name w:val="Body Text First Indent"/>
    <w:basedOn w:val="4"/>
    <w:qFormat/>
    <w:uiPriority w:val="0"/>
    <w:pPr>
      <w:spacing w:after="0"/>
      <w:ind w:firstLine="200" w:firstLineChars="200"/>
    </w:pPr>
  </w:style>
  <w:style w:type="paragraph" w:styleId="12">
    <w:name w:val="Body Text First Indent 2"/>
    <w:basedOn w:val="5"/>
    <w:qFormat/>
    <w:uiPriority w:val="0"/>
    <w:pPr>
      <w:ind w:firstLine="420" w:firstLineChars="200"/>
    </w:pPr>
  </w:style>
  <w:style w:type="table" w:styleId="14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Strong"/>
    <w:basedOn w:val="15"/>
    <w:qFormat/>
    <w:uiPriority w:val="0"/>
    <w:rPr>
      <w:b/>
      <w:bCs/>
    </w:rPr>
  </w:style>
  <w:style w:type="paragraph" w:customStyle="1" w:styleId="17">
    <w:name w:val="Comment Text"/>
    <w:basedOn w:val="1"/>
    <w:link w:val="24"/>
    <w:qFormat/>
    <w:uiPriority w:val="0"/>
    <w:pPr>
      <w:jc w:val="left"/>
    </w:pPr>
  </w:style>
  <w:style w:type="paragraph" w:customStyle="1" w:styleId="18">
    <w:name w:val="Comment Subject"/>
    <w:basedOn w:val="17"/>
    <w:next w:val="17"/>
    <w:link w:val="25"/>
    <w:qFormat/>
    <w:uiPriority w:val="0"/>
    <w:rPr>
      <w:b/>
      <w:bCs/>
    </w:rPr>
  </w:style>
  <w:style w:type="character" w:customStyle="1" w:styleId="19">
    <w:name w:val="Comment Reference"/>
    <w:basedOn w:val="15"/>
    <w:qFormat/>
    <w:uiPriority w:val="0"/>
    <w:rPr>
      <w:sz w:val="21"/>
      <w:szCs w:val="21"/>
    </w:rPr>
  </w:style>
  <w:style w:type="character" w:customStyle="1" w:styleId="20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1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2">
    <w:name w:val="批注框文本 字符"/>
    <w:basedOn w:val="15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页眉 字符"/>
    <w:basedOn w:val="15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批注文字 字符"/>
    <w:basedOn w:val="15"/>
    <w:link w:val="17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5">
    <w:name w:val="批注主题 字符"/>
    <w:basedOn w:val="24"/>
    <w:link w:val="18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eyJoZGlkIjoiZDY0NTU4ZTI2YTRhZmQwMGI0YmYyNWY4OGVmNWRhNzcifQ==</vt:lpwstr>
  </property>
</Properties>
</file>

<file path=customXml/itemProps1.xml><?xml version="1.0" encoding="utf-8"?>
<ds:datastoreItem xmlns:ds="http://schemas.openxmlformats.org/officeDocument/2006/customXml" ds:itemID="{140e8cee-d40c-414b-9a21-8140c816b4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10061</Words>
  <Characters>10371</Characters>
  <Lines>58</Lines>
  <Paragraphs>16</Paragraphs>
  <TotalTime>0</TotalTime>
  <ScaleCrop>false</ScaleCrop>
  <LinksUpToDate>false</LinksUpToDate>
  <CharactersWithSpaces>10375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白羊</cp:lastModifiedBy>
  <cp:lastPrinted>2025-04-28T10:07:00Z</cp:lastPrinted>
  <dcterms:modified xsi:type="dcterms:W3CDTF">2025-11-27T03:51:02Z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eyJoZGlkIjoiYjM4NWYyMWE2NWU1OGNiMmIxMmZkYzA5MWEwNzJlZmIiLCJ1c2VySWQiOiI0MzE2NzY3NzkifQ==</vt:lpwstr>
  </property>
</Properties>
</file>