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1B096">
      <w:pPr>
        <w:spacing w:before="202" w:line="164" w:lineRule="auto"/>
        <w:ind w:left="158"/>
        <w:rPr>
          <w:rFonts w:ascii="微软雅黑" w:hAnsi="微软雅黑" w:eastAsia="微软雅黑" w:cs="微软雅黑"/>
          <w:sz w:val="47"/>
          <w:szCs w:val="47"/>
        </w:rPr>
      </w:pPr>
      <w:r>
        <w:rPr>
          <w:rFonts w:ascii="Times New Roman" w:hAnsi="Times New Roman" w:eastAsia="Times New Roman" w:cs="Times New Roman"/>
          <w:spacing w:val="8"/>
          <w:sz w:val="47"/>
          <w:szCs w:val="47"/>
        </w:rPr>
        <w:t xml:space="preserve">2024 </w:t>
      </w:r>
      <w:r>
        <w:rPr>
          <w:rFonts w:ascii="微软雅黑" w:hAnsi="微软雅黑" w:eastAsia="微软雅黑" w:cs="微软雅黑"/>
          <w:spacing w:val="8"/>
          <w:sz w:val="47"/>
          <w:szCs w:val="47"/>
        </w:rPr>
        <w:t>年中央补助地方公共文化服务体系</w:t>
      </w:r>
    </w:p>
    <w:p w14:paraId="6CFE6322">
      <w:pPr>
        <w:spacing w:before="1" w:line="161" w:lineRule="auto"/>
        <w:ind w:left="939"/>
        <w:rPr>
          <w:rFonts w:ascii="微软雅黑" w:hAnsi="微软雅黑" w:eastAsia="微软雅黑" w:cs="微软雅黑"/>
          <w:sz w:val="47"/>
          <w:szCs w:val="47"/>
        </w:rPr>
      </w:pPr>
      <w:r>
        <w:rPr>
          <w:rFonts w:ascii="微软雅黑" w:hAnsi="微软雅黑" w:eastAsia="微软雅黑" w:cs="微软雅黑"/>
          <w:spacing w:val="9"/>
          <w:sz w:val="47"/>
          <w:szCs w:val="47"/>
        </w:rPr>
        <w:t>建设补助资金项目支出绩效评价</w:t>
      </w:r>
    </w:p>
    <w:p w14:paraId="2E3DE7D7">
      <w:pPr>
        <w:spacing w:before="2" w:line="183" w:lineRule="auto"/>
        <w:ind w:left="3814"/>
        <w:rPr>
          <w:rFonts w:ascii="微软雅黑" w:hAnsi="微软雅黑" w:eastAsia="微软雅黑" w:cs="微软雅黑"/>
          <w:sz w:val="47"/>
          <w:szCs w:val="47"/>
        </w:rPr>
      </w:pPr>
      <w:r>
        <w:rPr>
          <w:rFonts w:ascii="微软雅黑" w:hAnsi="微软雅黑" w:eastAsia="微软雅黑" w:cs="微软雅黑"/>
          <w:spacing w:val="7"/>
          <w:sz w:val="47"/>
          <w:szCs w:val="47"/>
        </w:rPr>
        <w:t>报告</w:t>
      </w:r>
    </w:p>
    <w:p w14:paraId="43FA1F1F">
      <w:pPr>
        <w:spacing w:line="441" w:lineRule="auto"/>
        <w:rPr>
          <w:rFonts w:ascii="Arial"/>
          <w:sz w:val="21"/>
        </w:rPr>
      </w:pPr>
    </w:p>
    <w:p w14:paraId="0E37F356">
      <w:pPr>
        <w:pStyle w:val="2"/>
        <w:spacing w:before="114" w:line="228" w:lineRule="auto"/>
        <w:ind w:left="3191"/>
        <w:rPr>
          <w:sz w:val="35"/>
          <w:szCs w:val="35"/>
        </w:rPr>
      </w:pPr>
      <w:r>
        <w:rPr>
          <w:spacing w:val="-2"/>
          <w:sz w:val="35"/>
          <w:szCs w:val="35"/>
        </w:rPr>
        <w:t>（</w:t>
      </w:r>
      <w:r>
        <w:rPr>
          <w:rFonts w:ascii="Times New Roman" w:hAnsi="Times New Roman" w:eastAsia="Times New Roman" w:cs="Times New Roman"/>
          <w:spacing w:val="-2"/>
          <w:sz w:val="35"/>
          <w:szCs w:val="35"/>
        </w:rPr>
        <w:t>2024</w:t>
      </w:r>
      <w:r>
        <w:rPr>
          <w:rFonts w:ascii="Times New Roman" w:hAnsi="Times New Roman" w:eastAsia="Times New Roman" w:cs="Times New Roman"/>
          <w:spacing w:val="39"/>
          <w:w w:val="101"/>
          <w:sz w:val="35"/>
          <w:szCs w:val="35"/>
        </w:rPr>
        <w:t xml:space="preserve"> </w:t>
      </w:r>
      <w:r>
        <w:rPr>
          <w:spacing w:val="-2"/>
          <w:sz w:val="35"/>
          <w:szCs w:val="35"/>
        </w:rPr>
        <w:t>年度）</w:t>
      </w:r>
    </w:p>
    <w:p w14:paraId="0C87ACE5">
      <w:pPr>
        <w:spacing w:line="366" w:lineRule="auto"/>
        <w:rPr>
          <w:rFonts w:ascii="Arial"/>
          <w:sz w:val="21"/>
        </w:rPr>
      </w:pPr>
    </w:p>
    <w:p w14:paraId="3B9F8F34">
      <w:pPr>
        <w:spacing w:line="2513" w:lineRule="exact"/>
        <w:ind w:firstLine="2968"/>
      </w:pPr>
      <w:r>
        <w:rPr>
          <w:position w:val="-50"/>
        </w:rPr>
        <w:drawing>
          <wp:inline distT="0" distB="0" distL="0" distR="0">
            <wp:extent cx="1673225" cy="1595120"/>
            <wp:effectExtent l="0" t="0" r="3175" b="508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1673351" cy="1595627"/>
                    </a:xfrm>
                    <a:prstGeom prst="rect">
                      <a:avLst/>
                    </a:prstGeom>
                  </pic:spPr>
                </pic:pic>
              </a:graphicData>
            </a:graphic>
          </wp:inline>
        </w:drawing>
      </w:r>
    </w:p>
    <w:p w14:paraId="63B616E2">
      <w:pPr>
        <w:pStyle w:val="2"/>
        <w:spacing w:before="343" w:line="345" w:lineRule="auto"/>
        <w:ind w:left="47" w:firstLine="1580"/>
      </w:pPr>
      <w:r>
        <w:rPr>
          <w:spacing w:val="5"/>
          <w:sz w:val="35"/>
          <w:szCs w:val="35"/>
        </w:rPr>
        <w:t>项目名称：</w:t>
      </w:r>
      <w:r>
        <w:rPr>
          <w:spacing w:val="5"/>
        </w:rPr>
        <w:t>2024</w:t>
      </w:r>
      <w:r>
        <w:rPr>
          <w:spacing w:val="-47"/>
        </w:rPr>
        <w:t xml:space="preserve"> </w:t>
      </w:r>
      <w:r>
        <w:rPr>
          <w:spacing w:val="5"/>
        </w:rPr>
        <w:t>年中央补助地方公共文化服</w:t>
      </w:r>
      <w:r>
        <w:rPr>
          <w:spacing w:val="4"/>
        </w:rPr>
        <w:t>务体</w:t>
      </w:r>
      <w:r>
        <w:rPr>
          <w:spacing w:val="6"/>
        </w:rPr>
        <w:t>系建设补助资金项目</w:t>
      </w:r>
    </w:p>
    <w:p w14:paraId="6051EAF0">
      <w:pPr>
        <w:pStyle w:val="2"/>
        <w:spacing w:before="38" w:line="371" w:lineRule="auto"/>
        <w:ind w:left="65" w:right="96" w:firstLine="1387"/>
      </w:pPr>
      <w:r>
        <w:rPr>
          <w:spacing w:val="7"/>
        </w:rPr>
        <w:t>实施单位（公章</w:t>
      </w:r>
      <w:r>
        <w:rPr>
          <w:spacing w:val="25"/>
        </w:rPr>
        <w:t>）：</w:t>
      </w:r>
      <w:r>
        <w:rPr>
          <w:spacing w:val="7"/>
        </w:rPr>
        <w:t>托里县融媒体中心（广播电视</w:t>
      </w:r>
      <w:r>
        <w:rPr>
          <w:spacing w:val="-22"/>
        </w:rPr>
        <w:t>台）</w:t>
      </w:r>
    </w:p>
    <w:p w14:paraId="0E26C57D">
      <w:pPr>
        <w:pStyle w:val="2"/>
        <w:spacing w:before="2" w:line="371" w:lineRule="auto"/>
        <w:ind w:left="65" w:right="96" w:firstLine="1390"/>
      </w:pPr>
      <w:r>
        <w:rPr>
          <w:spacing w:val="7"/>
        </w:rPr>
        <w:t>主管部门（公章</w:t>
      </w:r>
      <w:r>
        <w:rPr>
          <w:spacing w:val="23"/>
        </w:rPr>
        <w:t>）：</w:t>
      </w:r>
      <w:r>
        <w:rPr>
          <w:spacing w:val="7"/>
        </w:rPr>
        <w:t>托里县融媒体中心（广播电视</w:t>
      </w:r>
      <w:r>
        <w:rPr>
          <w:spacing w:val="-22"/>
        </w:rPr>
        <w:t>台）</w:t>
      </w:r>
    </w:p>
    <w:p w14:paraId="2C623800">
      <w:pPr>
        <w:pStyle w:val="2"/>
        <w:spacing w:line="226" w:lineRule="auto"/>
        <w:ind w:left="1447"/>
      </w:pPr>
      <w:r>
        <w:rPr>
          <w:spacing w:val="4"/>
        </w:rPr>
        <w:t>项目负责人（签章</w:t>
      </w:r>
      <w:r>
        <w:rPr>
          <w:spacing w:val="27"/>
        </w:rPr>
        <w:t>）：</w:t>
      </w:r>
      <w:r>
        <w:rPr>
          <w:spacing w:val="4"/>
        </w:rPr>
        <w:t>崔莉</w:t>
      </w:r>
    </w:p>
    <w:p w14:paraId="0B94F1C4">
      <w:pPr>
        <w:pStyle w:val="2"/>
        <w:spacing w:before="244" w:line="228" w:lineRule="auto"/>
        <w:ind w:left="1448"/>
      </w:pPr>
      <w:r>
        <w:rPr>
          <w:spacing w:val="-2"/>
        </w:rPr>
        <w:t>填报时间：2025</w:t>
      </w:r>
      <w:r>
        <w:rPr>
          <w:spacing w:val="-39"/>
        </w:rPr>
        <w:t xml:space="preserve"> </w:t>
      </w:r>
      <w:r>
        <w:rPr>
          <w:spacing w:val="-2"/>
        </w:rPr>
        <w:t>年</w:t>
      </w:r>
      <w:r>
        <w:rPr>
          <w:spacing w:val="-58"/>
        </w:rPr>
        <w:t xml:space="preserve"> </w:t>
      </w:r>
      <w:r>
        <w:rPr>
          <w:spacing w:val="-2"/>
        </w:rPr>
        <w:t>3</w:t>
      </w:r>
      <w:r>
        <w:rPr>
          <w:spacing w:val="-38"/>
        </w:rPr>
        <w:t xml:space="preserve"> </w:t>
      </w:r>
      <w:r>
        <w:rPr>
          <w:spacing w:val="-2"/>
        </w:rPr>
        <w:t>月</w:t>
      </w:r>
      <w:r>
        <w:rPr>
          <w:spacing w:val="-39"/>
        </w:rPr>
        <w:t xml:space="preserve"> </w:t>
      </w:r>
      <w:r>
        <w:rPr>
          <w:spacing w:val="-2"/>
        </w:rPr>
        <w:t>15 日</w:t>
      </w:r>
    </w:p>
    <w:p w14:paraId="740035B9">
      <w:pPr>
        <w:spacing w:line="228" w:lineRule="auto"/>
        <w:sectPr>
          <w:pgSz w:w="11906" w:h="16839"/>
          <w:pgMar w:top="1431" w:right="1559" w:bottom="0" w:left="1785" w:header="0" w:footer="0" w:gutter="0"/>
          <w:cols w:space="720" w:num="1"/>
        </w:sectPr>
      </w:pPr>
    </w:p>
    <w:p w14:paraId="3C971556">
      <w:pPr>
        <w:spacing w:before="185" w:line="228" w:lineRule="auto"/>
        <w:ind w:left="672"/>
        <w:rPr>
          <w:rFonts w:ascii="黑体" w:hAnsi="黑体" w:eastAsia="黑体" w:cs="黑体"/>
          <w:sz w:val="31"/>
          <w:szCs w:val="31"/>
        </w:rPr>
      </w:pPr>
      <w:r>
        <w:rPr>
          <w:rFonts w:ascii="黑体" w:hAnsi="黑体" w:eastAsia="黑体" w:cs="黑体"/>
          <w:spacing w:val="7"/>
          <w:sz w:val="31"/>
          <w:szCs w:val="31"/>
        </w:rPr>
        <w:t>一、基本情况</w:t>
      </w:r>
    </w:p>
    <w:p w14:paraId="76160BFC">
      <w:pPr>
        <w:spacing w:before="175" w:line="237" w:lineRule="auto"/>
        <w:ind w:left="692"/>
        <w:rPr>
          <w:rFonts w:ascii="楷体" w:hAnsi="楷体" w:eastAsia="楷体" w:cs="楷体"/>
          <w:sz w:val="31"/>
          <w:szCs w:val="31"/>
        </w:rPr>
      </w:pPr>
      <w:r>
        <w:rPr>
          <w:rFonts w:ascii="楷体" w:hAnsi="楷体" w:eastAsia="楷体" w:cs="楷体"/>
          <w:b/>
          <w:bCs/>
          <w:spacing w:val="-10"/>
          <w:sz w:val="31"/>
          <w:szCs w:val="31"/>
        </w:rPr>
        <w:t>（一）项</w:t>
      </w:r>
      <w:r>
        <w:rPr>
          <w:rFonts w:ascii="楷体" w:hAnsi="楷体" w:eastAsia="楷体" w:cs="楷体"/>
          <w:spacing w:val="-71"/>
          <w:sz w:val="31"/>
          <w:szCs w:val="31"/>
        </w:rPr>
        <w:t xml:space="preserve"> </w:t>
      </w:r>
      <w:r>
        <w:rPr>
          <w:rFonts w:ascii="楷体" w:hAnsi="楷体" w:eastAsia="楷体" w:cs="楷体"/>
          <w:b/>
          <w:bCs/>
          <w:spacing w:val="-10"/>
          <w:sz w:val="31"/>
          <w:szCs w:val="31"/>
        </w:rPr>
        <w:t>目概况</w:t>
      </w:r>
    </w:p>
    <w:p w14:paraId="6DE143DA">
      <w:pPr>
        <w:pStyle w:val="2"/>
        <w:spacing w:before="160" w:line="228" w:lineRule="auto"/>
        <w:ind w:left="675"/>
      </w:pPr>
      <w:r>
        <w:rPr>
          <w:rFonts w:ascii="Times New Roman" w:hAnsi="Times New Roman" w:eastAsia="Times New Roman" w:cs="Times New Roman"/>
          <w:b/>
          <w:bCs/>
          <w:spacing w:val="2"/>
        </w:rPr>
        <w:t>1.</w:t>
      </w:r>
      <w:r>
        <w:rPr>
          <w:b/>
          <w:bCs/>
          <w:spacing w:val="2"/>
        </w:rPr>
        <w:t>项目背景</w:t>
      </w:r>
    </w:p>
    <w:p w14:paraId="66776308">
      <w:pPr>
        <w:pStyle w:val="2"/>
        <w:spacing w:before="195" w:line="282" w:lineRule="auto"/>
        <w:ind w:left="33" w:firstLine="601"/>
        <w:outlineLvl w:val="0"/>
        <w:rPr>
          <w:sz w:val="30"/>
          <w:szCs w:val="30"/>
        </w:rPr>
      </w:pPr>
      <w:r>
        <w:rPr>
          <w:spacing w:val="-4"/>
          <w:sz w:val="30"/>
          <w:szCs w:val="30"/>
        </w:rPr>
        <w:t>根据自治区和地区的统一安排部署融媒体中心设备提升改造，</w:t>
      </w:r>
      <w:r>
        <w:rPr>
          <w:spacing w:val="4"/>
          <w:sz w:val="30"/>
          <w:szCs w:val="30"/>
        </w:rPr>
        <w:t>增加融媒体中心宣传速率，保证宣传工作按部就班，对直播录播</w:t>
      </w:r>
    </w:p>
    <w:p w14:paraId="2655B6A5">
      <w:pPr>
        <w:pStyle w:val="2"/>
        <w:spacing w:before="201" w:line="221" w:lineRule="auto"/>
        <w:ind w:left="33"/>
        <w:rPr>
          <w:sz w:val="30"/>
          <w:szCs w:val="30"/>
        </w:rPr>
      </w:pPr>
      <w:r>
        <w:rPr>
          <w:spacing w:val="-2"/>
          <w:sz w:val="30"/>
          <w:szCs w:val="30"/>
        </w:rPr>
        <w:t>设备进行全面改造升级。</w:t>
      </w:r>
    </w:p>
    <w:p w14:paraId="2832219A">
      <w:pPr>
        <w:pStyle w:val="2"/>
        <w:spacing w:before="186" w:line="228" w:lineRule="auto"/>
        <w:ind w:left="662"/>
        <w:outlineLvl w:val="0"/>
      </w:pPr>
      <w:r>
        <w:rPr>
          <w:rFonts w:ascii="Times New Roman" w:hAnsi="Times New Roman" w:eastAsia="Times New Roman" w:cs="Times New Roman"/>
          <w:b/>
          <w:bCs/>
          <w:spacing w:val="4"/>
        </w:rPr>
        <w:t>2.</w:t>
      </w:r>
      <w:r>
        <w:rPr>
          <w:b/>
          <w:bCs/>
          <w:spacing w:val="4"/>
        </w:rPr>
        <w:t>项目主要内容：</w:t>
      </w:r>
    </w:p>
    <w:p w14:paraId="1385A0D0">
      <w:pPr>
        <w:pStyle w:val="2"/>
        <w:spacing w:before="195" w:line="282" w:lineRule="auto"/>
        <w:ind w:left="37" w:right="84" w:firstLine="597"/>
        <w:outlineLvl w:val="0"/>
        <w:rPr>
          <w:sz w:val="30"/>
          <w:szCs w:val="30"/>
        </w:rPr>
      </w:pPr>
      <w:r>
        <w:rPr>
          <w:b/>
          <w:bCs/>
          <w:spacing w:val="4"/>
          <w:sz w:val="30"/>
          <w:szCs w:val="30"/>
        </w:rPr>
        <w:t>项目主要内容：</w:t>
      </w:r>
      <w:r>
        <w:rPr>
          <w:spacing w:val="4"/>
          <w:sz w:val="30"/>
          <w:szCs w:val="30"/>
        </w:rPr>
        <w:t>实际完成托里县融媒体中心配套设备采购、</w:t>
      </w:r>
      <w:r>
        <w:rPr>
          <w:spacing w:val="-5"/>
          <w:sz w:val="30"/>
          <w:szCs w:val="30"/>
        </w:rPr>
        <w:t>安装及装修改造工程项目资金</w:t>
      </w:r>
      <w:r>
        <w:rPr>
          <w:spacing w:val="-44"/>
          <w:sz w:val="30"/>
          <w:szCs w:val="30"/>
        </w:rPr>
        <w:t xml:space="preserve"> </w:t>
      </w:r>
      <w:r>
        <w:rPr>
          <w:rFonts w:ascii="Times New Roman" w:hAnsi="Times New Roman" w:eastAsia="Times New Roman" w:cs="Times New Roman"/>
          <w:spacing w:val="-5"/>
          <w:sz w:val="30"/>
          <w:szCs w:val="30"/>
        </w:rPr>
        <w:t>55.52</w:t>
      </w:r>
      <w:r>
        <w:rPr>
          <w:rFonts w:ascii="Times New Roman" w:hAnsi="Times New Roman" w:eastAsia="Times New Roman" w:cs="Times New Roman"/>
          <w:spacing w:val="23"/>
          <w:sz w:val="30"/>
          <w:szCs w:val="30"/>
        </w:rPr>
        <w:t xml:space="preserve"> </w:t>
      </w:r>
      <w:r>
        <w:rPr>
          <w:spacing w:val="-5"/>
          <w:sz w:val="30"/>
          <w:szCs w:val="30"/>
        </w:rPr>
        <w:t>万元，融媒体中心配套设备采</w:t>
      </w:r>
    </w:p>
    <w:p w14:paraId="1B8946A0">
      <w:pPr>
        <w:pStyle w:val="2"/>
        <w:spacing w:before="203" w:line="222" w:lineRule="auto"/>
        <w:ind w:left="33"/>
        <w:rPr>
          <w:sz w:val="30"/>
          <w:szCs w:val="30"/>
        </w:rPr>
      </w:pPr>
      <w:r>
        <w:rPr>
          <w:spacing w:val="-3"/>
          <w:sz w:val="30"/>
          <w:szCs w:val="30"/>
        </w:rPr>
        <w:t>购及安装</w:t>
      </w:r>
      <w:r>
        <w:rPr>
          <w:spacing w:val="-63"/>
          <w:sz w:val="30"/>
          <w:szCs w:val="30"/>
        </w:rPr>
        <w:t xml:space="preserve"> </w:t>
      </w:r>
      <w:r>
        <w:rPr>
          <w:rFonts w:ascii="Times New Roman" w:hAnsi="Times New Roman" w:eastAsia="Times New Roman" w:cs="Times New Roman"/>
          <w:spacing w:val="-3"/>
          <w:sz w:val="30"/>
          <w:szCs w:val="30"/>
        </w:rPr>
        <w:t>9.09</w:t>
      </w:r>
      <w:r>
        <w:rPr>
          <w:rFonts w:ascii="Times New Roman" w:hAnsi="Times New Roman" w:eastAsia="Times New Roman" w:cs="Times New Roman"/>
          <w:spacing w:val="21"/>
          <w:sz w:val="30"/>
          <w:szCs w:val="30"/>
        </w:rPr>
        <w:t xml:space="preserve"> </w:t>
      </w:r>
      <w:r>
        <w:rPr>
          <w:spacing w:val="-3"/>
          <w:sz w:val="30"/>
          <w:szCs w:val="30"/>
        </w:rPr>
        <w:t>万元，装修改造工程项目</w:t>
      </w:r>
      <w:r>
        <w:rPr>
          <w:spacing w:val="-71"/>
          <w:sz w:val="30"/>
          <w:szCs w:val="30"/>
        </w:rPr>
        <w:t xml:space="preserve"> </w:t>
      </w:r>
      <w:r>
        <w:rPr>
          <w:rFonts w:ascii="Times New Roman" w:hAnsi="Times New Roman" w:eastAsia="Times New Roman" w:cs="Times New Roman"/>
          <w:spacing w:val="-3"/>
          <w:sz w:val="30"/>
          <w:szCs w:val="30"/>
        </w:rPr>
        <w:t>46.43</w:t>
      </w:r>
      <w:r>
        <w:rPr>
          <w:rFonts w:ascii="Times New Roman" w:hAnsi="Times New Roman" w:eastAsia="Times New Roman" w:cs="Times New Roman"/>
          <w:spacing w:val="23"/>
          <w:sz w:val="30"/>
          <w:szCs w:val="30"/>
        </w:rPr>
        <w:t xml:space="preserve"> </w:t>
      </w:r>
      <w:r>
        <w:rPr>
          <w:spacing w:val="-3"/>
          <w:sz w:val="30"/>
          <w:szCs w:val="30"/>
        </w:rPr>
        <w:t>万元，</w:t>
      </w:r>
    </w:p>
    <w:p w14:paraId="5BCD0162">
      <w:pPr>
        <w:pStyle w:val="2"/>
        <w:spacing w:before="199" w:line="282" w:lineRule="auto"/>
        <w:ind w:left="38" w:right="84" w:firstLine="596"/>
        <w:outlineLvl w:val="0"/>
        <w:rPr>
          <w:sz w:val="30"/>
          <w:szCs w:val="30"/>
        </w:rPr>
      </w:pPr>
      <w:r>
        <w:rPr>
          <w:spacing w:val="5"/>
          <w:sz w:val="30"/>
          <w:szCs w:val="30"/>
        </w:rPr>
        <w:t>项目实施情况：通过项目的实施，有效提升政</w:t>
      </w:r>
      <w:r>
        <w:rPr>
          <w:spacing w:val="4"/>
          <w:sz w:val="30"/>
          <w:szCs w:val="30"/>
        </w:rPr>
        <w:t>府公信力，有效降低政府债务风险。深入乡镇、社区、村，进行采访拍摄制作</w:t>
      </w:r>
    </w:p>
    <w:p w14:paraId="2CDABBD1">
      <w:pPr>
        <w:pStyle w:val="2"/>
        <w:spacing w:before="205" w:line="341" w:lineRule="auto"/>
        <w:ind w:left="36" w:right="2" w:firstLine="1"/>
        <w:jc w:val="both"/>
        <w:rPr>
          <w:sz w:val="30"/>
          <w:szCs w:val="30"/>
        </w:rPr>
      </w:pPr>
      <w:r>
        <w:rPr>
          <w:spacing w:val="4"/>
          <w:sz w:val="30"/>
          <w:szCs w:val="30"/>
        </w:rPr>
        <w:t>短视频上报自治区统一发布，坚持宣传党的路线方针政策，以经</w:t>
      </w:r>
      <w:r>
        <w:rPr>
          <w:spacing w:val="-3"/>
          <w:sz w:val="30"/>
          <w:szCs w:val="30"/>
        </w:rPr>
        <w:t>济建设为中心，围绕增强凝聚力，突出精神的培育，</w:t>
      </w:r>
      <w:r>
        <w:rPr>
          <w:spacing w:val="-4"/>
          <w:sz w:val="30"/>
          <w:szCs w:val="30"/>
        </w:rPr>
        <w:t>把凝聚人心，</w:t>
      </w:r>
      <w:r>
        <w:rPr>
          <w:spacing w:val="-2"/>
          <w:sz w:val="30"/>
          <w:szCs w:val="30"/>
        </w:rPr>
        <w:t>鼓舞斗志有效促进基层宣传工作。</w:t>
      </w:r>
    </w:p>
    <w:p w14:paraId="6B2359DC">
      <w:pPr>
        <w:pStyle w:val="2"/>
        <w:spacing w:before="1" w:line="227" w:lineRule="auto"/>
        <w:ind w:left="660"/>
      </w:pPr>
      <w:r>
        <w:rPr>
          <w:rFonts w:ascii="Times New Roman" w:hAnsi="Times New Roman" w:eastAsia="Times New Roman" w:cs="Times New Roman"/>
          <w:b/>
          <w:bCs/>
          <w:spacing w:val="3"/>
        </w:rPr>
        <w:t>3.</w:t>
      </w:r>
      <w:r>
        <w:rPr>
          <w:rFonts w:ascii="Times New Roman" w:hAnsi="Times New Roman" w:eastAsia="Times New Roman" w:cs="Times New Roman"/>
          <w:b/>
          <w:bCs/>
          <w:spacing w:val="-39"/>
        </w:rPr>
        <w:t xml:space="preserve"> </w:t>
      </w:r>
      <w:r>
        <w:rPr>
          <w:b/>
          <w:bCs/>
          <w:spacing w:val="3"/>
        </w:rPr>
        <w:t>资金投入和使用情况</w:t>
      </w:r>
    </w:p>
    <w:p w14:paraId="1EFC38A9">
      <w:pPr>
        <w:pStyle w:val="2"/>
        <w:spacing w:before="208" w:line="228" w:lineRule="auto"/>
        <w:ind w:left="680"/>
        <w:outlineLvl w:val="0"/>
      </w:pPr>
      <w:r>
        <w:rPr>
          <w:spacing w:val="6"/>
        </w:rPr>
        <w:t>（</w:t>
      </w:r>
      <w:r>
        <w:rPr>
          <w:rFonts w:ascii="Times New Roman" w:hAnsi="Times New Roman" w:eastAsia="Times New Roman" w:cs="Times New Roman"/>
          <w:spacing w:val="6"/>
        </w:rPr>
        <w:t>1</w:t>
      </w:r>
      <w:r>
        <w:rPr>
          <w:spacing w:val="6"/>
        </w:rPr>
        <w:t>）资金投入情况</w:t>
      </w:r>
    </w:p>
    <w:p w14:paraId="469A201B">
      <w:pPr>
        <w:pStyle w:val="2"/>
        <w:spacing w:before="217" w:line="227" w:lineRule="auto"/>
        <w:ind w:left="675"/>
        <w:outlineLvl w:val="0"/>
      </w:pPr>
      <w:r>
        <w:rPr>
          <w:spacing w:val="6"/>
        </w:rPr>
        <w:t>该项目年初预算数</w:t>
      </w:r>
      <w:r>
        <w:rPr>
          <w:spacing w:val="-51"/>
        </w:rPr>
        <w:t xml:space="preserve"> </w:t>
      </w:r>
      <w:r>
        <w:rPr>
          <w:rFonts w:ascii="Times New Roman" w:hAnsi="Times New Roman" w:eastAsia="Times New Roman" w:cs="Times New Roman"/>
          <w:spacing w:val="6"/>
        </w:rPr>
        <w:t>80.52</w:t>
      </w:r>
      <w:r>
        <w:rPr>
          <w:rFonts w:ascii="Times New Roman" w:hAnsi="Times New Roman" w:eastAsia="Times New Roman" w:cs="Times New Roman"/>
          <w:spacing w:val="26"/>
        </w:rPr>
        <w:t xml:space="preserve"> </w:t>
      </w:r>
      <w:r>
        <w:rPr>
          <w:spacing w:val="6"/>
        </w:rPr>
        <w:t>万元，全年预算数</w:t>
      </w:r>
      <w:r>
        <w:rPr>
          <w:spacing w:val="-49"/>
        </w:rPr>
        <w:t xml:space="preserve"> </w:t>
      </w:r>
      <w:r>
        <w:rPr>
          <w:rFonts w:ascii="Times New Roman" w:hAnsi="Times New Roman" w:eastAsia="Times New Roman" w:cs="Times New Roman"/>
          <w:spacing w:val="5"/>
        </w:rPr>
        <w:t>80.52</w:t>
      </w:r>
      <w:r>
        <w:rPr>
          <w:rFonts w:ascii="Times New Roman" w:hAnsi="Times New Roman" w:eastAsia="Times New Roman" w:cs="Times New Roman"/>
          <w:spacing w:val="29"/>
        </w:rPr>
        <w:t xml:space="preserve"> </w:t>
      </w:r>
      <w:r>
        <w:rPr>
          <w:spacing w:val="5"/>
        </w:rPr>
        <w:t>万元，</w:t>
      </w:r>
    </w:p>
    <w:p w14:paraId="58C8382A">
      <w:pPr>
        <w:pStyle w:val="2"/>
        <w:spacing w:before="220" w:line="357" w:lineRule="auto"/>
        <w:ind w:left="46" w:right="86" w:hanging="5"/>
      </w:pPr>
      <w:r>
        <w:rPr>
          <w:spacing w:val="2"/>
        </w:rPr>
        <w:t>实际总投入</w:t>
      </w:r>
      <w:r>
        <w:rPr>
          <w:spacing w:val="-51"/>
        </w:rPr>
        <w:t xml:space="preserve"> </w:t>
      </w:r>
      <w:r>
        <w:rPr>
          <w:rFonts w:ascii="Times New Roman" w:hAnsi="Times New Roman" w:eastAsia="Times New Roman" w:cs="Times New Roman"/>
          <w:spacing w:val="2"/>
        </w:rPr>
        <w:t>80.52</w:t>
      </w:r>
      <w:r>
        <w:rPr>
          <w:rFonts w:ascii="Times New Roman" w:hAnsi="Times New Roman" w:eastAsia="Times New Roman" w:cs="Times New Roman"/>
          <w:spacing w:val="24"/>
        </w:rPr>
        <w:t xml:space="preserve"> </w:t>
      </w:r>
      <w:r>
        <w:rPr>
          <w:spacing w:val="2"/>
        </w:rPr>
        <w:t>万元，该项目资金已全部落实到位</w:t>
      </w:r>
      <w:r>
        <w:rPr>
          <w:rFonts w:ascii="Times New Roman" w:hAnsi="Times New Roman" w:eastAsia="Times New Roman" w:cs="Times New Roman"/>
          <w:spacing w:val="2"/>
        </w:rPr>
        <w:t>,</w:t>
      </w:r>
      <w:r>
        <w:rPr>
          <w:rFonts w:ascii="Times New Roman" w:hAnsi="Times New Roman" w:eastAsia="Times New Roman" w:cs="Times New Roman"/>
          <w:spacing w:val="-41"/>
        </w:rPr>
        <w:t xml:space="preserve"> </w:t>
      </w:r>
      <w:r>
        <w:rPr>
          <w:spacing w:val="2"/>
        </w:rPr>
        <w:t>资金来源</w:t>
      </w:r>
      <w:r>
        <w:rPr>
          <w:spacing w:val="4"/>
        </w:rPr>
        <w:t>为财政拨款资金。</w:t>
      </w:r>
    </w:p>
    <w:p w14:paraId="494384CB">
      <w:pPr>
        <w:pStyle w:val="2"/>
        <w:spacing w:before="1" w:line="227" w:lineRule="auto"/>
        <w:ind w:left="680"/>
        <w:outlineLvl w:val="0"/>
      </w:pPr>
      <w:r>
        <w:rPr>
          <w:spacing w:val="6"/>
        </w:rPr>
        <w:t>（</w:t>
      </w:r>
      <w:r>
        <w:rPr>
          <w:rFonts w:ascii="Times New Roman" w:hAnsi="Times New Roman" w:eastAsia="Times New Roman" w:cs="Times New Roman"/>
          <w:spacing w:val="6"/>
        </w:rPr>
        <w:t>2</w:t>
      </w:r>
      <w:r>
        <w:rPr>
          <w:spacing w:val="6"/>
        </w:rPr>
        <w:t>）资金使用情况</w:t>
      </w:r>
    </w:p>
    <w:p w14:paraId="07D79B47">
      <w:pPr>
        <w:pStyle w:val="2"/>
        <w:spacing w:before="187" w:line="334" w:lineRule="auto"/>
        <w:ind w:left="34" w:right="86" w:firstLine="641"/>
        <w:jc w:val="both"/>
      </w:pPr>
      <w:r>
        <w:rPr>
          <w:spacing w:val="2"/>
        </w:rPr>
        <w:t>截至</w:t>
      </w:r>
      <w:r>
        <w:rPr>
          <w:spacing w:val="-62"/>
        </w:rPr>
        <w:t xml:space="preserve"> </w:t>
      </w:r>
      <w:r>
        <w:rPr>
          <w:rFonts w:ascii="Times New Roman" w:hAnsi="Times New Roman" w:eastAsia="Times New Roman" w:cs="Times New Roman"/>
          <w:spacing w:val="2"/>
        </w:rPr>
        <w:t>2024</w:t>
      </w:r>
      <w:r>
        <w:rPr>
          <w:rFonts w:ascii="Times New Roman" w:hAnsi="Times New Roman" w:eastAsia="Times New Roman" w:cs="Times New Roman"/>
          <w:spacing w:val="38"/>
        </w:rPr>
        <w:t xml:space="preserve"> </w:t>
      </w:r>
      <w:r>
        <w:rPr>
          <w:spacing w:val="2"/>
        </w:rPr>
        <w:t>年</w:t>
      </w:r>
      <w:r>
        <w:rPr>
          <w:spacing w:val="-29"/>
        </w:rPr>
        <w:t xml:space="preserve"> </w:t>
      </w:r>
      <w:r>
        <w:rPr>
          <w:rFonts w:ascii="Times New Roman" w:hAnsi="Times New Roman" w:eastAsia="Times New Roman" w:cs="Times New Roman"/>
          <w:spacing w:val="2"/>
        </w:rPr>
        <w:t>12</w:t>
      </w:r>
      <w:r>
        <w:rPr>
          <w:rFonts w:ascii="Times New Roman" w:hAnsi="Times New Roman" w:eastAsia="Times New Roman" w:cs="Times New Roman"/>
          <w:spacing w:val="46"/>
          <w:w w:val="101"/>
        </w:rPr>
        <w:t xml:space="preserve"> </w:t>
      </w:r>
      <w:r>
        <w:rPr>
          <w:spacing w:val="2"/>
        </w:rPr>
        <w:t>月</w:t>
      </w:r>
      <w:r>
        <w:rPr>
          <w:spacing w:val="-53"/>
        </w:rPr>
        <w:t xml:space="preserve"> </w:t>
      </w:r>
      <w:r>
        <w:rPr>
          <w:rFonts w:ascii="Times New Roman" w:hAnsi="Times New Roman" w:eastAsia="Times New Roman" w:cs="Times New Roman"/>
          <w:spacing w:val="2"/>
        </w:rPr>
        <w:t xml:space="preserve">31  </w:t>
      </w:r>
      <w:r>
        <w:rPr>
          <w:spacing w:val="2"/>
        </w:rPr>
        <w:t>日，该项目</w:t>
      </w:r>
      <w:r>
        <w:rPr>
          <w:spacing w:val="1"/>
        </w:rPr>
        <w:t>到位</w:t>
      </w:r>
      <w:r>
        <w:rPr>
          <w:spacing w:val="-47"/>
        </w:rPr>
        <w:t xml:space="preserve"> </w:t>
      </w:r>
      <w:r>
        <w:rPr>
          <w:rFonts w:ascii="Times New Roman" w:hAnsi="Times New Roman" w:eastAsia="Times New Roman" w:cs="Times New Roman"/>
          <w:spacing w:val="1"/>
        </w:rPr>
        <w:t>80.52</w:t>
      </w:r>
      <w:r>
        <w:rPr>
          <w:rFonts w:ascii="Times New Roman" w:hAnsi="Times New Roman" w:eastAsia="Times New Roman" w:cs="Times New Roman"/>
          <w:spacing w:val="34"/>
        </w:rPr>
        <w:t xml:space="preserve"> </w:t>
      </w:r>
      <w:r>
        <w:rPr>
          <w:spacing w:val="1"/>
        </w:rPr>
        <w:t>万元，全年</w:t>
      </w:r>
      <w:r>
        <w:rPr>
          <w:spacing w:val="7"/>
        </w:rPr>
        <w:t>执行数</w:t>
      </w:r>
      <w:r>
        <w:rPr>
          <w:spacing w:val="-49"/>
        </w:rPr>
        <w:t xml:space="preserve"> </w:t>
      </w:r>
      <w:r>
        <w:rPr>
          <w:rFonts w:ascii="Times New Roman" w:hAnsi="Times New Roman" w:eastAsia="Times New Roman" w:cs="Times New Roman"/>
          <w:spacing w:val="7"/>
        </w:rPr>
        <w:t>80.52</w:t>
      </w:r>
      <w:r>
        <w:rPr>
          <w:rFonts w:ascii="Times New Roman" w:hAnsi="Times New Roman" w:eastAsia="Times New Roman" w:cs="Times New Roman"/>
          <w:spacing w:val="31"/>
        </w:rPr>
        <w:t xml:space="preserve"> </w:t>
      </w:r>
      <w:r>
        <w:rPr>
          <w:spacing w:val="7"/>
        </w:rPr>
        <w:t>万元，预算执行率为</w:t>
      </w:r>
      <w:r>
        <w:rPr>
          <w:spacing w:val="-31"/>
        </w:rPr>
        <w:t xml:space="preserve"> </w:t>
      </w:r>
      <w:r>
        <w:rPr>
          <w:rFonts w:ascii="Times New Roman" w:hAnsi="Times New Roman" w:eastAsia="Times New Roman" w:cs="Times New Roman"/>
          <w:spacing w:val="7"/>
        </w:rPr>
        <w:t>100%</w:t>
      </w:r>
      <w:r>
        <w:rPr>
          <w:rFonts w:ascii="Times New Roman" w:hAnsi="Times New Roman" w:eastAsia="Times New Roman" w:cs="Times New Roman"/>
          <w:spacing w:val="-28"/>
        </w:rPr>
        <w:t xml:space="preserve"> </w:t>
      </w:r>
      <w:r>
        <w:rPr>
          <w:spacing w:val="7"/>
        </w:rPr>
        <w:t>，用于融媒</w:t>
      </w:r>
      <w:r>
        <w:rPr>
          <w:spacing w:val="6"/>
        </w:rPr>
        <w:t>体中心提</w:t>
      </w:r>
      <w:r>
        <w:rPr>
          <w:spacing w:val="7"/>
        </w:rPr>
        <w:t>升改造，设备采购支出。</w:t>
      </w:r>
    </w:p>
    <w:p w14:paraId="41260F68">
      <w:pPr>
        <w:spacing w:line="334" w:lineRule="auto"/>
        <w:sectPr>
          <w:footerReference r:id="rId5" w:type="default"/>
          <w:pgSz w:w="11906" w:h="16839"/>
          <w:pgMar w:top="1431" w:right="1473" w:bottom="1377" w:left="1785" w:header="0" w:footer="1212" w:gutter="0"/>
          <w:cols w:space="720" w:num="1"/>
        </w:sectPr>
      </w:pPr>
    </w:p>
    <w:p w14:paraId="3FF924AA">
      <w:pPr>
        <w:spacing w:before="184" w:line="232" w:lineRule="auto"/>
        <w:ind w:left="692"/>
        <w:rPr>
          <w:rFonts w:ascii="楷体" w:hAnsi="楷体" w:eastAsia="楷体" w:cs="楷体"/>
          <w:sz w:val="31"/>
          <w:szCs w:val="31"/>
        </w:rPr>
      </w:pPr>
      <w:r>
        <w:rPr>
          <w:rFonts w:ascii="楷体" w:hAnsi="楷体" w:eastAsia="楷体" w:cs="楷体"/>
          <w:b/>
          <w:bCs/>
          <w:spacing w:val="3"/>
          <w:sz w:val="31"/>
          <w:szCs w:val="31"/>
        </w:rPr>
        <w:t>（二）项目绩效目标</w:t>
      </w:r>
    </w:p>
    <w:p w14:paraId="216A6B2F">
      <w:pPr>
        <w:pStyle w:val="2"/>
        <w:spacing w:before="169" w:line="228" w:lineRule="auto"/>
        <w:ind w:left="692"/>
      </w:pPr>
      <w:r>
        <w:rPr>
          <w:rFonts w:ascii="Times New Roman" w:hAnsi="Times New Roman" w:eastAsia="Times New Roman" w:cs="Times New Roman"/>
          <w:spacing w:val="-5"/>
        </w:rPr>
        <w:t>1</w:t>
      </w:r>
      <w:r>
        <w:rPr>
          <w:rFonts w:ascii="Times New Roman" w:hAnsi="Times New Roman" w:eastAsia="Times New Roman" w:cs="Times New Roman"/>
          <w:b/>
          <w:bCs/>
          <w:spacing w:val="-5"/>
        </w:rPr>
        <w:t>.</w:t>
      </w:r>
      <w:r>
        <w:rPr>
          <w:rFonts w:ascii="Times New Roman" w:hAnsi="Times New Roman" w:eastAsia="Times New Roman" w:cs="Times New Roman"/>
          <w:b/>
          <w:bCs/>
          <w:spacing w:val="-40"/>
        </w:rPr>
        <w:t xml:space="preserve"> </w:t>
      </w:r>
      <w:r>
        <w:rPr>
          <w:spacing w:val="-5"/>
        </w:rPr>
        <w:t>总体目标</w:t>
      </w:r>
    </w:p>
    <w:p w14:paraId="6EE9F36B">
      <w:pPr>
        <w:spacing w:line="304" w:lineRule="auto"/>
        <w:rPr>
          <w:rFonts w:ascii="Arial"/>
          <w:sz w:val="21"/>
        </w:rPr>
      </w:pPr>
    </w:p>
    <w:p w14:paraId="232DE96F">
      <w:pPr>
        <w:spacing w:line="304" w:lineRule="auto"/>
        <w:rPr>
          <w:rFonts w:ascii="Arial"/>
          <w:sz w:val="21"/>
        </w:rPr>
      </w:pPr>
    </w:p>
    <w:p w14:paraId="1DBF1D3F">
      <w:pPr>
        <w:pStyle w:val="2"/>
        <w:spacing w:before="101" w:line="372" w:lineRule="auto"/>
        <w:ind w:left="34" w:right="102"/>
        <w:jc w:val="both"/>
      </w:pPr>
      <w:r>
        <w:rPr>
          <w:spacing w:val="6"/>
        </w:rPr>
        <w:t>托里县融媒体中心配套设备采购、安装及装修改</w:t>
      </w:r>
      <w:r>
        <w:rPr>
          <w:spacing w:val="5"/>
        </w:rPr>
        <w:t>造工程项目资</w:t>
      </w:r>
      <w:r>
        <w:rPr>
          <w:spacing w:val="2"/>
        </w:rPr>
        <w:t>金</w:t>
      </w:r>
      <w:r>
        <w:rPr>
          <w:spacing w:val="-53"/>
        </w:rPr>
        <w:t xml:space="preserve"> </w:t>
      </w:r>
      <w:r>
        <w:rPr>
          <w:rFonts w:ascii="Times New Roman" w:hAnsi="Times New Roman" w:eastAsia="Times New Roman" w:cs="Times New Roman"/>
          <w:spacing w:val="2"/>
        </w:rPr>
        <w:t>55.52</w:t>
      </w:r>
      <w:r>
        <w:rPr>
          <w:rFonts w:ascii="Times New Roman" w:hAnsi="Times New Roman" w:eastAsia="Times New Roman" w:cs="Times New Roman"/>
          <w:spacing w:val="27"/>
        </w:rPr>
        <w:t xml:space="preserve"> </w:t>
      </w:r>
      <w:r>
        <w:rPr>
          <w:spacing w:val="2"/>
        </w:rPr>
        <w:t>万元，融媒体中心配套设备采购及安装</w:t>
      </w:r>
      <w:r>
        <w:rPr>
          <w:spacing w:val="-61"/>
        </w:rPr>
        <w:t xml:space="preserve"> </w:t>
      </w:r>
      <w:r>
        <w:rPr>
          <w:rFonts w:ascii="Times New Roman" w:hAnsi="Times New Roman" w:eastAsia="Times New Roman" w:cs="Times New Roman"/>
          <w:spacing w:val="2"/>
        </w:rPr>
        <w:t>9.09</w:t>
      </w:r>
      <w:r>
        <w:rPr>
          <w:rFonts w:ascii="Times New Roman" w:hAnsi="Times New Roman" w:eastAsia="Times New Roman" w:cs="Times New Roman"/>
          <w:spacing w:val="25"/>
        </w:rPr>
        <w:t xml:space="preserve"> </w:t>
      </w:r>
      <w:r>
        <w:rPr>
          <w:spacing w:val="2"/>
        </w:rPr>
        <w:t>万元，装</w:t>
      </w:r>
      <w:r>
        <w:rPr>
          <w:spacing w:val="7"/>
        </w:rPr>
        <w:t>修改造工程项目</w:t>
      </w:r>
      <w:r>
        <w:rPr>
          <w:spacing w:val="-68"/>
        </w:rPr>
        <w:t xml:space="preserve"> </w:t>
      </w:r>
      <w:r>
        <w:rPr>
          <w:rFonts w:ascii="Times New Roman" w:hAnsi="Times New Roman" w:eastAsia="Times New Roman" w:cs="Times New Roman"/>
          <w:spacing w:val="7"/>
        </w:rPr>
        <w:t>46.43</w:t>
      </w:r>
      <w:r>
        <w:rPr>
          <w:rFonts w:ascii="Times New Roman" w:hAnsi="Times New Roman" w:eastAsia="Times New Roman" w:cs="Times New Roman"/>
          <w:spacing w:val="27"/>
        </w:rPr>
        <w:t xml:space="preserve"> </w:t>
      </w:r>
      <w:r>
        <w:rPr>
          <w:spacing w:val="7"/>
        </w:rPr>
        <w:t>万元，通过项目的实施，有</w:t>
      </w:r>
      <w:r>
        <w:rPr>
          <w:spacing w:val="6"/>
        </w:rPr>
        <w:t>效提升政府</w:t>
      </w:r>
      <w:r>
        <w:rPr>
          <w:spacing w:val="8"/>
        </w:rPr>
        <w:t>公信力，有效降低政府债务风险，债权人满意度达到</w:t>
      </w:r>
      <w:r>
        <w:rPr>
          <w:spacing w:val="-61"/>
        </w:rPr>
        <w:t xml:space="preserve"> </w:t>
      </w:r>
      <w:r>
        <w:rPr>
          <w:rFonts w:ascii="Times New Roman" w:hAnsi="Times New Roman" w:eastAsia="Times New Roman" w:cs="Times New Roman"/>
          <w:spacing w:val="8"/>
        </w:rPr>
        <w:t>9</w:t>
      </w:r>
      <w:r>
        <w:rPr>
          <w:rFonts w:ascii="Times New Roman" w:hAnsi="Times New Roman" w:eastAsia="Times New Roman" w:cs="Times New Roman"/>
          <w:spacing w:val="7"/>
        </w:rPr>
        <w:t>5%</w:t>
      </w:r>
      <w:r>
        <w:rPr>
          <w:spacing w:val="7"/>
        </w:rPr>
        <w:t>。</w:t>
      </w:r>
    </w:p>
    <w:p w14:paraId="3FA0DD3D">
      <w:pPr>
        <w:pStyle w:val="2"/>
        <w:spacing w:line="226" w:lineRule="auto"/>
        <w:ind w:left="661"/>
      </w:pPr>
      <w:r>
        <w:rPr>
          <w:rFonts w:ascii="Times New Roman" w:hAnsi="Times New Roman" w:eastAsia="Times New Roman" w:cs="Times New Roman"/>
        </w:rPr>
        <w:t>2</w:t>
      </w:r>
      <w:r>
        <w:rPr>
          <w:rFonts w:ascii="Times New Roman" w:hAnsi="Times New Roman" w:eastAsia="Times New Roman" w:cs="Times New Roman"/>
          <w:b/>
          <w:bCs/>
        </w:rPr>
        <w:t>.</w:t>
      </w:r>
      <w:r>
        <w:rPr>
          <w:rFonts w:ascii="Times New Roman" w:hAnsi="Times New Roman" w:eastAsia="Times New Roman" w:cs="Times New Roman"/>
          <w:b/>
          <w:bCs/>
          <w:spacing w:val="-30"/>
        </w:rPr>
        <w:t xml:space="preserve"> </w:t>
      </w:r>
      <w:r>
        <w:t>阶段性目标</w:t>
      </w:r>
    </w:p>
    <w:p w14:paraId="052444A3">
      <w:pPr>
        <w:pStyle w:val="2"/>
        <w:spacing w:before="268" w:line="280" w:lineRule="auto"/>
        <w:ind w:left="38" w:firstLine="622"/>
        <w:outlineLvl w:val="0"/>
      </w:pPr>
      <w:r>
        <w:rPr>
          <w:rFonts w:ascii="Times New Roman" w:hAnsi="Times New Roman" w:eastAsia="Times New Roman" w:cs="Times New Roman"/>
          <w:spacing w:val="6"/>
        </w:rPr>
        <w:t xml:space="preserve">2024 </w:t>
      </w:r>
      <w:r>
        <w:rPr>
          <w:spacing w:val="6"/>
        </w:rPr>
        <w:t>年上半年预计完成托里县融媒体中心配套设备采购、</w:t>
      </w:r>
      <w:r>
        <w:rPr>
          <w:spacing w:val="5"/>
        </w:rPr>
        <w:t>安装及装修改造，围绕增强凝聚力，突出精神的培育，把凝聚</w:t>
      </w:r>
      <w:r>
        <w:rPr>
          <w:spacing w:val="12"/>
        </w:rPr>
        <w:t>人心，鼓舞斗志有效促进基层宣传工作。</w:t>
      </w:r>
      <w:r>
        <w:rPr>
          <w:rFonts w:ascii="Times New Roman" w:hAnsi="Times New Roman" w:eastAsia="Times New Roman" w:cs="Times New Roman"/>
          <w:spacing w:val="12"/>
        </w:rPr>
        <w:t>2024</w:t>
      </w:r>
      <w:r>
        <w:rPr>
          <w:rFonts w:ascii="Times New Roman" w:hAnsi="Times New Roman" w:eastAsia="Times New Roman" w:cs="Times New Roman"/>
          <w:spacing w:val="47"/>
          <w:w w:val="101"/>
        </w:rPr>
        <w:t xml:space="preserve"> </w:t>
      </w:r>
      <w:r>
        <w:rPr>
          <w:spacing w:val="12"/>
        </w:rPr>
        <w:t>年下半年完成</w:t>
      </w:r>
      <w:r>
        <w:rPr>
          <w:spacing w:val="8"/>
        </w:rPr>
        <w:t>直播录播设备采购安装，提升直播录播效率。</w:t>
      </w:r>
    </w:p>
    <w:p w14:paraId="3985A358">
      <w:pPr>
        <w:spacing w:line="451" w:lineRule="auto"/>
        <w:rPr>
          <w:rFonts w:ascii="Arial"/>
          <w:sz w:val="21"/>
        </w:rPr>
      </w:pPr>
    </w:p>
    <w:p w14:paraId="75BBFA95">
      <w:pPr>
        <w:spacing w:before="101" w:line="226" w:lineRule="auto"/>
        <w:ind w:left="672"/>
        <w:rPr>
          <w:rFonts w:ascii="黑体" w:hAnsi="黑体" w:eastAsia="黑体" w:cs="黑体"/>
          <w:sz w:val="31"/>
          <w:szCs w:val="31"/>
        </w:rPr>
      </w:pPr>
      <w:r>
        <w:rPr>
          <w:rFonts w:ascii="黑体" w:hAnsi="黑体" w:eastAsia="黑体" w:cs="黑体"/>
          <w:spacing w:val="8"/>
          <w:sz w:val="31"/>
          <w:szCs w:val="31"/>
        </w:rPr>
        <w:t>二、绩效评价工作开展情况</w:t>
      </w:r>
    </w:p>
    <w:p w14:paraId="671D72EF">
      <w:pPr>
        <w:spacing w:before="181" w:line="229" w:lineRule="auto"/>
        <w:ind w:left="692"/>
        <w:rPr>
          <w:rFonts w:ascii="楷体" w:hAnsi="楷体" w:eastAsia="楷体" w:cs="楷体"/>
          <w:sz w:val="31"/>
          <w:szCs w:val="31"/>
        </w:rPr>
      </w:pPr>
      <w:r>
        <w:rPr>
          <w:rFonts w:ascii="楷体" w:hAnsi="楷体" w:eastAsia="楷体" w:cs="楷体"/>
          <w:b/>
          <w:bCs/>
          <w:spacing w:val="5"/>
          <w:sz w:val="31"/>
          <w:szCs w:val="31"/>
        </w:rPr>
        <w:t>（一）绩效评价目的、对象和范围</w:t>
      </w:r>
    </w:p>
    <w:p w14:paraId="460C87DA">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评价结果的客观性和可追溯性。</w:t>
      </w:r>
    </w:p>
    <w:p w14:paraId="0C32B159">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F43FCF5">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99C2954">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90A2984">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2.绩效评价的目的据。</w:t>
      </w:r>
    </w:p>
    <w:p w14:paraId="737EF20A">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ab/>
      </w:r>
      <w:r>
        <w:rPr>
          <w:rFonts w:hint="eastAsia" w:ascii="仿宋" w:hAnsi="仿宋" w:eastAsia="仿宋" w:cs="仿宋"/>
          <w:snapToGrid w:val="0"/>
          <w:color w:val="000000"/>
          <w:spacing w:val="12"/>
          <w:kern w:val="0"/>
          <w:sz w:val="31"/>
          <w:szCs w:val="31"/>
          <w:lang w:val="en-US" w:eastAsia="en-US" w:bidi="ar-SA"/>
        </w:rPr>
        <w:t>（2）提升资源利用效率</w:t>
      </w:r>
    </w:p>
    <w:p w14:paraId="32BB68F9">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深入剖析项目预算资金的投入与产出关系，识别资金使用 过程中的冗余环节与低效领域，挖掘潜在的资源优化配置空间，推动项目在有限的预算资源下实现更高的绩效产出，提升整体 资源利用效率，确保财政资金的合理、高效运用。</w:t>
      </w:r>
    </w:p>
    <w:p w14:paraId="2029E618">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ab/>
      </w:r>
      <w:r>
        <w:rPr>
          <w:rFonts w:hint="eastAsia" w:ascii="仿宋" w:hAnsi="仿宋" w:eastAsia="仿宋" w:cs="仿宋"/>
          <w:snapToGrid w:val="0"/>
          <w:color w:val="000000"/>
          <w:spacing w:val="12"/>
          <w:kern w:val="0"/>
          <w:sz w:val="31"/>
          <w:szCs w:val="31"/>
          <w:lang w:val="en-US" w:eastAsia="en-US" w:bidi="ar-SA"/>
        </w:rPr>
        <w:t>（3）强化项目管理责任</w:t>
      </w:r>
    </w:p>
    <w:p w14:paraId="6B391757">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3D0101B">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ab/>
      </w:r>
      <w:r>
        <w:rPr>
          <w:rFonts w:hint="eastAsia" w:ascii="仿宋" w:hAnsi="仿宋" w:eastAsia="仿宋" w:cs="仿宋"/>
          <w:snapToGrid w:val="0"/>
          <w:color w:val="000000"/>
          <w:spacing w:val="12"/>
          <w:kern w:val="0"/>
          <w:sz w:val="31"/>
          <w:szCs w:val="31"/>
          <w:lang w:val="en-US" w:eastAsia="en-US" w:bidi="ar-SA"/>
        </w:rPr>
        <w:t>（4）为决策提供支持</w:t>
      </w:r>
    </w:p>
    <w:p w14:paraId="6ACDD9AB">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E6AB3EE">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ab/>
      </w:r>
      <w:r>
        <w:rPr>
          <w:rFonts w:hint="eastAsia" w:ascii="仿宋" w:hAnsi="仿宋" w:eastAsia="仿宋" w:cs="仿宋"/>
          <w:snapToGrid w:val="0"/>
          <w:color w:val="000000"/>
          <w:spacing w:val="12"/>
          <w:kern w:val="0"/>
          <w:sz w:val="31"/>
          <w:szCs w:val="31"/>
          <w:lang w:val="en-US" w:eastAsia="en-US" w:bidi="ar-SA"/>
        </w:rPr>
        <w:t>（5）促进项目持续改进</w:t>
      </w:r>
    </w:p>
    <w:p w14:paraId="0575FE56">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基于绩效评价发现的问题与不足，提出针对性的改进建议 与措施，引导项目团队聚焦关键环节，持续优化项目实施方案，加强过程监控与质量把控，形成项目绩效持续改进的良性循环，不断提升项目整体绩效水平，实现项目长期稳定发展的目标。</w:t>
      </w:r>
    </w:p>
    <w:p w14:paraId="69948BFE">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3.绩效评价的对象</w:t>
      </w:r>
    </w:p>
    <w:p w14:paraId="5F4C868C">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本项目预算绩效评价报告的评价对象是 2024 年中央补助地方公共文化服务体系建设补助资金项目及其预算执行情况。该项目由托里县融媒体中心负责实施， 旨在通过项目的实施，有效提升政府公信力，有效降低政府债务风险。深入乡镇、社区、村，进行采访拍摄制作短视频上报自治区统一发布，坚持宣传党的路线方针政策，以经济建设为中心，围绕增强凝聚力，突出精神的培育，把凝聚人心，鼓舞斗志有效促进基层宣传工作。项目预算涵盖从2024 年 1 月 1  日至[2024 年 12 月 31  日的全部资金投入与支出，涉及资金总额为 80.52 万元。</w:t>
      </w:r>
    </w:p>
    <w:p w14:paraId="473CF969">
      <w:pPr>
        <w:numPr>
          <w:ilvl w:val="0"/>
          <w:numId w:val="1"/>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绩效评价的范围</w:t>
      </w:r>
    </w:p>
    <w:p w14:paraId="0DC62CB0">
      <w:pPr>
        <w:numPr>
          <w:ilvl w:val="0"/>
          <w:numId w:val="0"/>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本项目预算绩效评价报告的评价范围广泛而全面，涵盖了从项目立项至评价时点期间的所有关键预算活动和财务流程。具体而言，评价范围包括但不限于以下几个方面：</w:t>
      </w:r>
    </w:p>
    <w:p w14:paraId="3618E243">
      <w:pPr>
        <w:numPr>
          <w:ilvl w:val="0"/>
          <w:numId w:val="0"/>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（1）项目预算编制与执行：全面审视项目预算的编制依据、合理性、科学性以及实际执行情况，包括预算调整的原因和效果。</w:t>
      </w:r>
    </w:p>
    <w:p w14:paraId="18EDEC03">
      <w:pPr>
        <w:numPr>
          <w:ilvl w:val="0"/>
          <w:numId w:val="0"/>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（2）资金管理：深入分析项目资金的分配、使用和监管情况，确保资金使用的合规性、高效性和透明度。</w:t>
      </w:r>
    </w:p>
    <w:p w14:paraId="7634717F">
      <w:pPr>
        <w:spacing w:before="175" w:line="228" w:lineRule="auto"/>
        <w:jc w:val="right"/>
        <w:rPr>
          <w:rFonts w:ascii="仿宋" w:hAnsi="仿宋" w:eastAsia="仿宋" w:cs="仿宋"/>
          <w:sz w:val="31"/>
          <w:szCs w:val="31"/>
        </w:rPr>
      </w:pPr>
      <w:r>
        <w:rPr>
          <w:rFonts w:hint="eastAsia" w:ascii="仿宋" w:hAnsi="仿宋" w:eastAsia="仿宋" w:cs="仿宋"/>
          <w:snapToGrid w:val="0"/>
          <w:color w:val="000000"/>
          <w:spacing w:val="12"/>
          <w:kern w:val="0"/>
          <w:sz w:val="31"/>
          <w:szCs w:val="31"/>
          <w:lang w:val="en-US" w:eastAsia="en-US" w:bidi="ar-SA"/>
        </w:rPr>
        <w:t>（3）项目实施进度与产出：评估项目是否按照既定计划</w:t>
      </w:r>
      <w:r>
        <w:rPr>
          <w:rFonts w:ascii="仿宋" w:hAnsi="仿宋" w:eastAsia="仿宋" w:cs="仿宋"/>
          <w:spacing w:val="5"/>
          <w:sz w:val="31"/>
          <w:szCs w:val="31"/>
        </w:rPr>
        <w:t>顺利推进，各项任务是否按时完成，以及项目产出的数量、质</w:t>
      </w:r>
    </w:p>
    <w:p w14:paraId="628BAEE0">
      <w:pPr>
        <w:numPr>
          <w:ilvl w:val="0"/>
          <w:numId w:val="0"/>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量和时效性是否符合预期。</w:t>
      </w:r>
    </w:p>
    <w:p w14:paraId="49051D40">
      <w:pPr>
        <w:numPr>
          <w:ilvl w:val="0"/>
          <w:numId w:val="0"/>
        </w:num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（4）社会影响：考察项目对社会方面的综合影响。</w:t>
      </w:r>
    </w:p>
    <w:p w14:paraId="4DF129A6">
      <w:pPr>
        <w:spacing w:before="175" w:line="332" w:lineRule="auto"/>
        <w:ind w:left="20" w:right="107" w:firstLine="672"/>
        <w:rPr>
          <w:rFonts w:ascii="楷体" w:hAnsi="楷体" w:eastAsia="楷体" w:cs="楷体"/>
          <w:sz w:val="31"/>
          <w:szCs w:val="31"/>
        </w:rPr>
      </w:pPr>
      <w:r>
        <w:rPr>
          <w:rFonts w:ascii="楷体" w:hAnsi="楷体" w:eastAsia="楷体" w:cs="楷体"/>
          <w:b/>
          <w:bCs/>
          <w:spacing w:val="3"/>
          <w:sz w:val="31"/>
          <w:szCs w:val="31"/>
        </w:rPr>
        <w:t>（二）绩效评价原则、评价指标体系（详情见表</w:t>
      </w:r>
      <w:r>
        <w:rPr>
          <w:rFonts w:ascii="楷体" w:hAnsi="楷体" w:eastAsia="楷体" w:cs="楷体"/>
          <w:spacing w:val="-40"/>
          <w:sz w:val="31"/>
          <w:szCs w:val="31"/>
        </w:rPr>
        <w:t xml:space="preserve"> </w:t>
      </w:r>
      <w:r>
        <w:rPr>
          <w:rFonts w:ascii="Times New Roman" w:hAnsi="Times New Roman" w:eastAsia="Times New Roman" w:cs="Times New Roman"/>
          <w:b/>
          <w:bCs/>
          <w:spacing w:val="3"/>
          <w:sz w:val="31"/>
          <w:szCs w:val="31"/>
        </w:rPr>
        <w:t>1</w:t>
      </w:r>
      <w:r>
        <w:rPr>
          <w:rFonts w:ascii="楷体" w:hAnsi="楷体" w:eastAsia="楷体" w:cs="楷体"/>
          <w:b/>
          <w:bCs/>
          <w:spacing w:val="3"/>
          <w:sz w:val="31"/>
          <w:szCs w:val="31"/>
        </w:rPr>
        <w:t>）、评</w:t>
      </w:r>
      <w:r>
        <w:rPr>
          <w:rFonts w:ascii="楷体" w:hAnsi="楷体" w:eastAsia="楷体" w:cs="楷体"/>
          <w:b/>
          <w:bCs/>
          <w:spacing w:val="5"/>
          <w:sz w:val="31"/>
          <w:szCs w:val="31"/>
        </w:rPr>
        <w:t>价方法、评价标准。</w:t>
      </w:r>
    </w:p>
    <w:p w14:paraId="49F6B261">
      <w:pPr>
        <w:pStyle w:val="2"/>
        <w:spacing w:before="3" w:line="228" w:lineRule="auto"/>
        <w:ind w:left="692"/>
      </w:pPr>
      <w:r>
        <w:rPr>
          <w:rFonts w:ascii="Times New Roman" w:hAnsi="Times New Roman" w:eastAsia="Times New Roman" w:cs="Times New Roman"/>
          <w:spacing w:val="3"/>
        </w:rPr>
        <w:t>1</w:t>
      </w:r>
      <w:r>
        <w:rPr>
          <w:rFonts w:ascii="Times New Roman" w:hAnsi="Times New Roman" w:eastAsia="Times New Roman" w:cs="Times New Roman"/>
          <w:b/>
          <w:bCs/>
          <w:spacing w:val="3"/>
        </w:rPr>
        <w:t>.</w:t>
      </w:r>
      <w:r>
        <w:rPr>
          <w:spacing w:val="3"/>
        </w:rPr>
        <w:t>绩效评价原则</w:t>
      </w:r>
    </w:p>
    <w:p w14:paraId="21472698">
      <w:pPr>
        <w:pStyle w:val="2"/>
        <w:spacing w:before="178" w:line="228" w:lineRule="auto"/>
        <w:ind w:left="677"/>
      </w:pPr>
      <w:r>
        <w:rPr>
          <w:spacing w:val="8"/>
        </w:rPr>
        <w:t>本次项目绩效评价遵循以下基本原则：</w:t>
      </w:r>
    </w:p>
    <w:p w14:paraId="50F3CFC2">
      <w:pPr>
        <w:pStyle w:val="2"/>
        <w:spacing w:before="176" w:line="280" w:lineRule="auto"/>
        <w:ind w:left="42" w:right="105" w:firstLine="637"/>
      </w:pPr>
      <w:r>
        <w:rPr>
          <w:spacing w:val="11"/>
        </w:rPr>
        <w:t>（</w:t>
      </w:r>
      <w:r>
        <w:rPr>
          <w:rFonts w:ascii="Times New Roman" w:hAnsi="Times New Roman" w:eastAsia="Times New Roman" w:cs="Times New Roman"/>
          <w:spacing w:val="11"/>
        </w:rPr>
        <w:t>1</w:t>
      </w:r>
      <w:r>
        <w:rPr>
          <w:spacing w:val="11"/>
        </w:rPr>
        <w:t>）科学公正。绩效评价应当运用科学合理的方法，按</w:t>
      </w:r>
      <w:r>
        <w:rPr>
          <w:spacing w:val="8"/>
        </w:rPr>
        <w:t>照规范的程序，对项目绩效进行客观、公正的反映。</w:t>
      </w:r>
    </w:p>
    <w:p w14:paraId="60867BEE">
      <w:pPr>
        <w:pStyle w:val="2"/>
        <w:spacing w:before="182" w:line="307" w:lineRule="auto"/>
        <w:ind w:left="34" w:right="14" w:firstLine="646"/>
      </w:pPr>
      <w:r>
        <w:rPr>
          <w:spacing w:val="11"/>
        </w:rPr>
        <w:t>（</w:t>
      </w:r>
      <w:r>
        <w:rPr>
          <w:rFonts w:ascii="Times New Roman" w:hAnsi="Times New Roman" w:eastAsia="Times New Roman" w:cs="Times New Roman"/>
          <w:spacing w:val="11"/>
        </w:rPr>
        <w:t>2</w:t>
      </w:r>
      <w:r>
        <w:rPr>
          <w:spacing w:val="11"/>
        </w:rPr>
        <w:t>）统筹兼顾。单位自评、部门评价和财政评价应职责</w:t>
      </w:r>
      <w:r>
        <w:rPr>
          <w:spacing w:val="-2"/>
        </w:rPr>
        <w:t>明确，各有侧重，相互衔接。单位自评应由</w:t>
      </w:r>
      <w:r>
        <w:rPr>
          <w:spacing w:val="-3"/>
        </w:rPr>
        <w:t>项目单位自主实施，</w:t>
      </w:r>
      <w:r>
        <w:rPr>
          <w:spacing w:val="5"/>
        </w:rPr>
        <w:t>即</w:t>
      </w:r>
      <w:r>
        <w:rPr>
          <w:rFonts w:ascii="Times New Roman" w:hAnsi="Times New Roman" w:eastAsia="Times New Roman" w:cs="Times New Roman"/>
          <w:spacing w:val="5"/>
        </w:rPr>
        <w:t>“</w:t>
      </w:r>
      <w:r>
        <w:rPr>
          <w:spacing w:val="5"/>
        </w:rPr>
        <w:t>谁支出、谁自评</w:t>
      </w:r>
      <w:r>
        <w:rPr>
          <w:rFonts w:ascii="Times New Roman" w:hAnsi="Times New Roman" w:eastAsia="Times New Roman" w:cs="Times New Roman"/>
          <w:spacing w:val="5"/>
        </w:rPr>
        <w:t>”</w:t>
      </w:r>
      <w:r>
        <w:rPr>
          <w:rFonts w:ascii="Times New Roman" w:hAnsi="Times New Roman" w:eastAsia="Times New Roman" w:cs="Times New Roman"/>
          <w:spacing w:val="-28"/>
        </w:rPr>
        <w:t xml:space="preserve"> </w:t>
      </w:r>
      <w:r>
        <w:rPr>
          <w:spacing w:val="5"/>
        </w:rPr>
        <w:t>。部门评价和财政评价应在单位自评的基</w:t>
      </w:r>
      <w:r>
        <w:rPr>
          <w:spacing w:val="3"/>
        </w:rPr>
        <w:t>础上开展。</w:t>
      </w:r>
    </w:p>
    <w:p w14:paraId="44F9581F">
      <w:pPr>
        <w:pStyle w:val="2"/>
        <w:spacing w:before="178" w:line="298" w:lineRule="auto"/>
        <w:ind w:left="38" w:firstLine="641"/>
      </w:pPr>
      <w:r>
        <w:rPr>
          <w:spacing w:val="3"/>
        </w:rPr>
        <w:t>（</w:t>
      </w:r>
      <w:r>
        <w:rPr>
          <w:rFonts w:ascii="Times New Roman" w:hAnsi="Times New Roman" w:eastAsia="Times New Roman" w:cs="Times New Roman"/>
          <w:spacing w:val="3"/>
        </w:rPr>
        <w:t>3</w:t>
      </w:r>
      <w:r>
        <w:rPr>
          <w:spacing w:val="3"/>
        </w:rPr>
        <w:t>）激励约束。绩效评价结果应与预算安排、政策调整、</w:t>
      </w:r>
      <w:r>
        <w:rPr>
          <w:spacing w:val="5"/>
        </w:rPr>
        <w:t>改进管理实质性挂钩，体现奖优罚劣和激励相容导向，有效要</w:t>
      </w:r>
      <w:r>
        <w:rPr>
          <w:spacing w:val="7"/>
        </w:rPr>
        <w:t>安排、低效要压减、无效要问责。</w:t>
      </w:r>
    </w:p>
    <w:p w14:paraId="28EBE22F">
      <w:pPr>
        <w:pStyle w:val="2"/>
        <w:spacing w:before="176" w:line="281" w:lineRule="auto"/>
        <w:ind w:left="36" w:right="105" w:firstLine="644"/>
      </w:pPr>
      <w:r>
        <w:rPr>
          <w:spacing w:val="11"/>
        </w:rPr>
        <w:t>（</w:t>
      </w:r>
      <w:r>
        <w:rPr>
          <w:rFonts w:ascii="Times New Roman" w:hAnsi="Times New Roman" w:eastAsia="Times New Roman" w:cs="Times New Roman"/>
          <w:spacing w:val="11"/>
        </w:rPr>
        <w:t>4</w:t>
      </w:r>
      <w:r>
        <w:rPr>
          <w:spacing w:val="11"/>
        </w:rPr>
        <w:t>）公开透明。绩效评价结果应依法依规公开，并自觉</w:t>
      </w:r>
      <w:r>
        <w:rPr>
          <w:spacing w:val="5"/>
        </w:rPr>
        <w:t>接受社会监督。</w:t>
      </w:r>
    </w:p>
    <w:p w14:paraId="58018A86">
      <w:pPr>
        <w:pStyle w:val="2"/>
        <w:spacing w:before="178" w:line="228" w:lineRule="auto"/>
        <w:ind w:left="661"/>
      </w:pPr>
      <w:r>
        <w:rPr>
          <w:rFonts w:ascii="Times New Roman" w:hAnsi="Times New Roman" w:eastAsia="Times New Roman" w:cs="Times New Roman"/>
          <w:spacing w:val="7"/>
        </w:rPr>
        <w:t>2</w:t>
      </w:r>
      <w:r>
        <w:rPr>
          <w:rFonts w:ascii="Times New Roman" w:hAnsi="Times New Roman" w:eastAsia="Times New Roman" w:cs="Times New Roman"/>
          <w:b/>
          <w:bCs/>
          <w:spacing w:val="7"/>
        </w:rPr>
        <w:t>.</w:t>
      </w:r>
      <w:r>
        <w:rPr>
          <w:spacing w:val="7"/>
        </w:rPr>
        <w:t>评价指标体系</w:t>
      </w:r>
    </w:p>
    <w:p w14:paraId="6610442F">
      <w:pPr>
        <w:pStyle w:val="2"/>
        <w:spacing w:before="179" w:line="333" w:lineRule="auto"/>
        <w:ind w:left="34" w:right="16" w:firstLine="714"/>
      </w:pPr>
      <w:r>
        <w:rPr>
          <w:spacing w:val="36"/>
        </w:rPr>
        <w:t>绩效评价框架是开展绩效评价的核心</w:t>
      </w:r>
      <w:r>
        <w:rPr>
          <w:spacing w:val="-58"/>
        </w:rPr>
        <w:t xml:space="preserve"> </w:t>
      </w:r>
      <w:r>
        <w:rPr>
          <w:spacing w:val="36"/>
        </w:rPr>
        <w:t>。</w:t>
      </w:r>
      <w:r>
        <w:rPr>
          <w:spacing w:val="-87"/>
        </w:rPr>
        <w:t xml:space="preserve"> </w:t>
      </w:r>
      <w:r>
        <w:rPr>
          <w:spacing w:val="36"/>
        </w:rPr>
        <w:t>绩效评价框</w:t>
      </w:r>
      <w:r>
        <w:rPr>
          <w:spacing w:val="25"/>
        </w:rPr>
        <w:t>架包括评价准则</w:t>
      </w:r>
      <w:r>
        <w:rPr>
          <w:spacing w:val="-76"/>
        </w:rPr>
        <w:t xml:space="preserve"> </w:t>
      </w:r>
      <w:r>
        <w:rPr>
          <w:spacing w:val="25"/>
        </w:rPr>
        <w:t>、关键评价问题</w:t>
      </w:r>
      <w:r>
        <w:rPr>
          <w:spacing w:val="-74"/>
        </w:rPr>
        <w:t xml:space="preserve"> </w:t>
      </w:r>
      <w:r>
        <w:rPr>
          <w:spacing w:val="25"/>
        </w:rPr>
        <w:t>、评价指标</w:t>
      </w:r>
      <w:r>
        <w:rPr>
          <w:spacing w:val="-74"/>
        </w:rPr>
        <w:t xml:space="preserve"> </w:t>
      </w:r>
      <w:r>
        <w:rPr>
          <w:spacing w:val="25"/>
        </w:rPr>
        <w:t>、数据</w:t>
      </w:r>
      <w:r>
        <w:rPr>
          <w:spacing w:val="24"/>
        </w:rPr>
        <w:t>来源、</w:t>
      </w:r>
      <w:r>
        <w:rPr>
          <w:spacing w:val="31"/>
        </w:rPr>
        <w:t>数据收集方法等</w:t>
      </w:r>
      <w:r>
        <w:rPr>
          <w:spacing w:val="-73"/>
        </w:rPr>
        <w:t xml:space="preserve"> </w:t>
      </w:r>
      <w:r>
        <w:rPr>
          <w:spacing w:val="31"/>
        </w:rPr>
        <w:t>。</w:t>
      </w:r>
      <w:r>
        <w:rPr>
          <w:spacing w:val="-92"/>
        </w:rPr>
        <w:t xml:space="preserve"> </w:t>
      </w:r>
      <w:r>
        <w:rPr>
          <w:spacing w:val="31"/>
        </w:rPr>
        <w:t>指标体系建立过程如下：</w:t>
      </w:r>
    </w:p>
    <w:p w14:paraId="323FC8A4">
      <w:pPr>
        <w:pStyle w:val="2"/>
        <w:spacing w:before="1" w:line="227" w:lineRule="auto"/>
        <w:ind w:left="747"/>
      </w:pPr>
      <w:r>
        <w:rPr>
          <w:spacing w:val="19"/>
        </w:rPr>
        <w:t>（</w:t>
      </w:r>
      <w:r>
        <w:rPr>
          <w:spacing w:val="-79"/>
        </w:rPr>
        <w:t xml:space="preserve"> </w:t>
      </w:r>
      <w:r>
        <w:rPr>
          <w:rFonts w:ascii="Times New Roman" w:hAnsi="Times New Roman" w:eastAsia="Times New Roman" w:cs="Times New Roman"/>
          <w:spacing w:val="19"/>
        </w:rPr>
        <w:t>1</w:t>
      </w:r>
      <w:r>
        <w:rPr>
          <w:rFonts w:ascii="Times New Roman" w:hAnsi="Times New Roman" w:eastAsia="Times New Roman" w:cs="Times New Roman"/>
          <w:spacing w:val="-13"/>
        </w:rPr>
        <w:t xml:space="preserve"> </w:t>
      </w:r>
      <w:r>
        <w:rPr>
          <w:spacing w:val="19"/>
        </w:rPr>
        <w:t>）确定评价指标</w:t>
      </w:r>
    </w:p>
    <w:p w14:paraId="0BDCBCA6">
      <w:pPr>
        <w:pStyle w:val="2"/>
        <w:spacing w:before="186" w:line="333" w:lineRule="auto"/>
        <w:ind w:left="36" w:right="29" w:hanging="1"/>
        <w:jc w:val="both"/>
      </w:pPr>
      <w:r>
        <w:rPr>
          <w:spacing w:val="30"/>
        </w:rPr>
        <w:t>采用层次分析法</w:t>
      </w:r>
      <w:r>
        <w:rPr>
          <w:spacing w:val="-71"/>
        </w:rPr>
        <w:t xml:space="preserve"> </w:t>
      </w:r>
      <w:r>
        <w:rPr>
          <w:spacing w:val="30"/>
        </w:rPr>
        <w:t>，</w:t>
      </w:r>
      <w:r>
        <w:rPr>
          <w:spacing w:val="-91"/>
        </w:rPr>
        <w:t xml:space="preserve"> </w:t>
      </w:r>
      <w:r>
        <w:rPr>
          <w:spacing w:val="30"/>
        </w:rPr>
        <w:t>建立评价指标体系</w:t>
      </w:r>
      <w:r>
        <w:rPr>
          <w:spacing w:val="-72"/>
        </w:rPr>
        <w:t xml:space="preserve"> </w:t>
      </w:r>
      <w:r>
        <w:rPr>
          <w:spacing w:val="30"/>
        </w:rPr>
        <w:t>。</w:t>
      </w:r>
      <w:r>
        <w:rPr>
          <w:spacing w:val="-87"/>
        </w:rPr>
        <w:t xml:space="preserve"> </w:t>
      </w:r>
      <w:r>
        <w:rPr>
          <w:spacing w:val="30"/>
        </w:rPr>
        <w:t>绩效评价将</w:t>
      </w:r>
      <w:r>
        <w:rPr>
          <w:spacing w:val="11"/>
        </w:rPr>
        <w:t>指标分为项</w:t>
      </w:r>
      <w:r>
        <w:rPr>
          <w:spacing w:val="-40"/>
        </w:rPr>
        <w:t xml:space="preserve"> </w:t>
      </w:r>
      <w:r>
        <w:rPr>
          <w:spacing w:val="11"/>
        </w:rPr>
        <w:t>目决策指标</w:t>
      </w:r>
      <w:r>
        <w:rPr>
          <w:spacing w:val="-74"/>
        </w:rPr>
        <w:t xml:space="preserve"> </w:t>
      </w:r>
      <w:r>
        <w:rPr>
          <w:spacing w:val="11"/>
        </w:rPr>
        <w:t>、项</w:t>
      </w:r>
      <w:r>
        <w:rPr>
          <w:spacing w:val="-44"/>
        </w:rPr>
        <w:t xml:space="preserve"> </w:t>
      </w:r>
      <w:r>
        <w:rPr>
          <w:spacing w:val="11"/>
        </w:rPr>
        <w:t>目过程指标</w:t>
      </w:r>
      <w:r>
        <w:rPr>
          <w:spacing w:val="-73"/>
        </w:rPr>
        <w:t xml:space="preserve"> </w:t>
      </w:r>
      <w:r>
        <w:rPr>
          <w:spacing w:val="11"/>
        </w:rPr>
        <w:t>、项</w:t>
      </w:r>
      <w:r>
        <w:rPr>
          <w:spacing w:val="-44"/>
        </w:rPr>
        <w:t xml:space="preserve"> </w:t>
      </w:r>
      <w:r>
        <w:rPr>
          <w:spacing w:val="11"/>
        </w:rPr>
        <w:t>目产</w:t>
      </w:r>
      <w:r>
        <w:rPr>
          <w:spacing w:val="-68"/>
        </w:rPr>
        <w:t xml:space="preserve"> </w:t>
      </w:r>
      <w:r>
        <w:rPr>
          <w:spacing w:val="11"/>
        </w:rPr>
        <w:t>出指标、</w:t>
      </w:r>
      <w:r>
        <w:rPr>
          <w:spacing w:val="22"/>
        </w:rPr>
        <w:t>项</w:t>
      </w:r>
      <w:r>
        <w:rPr>
          <w:spacing w:val="-31"/>
        </w:rPr>
        <w:t xml:space="preserve"> </w:t>
      </w:r>
      <w:r>
        <w:rPr>
          <w:spacing w:val="22"/>
        </w:rPr>
        <w:t>目</w:t>
      </w:r>
      <w:r>
        <w:rPr>
          <w:spacing w:val="-90"/>
        </w:rPr>
        <w:t xml:space="preserve"> </w:t>
      </w:r>
      <w:r>
        <w:rPr>
          <w:spacing w:val="22"/>
        </w:rPr>
        <w:t>效益指标四个维度</w:t>
      </w:r>
      <w:r>
        <w:rPr>
          <w:spacing w:val="-75"/>
        </w:rPr>
        <w:t xml:space="preserve"> </w:t>
      </w:r>
      <w:r>
        <w:rPr>
          <w:spacing w:val="22"/>
        </w:rPr>
        <w:t>，</w:t>
      </w:r>
      <w:r>
        <w:rPr>
          <w:spacing w:val="-80"/>
        </w:rPr>
        <w:t xml:space="preserve"> </w:t>
      </w:r>
      <w:r>
        <w:rPr>
          <w:spacing w:val="22"/>
        </w:rPr>
        <w:t>最终形成一个</w:t>
      </w:r>
      <w:r>
        <w:rPr>
          <w:spacing w:val="-55"/>
        </w:rPr>
        <w:t xml:space="preserve"> </w:t>
      </w:r>
      <w:r>
        <w:rPr>
          <w:spacing w:val="22"/>
        </w:rPr>
        <w:t>由</w:t>
      </w:r>
      <w:r>
        <w:rPr>
          <w:spacing w:val="-78"/>
        </w:rPr>
        <w:t xml:space="preserve"> </w:t>
      </w:r>
      <w:r>
        <w:rPr>
          <w:spacing w:val="22"/>
        </w:rPr>
        <w:t>多个相互联系</w:t>
      </w:r>
      <w:r>
        <w:rPr>
          <w:spacing w:val="39"/>
        </w:rPr>
        <w:t>的指标组成的多层次指标体系。</w:t>
      </w:r>
    </w:p>
    <w:p w14:paraId="4F87D589">
      <w:pPr>
        <w:pStyle w:val="2"/>
        <w:spacing w:line="228" w:lineRule="auto"/>
        <w:ind w:left="747"/>
      </w:pPr>
      <w:r>
        <w:rPr>
          <w:spacing w:val="20"/>
        </w:rPr>
        <w:t>（</w:t>
      </w:r>
      <w:r>
        <w:rPr>
          <w:rFonts w:ascii="Times New Roman" w:hAnsi="Times New Roman" w:eastAsia="Times New Roman" w:cs="Times New Roman"/>
          <w:spacing w:val="20"/>
        </w:rPr>
        <w:t>2</w:t>
      </w:r>
      <w:r>
        <w:rPr>
          <w:spacing w:val="20"/>
        </w:rPr>
        <w:t>）</w:t>
      </w:r>
      <w:r>
        <w:rPr>
          <w:spacing w:val="-72"/>
        </w:rPr>
        <w:t xml:space="preserve"> </w:t>
      </w:r>
      <w:r>
        <w:rPr>
          <w:spacing w:val="20"/>
        </w:rPr>
        <w:t>确定权重</w:t>
      </w:r>
    </w:p>
    <w:p w14:paraId="1B7FA78D">
      <w:pPr>
        <w:pStyle w:val="2"/>
        <w:spacing w:before="179" w:line="333" w:lineRule="auto"/>
        <w:ind w:left="20" w:right="152" w:firstLine="723"/>
      </w:pPr>
      <w:r>
        <w:rPr>
          <w:spacing w:val="28"/>
        </w:rPr>
        <w:t>确定各个指标相对于项</w:t>
      </w:r>
      <w:r>
        <w:rPr>
          <w:spacing w:val="-33"/>
        </w:rPr>
        <w:t xml:space="preserve"> </w:t>
      </w:r>
      <w:r>
        <w:rPr>
          <w:spacing w:val="28"/>
        </w:rPr>
        <w:t>目</w:t>
      </w:r>
      <w:r>
        <w:rPr>
          <w:spacing w:val="-82"/>
        </w:rPr>
        <w:t xml:space="preserve"> </w:t>
      </w:r>
      <w:r>
        <w:rPr>
          <w:spacing w:val="28"/>
        </w:rPr>
        <w:t>总体绩效的权重分值</w:t>
      </w:r>
      <w:r>
        <w:rPr>
          <w:spacing w:val="-71"/>
        </w:rPr>
        <w:t xml:space="preserve"> </w:t>
      </w:r>
      <w:r>
        <w:rPr>
          <w:spacing w:val="28"/>
        </w:rPr>
        <w:t>。</w:t>
      </w:r>
      <w:r>
        <w:rPr>
          <w:spacing w:val="-89"/>
        </w:rPr>
        <w:t xml:space="preserve"> </w:t>
      </w:r>
      <w:r>
        <w:rPr>
          <w:spacing w:val="28"/>
        </w:rPr>
        <w:t>在</w:t>
      </w:r>
      <w:r>
        <w:rPr>
          <w:spacing w:val="13"/>
        </w:rPr>
        <w:t>绩效评价指标体系</w:t>
      </w:r>
      <w:r>
        <w:rPr>
          <w:spacing w:val="-57"/>
        </w:rPr>
        <w:t xml:space="preserve"> </w:t>
      </w:r>
      <w:r>
        <w:rPr>
          <w:spacing w:val="13"/>
        </w:rPr>
        <w:t>中</w:t>
      </w:r>
      <w:r>
        <w:rPr>
          <w:spacing w:val="-77"/>
        </w:rPr>
        <w:t xml:space="preserve"> </w:t>
      </w:r>
      <w:r>
        <w:rPr>
          <w:spacing w:val="13"/>
        </w:rPr>
        <w:t>，项</w:t>
      </w:r>
      <w:r>
        <w:rPr>
          <w:spacing w:val="-44"/>
        </w:rPr>
        <w:t xml:space="preserve"> </w:t>
      </w:r>
      <w:r>
        <w:rPr>
          <w:spacing w:val="13"/>
        </w:rPr>
        <w:t>目决策权重为</w:t>
      </w:r>
      <w:r>
        <w:rPr>
          <w:spacing w:val="-26"/>
        </w:rPr>
        <w:t xml:space="preserve"> </w:t>
      </w:r>
      <w:r>
        <w:rPr>
          <w:rFonts w:ascii="Times New Roman" w:hAnsi="Times New Roman" w:eastAsia="Times New Roman" w:cs="Times New Roman"/>
          <w:spacing w:val="13"/>
        </w:rPr>
        <w:t>20</w:t>
      </w:r>
      <w:r>
        <w:rPr>
          <w:rFonts w:ascii="Times New Roman" w:hAnsi="Times New Roman" w:eastAsia="Times New Roman" w:cs="Times New Roman"/>
          <w:spacing w:val="57"/>
        </w:rPr>
        <w:t xml:space="preserve"> </w:t>
      </w:r>
      <w:r>
        <w:rPr>
          <w:spacing w:val="13"/>
        </w:rPr>
        <w:t>分</w:t>
      </w:r>
      <w:r>
        <w:rPr>
          <w:spacing w:val="-75"/>
        </w:rPr>
        <w:t xml:space="preserve"> </w:t>
      </w:r>
      <w:r>
        <w:rPr>
          <w:spacing w:val="13"/>
        </w:rPr>
        <w:t>，项</w:t>
      </w:r>
      <w:r>
        <w:rPr>
          <w:spacing w:val="-44"/>
        </w:rPr>
        <w:t xml:space="preserve"> </w:t>
      </w:r>
      <w:r>
        <w:rPr>
          <w:spacing w:val="13"/>
        </w:rPr>
        <w:t>目</w:t>
      </w:r>
      <w:r>
        <w:rPr>
          <w:spacing w:val="12"/>
        </w:rPr>
        <w:t>过程</w:t>
      </w:r>
      <w:r>
        <w:rPr>
          <w:spacing w:val="5"/>
        </w:rPr>
        <w:t>权重为</w:t>
      </w:r>
      <w:r>
        <w:rPr>
          <w:spacing w:val="-13"/>
        </w:rPr>
        <w:t xml:space="preserve"> </w:t>
      </w:r>
      <w:r>
        <w:rPr>
          <w:rFonts w:ascii="Times New Roman" w:hAnsi="Times New Roman" w:eastAsia="Times New Roman" w:cs="Times New Roman"/>
          <w:spacing w:val="5"/>
        </w:rPr>
        <w:t>20</w:t>
      </w:r>
      <w:r>
        <w:rPr>
          <w:rFonts w:ascii="Times New Roman" w:hAnsi="Times New Roman" w:eastAsia="Times New Roman" w:cs="Times New Roman"/>
          <w:spacing w:val="59"/>
        </w:rPr>
        <w:t xml:space="preserve"> </w:t>
      </w:r>
      <w:r>
        <w:rPr>
          <w:spacing w:val="5"/>
        </w:rPr>
        <w:t>分</w:t>
      </w:r>
      <w:r>
        <w:rPr>
          <w:spacing w:val="-78"/>
        </w:rPr>
        <w:t xml:space="preserve"> </w:t>
      </w:r>
      <w:r>
        <w:rPr>
          <w:spacing w:val="5"/>
        </w:rPr>
        <w:t>，</w:t>
      </w:r>
      <w:r>
        <w:rPr>
          <w:spacing w:val="-90"/>
        </w:rPr>
        <w:t xml:space="preserve"> </w:t>
      </w:r>
      <w:r>
        <w:rPr>
          <w:spacing w:val="5"/>
        </w:rPr>
        <w:t>项</w:t>
      </w:r>
      <w:r>
        <w:rPr>
          <w:spacing w:val="-44"/>
        </w:rPr>
        <w:t xml:space="preserve"> </w:t>
      </w:r>
      <w:r>
        <w:rPr>
          <w:spacing w:val="5"/>
        </w:rPr>
        <w:t>目产</w:t>
      </w:r>
      <w:r>
        <w:rPr>
          <w:spacing w:val="-68"/>
        </w:rPr>
        <w:t xml:space="preserve"> </w:t>
      </w:r>
      <w:r>
        <w:rPr>
          <w:spacing w:val="5"/>
        </w:rPr>
        <w:t>出权重为</w:t>
      </w:r>
      <w:r>
        <w:rPr>
          <w:spacing w:val="-27"/>
        </w:rPr>
        <w:t xml:space="preserve"> </w:t>
      </w:r>
      <w:r>
        <w:rPr>
          <w:rFonts w:ascii="Times New Roman" w:hAnsi="Times New Roman" w:eastAsia="Times New Roman" w:cs="Times New Roman"/>
          <w:spacing w:val="5"/>
        </w:rPr>
        <w:t>40</w:t>
      </w:r>
      <w:r>
        <w:rPr>
          <w:rFonts w:ascii="Times New Roman" w:hAnsi="Times New Roman" w:eastAsia="Times New Roman" w:cs="Times New Roman"/>
          <w:spacing w:val="57"/>
        </w:rPr>
        <w:t xml:space="preserve"> </w:t>
      </w:r>
      <w:r>
        <w:rPr>
          <w:spacing w:val="5"/>
        </w:rPr>
        <w:t>分</w:t>
      </w:r>
      <w:r>
        <w:rPr>
          <w:spacing w:val="-78"/>
        </w:rPr>
        <w:t xml:space="preserve"> </w:t>
      </w:r>
      <w:r>
        <w:rPr>
          <w:spacing w:val="5"/>
        </w:rPr>
        <w:t>，</w:t>
      </w:r>
      <w:r>
        <w:rPr>
          <w:spacing w:val="-90"/>
        </w:rPr>
        <w:t xml:space="preserve"> </w:t>
      </w:r>
      <w:r>
        <w:rPr>
          <w:spacing w:val="5"/>
        </w:rPr>
        <w:t>项</w:t>
      </w:r>
      <w:r>
        <w:rPr>
          <w:spacing w:val="-44"/>
        </w:rPr>
        <w:t xml:space="preserve"> </w:t>
      </w:r>
      <w:r>
        <w:rPr>
          <w:spacing w:val="5"/>
        </w:rPr>
        <w:t>目</w:t>
      </w:r>
      <w:r>
        <w:rPr>
          <w:spacing w:val="-92"/>
        </w:rPr>
        <w:t xml:space="preserve"> </w:t>
      </w:r>
      <w:r>
        <w:rPr>
          <w:spacing w:val="5"/>
        </w:rPr>
        <w:t>效益权重为</w:t>
      </w:r>
      <w:r>
        <w:rPr>
          <w:rFonts w:ascii="Times New Roman" w:hAnsi="Times New Roman" w:eastAsia="Times New Roman" w:cs="Times New Roman"/>
          <w:spacing w:val="8"/>
        </w:rPr>
        <w:t>20</w:t>
      </w:r>
      <w:r>
        <w:rPr>
          <w:rFonts w:ascii="Times New Roman" w:hAnsi="Times New Roman" w:eastAsia="Times New Roman" w:cs="Times New Roman"/>
          <w:spacing w:val="58"/>
        </w:rPr>
        <w:t xml:space="preserve"> </w:t>
      </w:r>
      <w:r>
        <w:rPr>
          <w:spacing w:val="8"/>
        </w:rPr>
        <w:t>分。</w:t>
      </w:r>
    </w:p>
    <w:p w14:paraId="335CBE01">
      <w:pPr>
        <w:pStyle w:val="2"/>
        <w:spacing w:before="1" w:line="227" w:lineRule="auto"/>
        <w:ind w:left="747"/>
      </w:pPr>
      <w:r>
        <w:rPr>
          <w:spacing w:val="27"/>
        </w:rPr>
        <w:t>（</w:t>
      </w:r>
      <w:r>
        <w:rPr>
          <w:rFonts w:ascii="Times New Roman" w:hAnsi="Times New Roman" w:eastAsia="Times New Roman" w:cs="Times New Roman"/>
          <w:spacing w:val="27"/>
        </w:rPr>
        <w:t>3</w:t>
      </w:r>
      <w:r>
        <w:rPr>
          <w:spacing w:val="27"/>
        </w:rPr>
        <w:t>）</w:t>
      </w:r>
      <w:r>
        <w:rPr>
          <w:spacing w:val="-71"/>
        </w:rPr>
        <w:t xml:space="preserve"> </w:t>
      </w:r>
      <w:r>
        <w:rPr>
          <w:spacing w:val="27"/>
        </w:rPr>
        <w:t>确定指标标准值</w:t>
      </w:r>
    </w:p>
    <w:p w14:paraId="3FCF5D47">
      <w:pPr>
        <w:pStyle w:val="2"/>
        <w:spacing w:before="180" w:line="333" w:lineRule="auto"/>
        <w:ind w:left="36" w:right="152" w:firstLine="706"/>
      </w:pPr>
      <w:r>
        <w:rPr>
          <w:spacing w:val="36"/>
        </w:rPr>
        <w:t>指标标准值是绩效评价指标的尺度</w:t>
      </w:r>
      <w:r>
        <w:rPr>
          <w:spacing w:val="-73"/>
        </w:rPr>
        <w:t xml:space="preserve"> </w:t>
      </w:r>
      <w:r>
        <w:rPr>
          <w:spacing w:val="36"/>
        </w:rPr>
        <w:t>，</w:t>
      </w:r>
      <w:r>
        <w:rPr>
          <w:spacing w:val="-65"/>
        </w:rPr>
        <w:t xml:space="preserve"> </w:t>
      </w:r>
      <w:r>
        <w:rPr>
          <w:spacing w:val="36"/>
        </w:rPr>
        <w:t>既要反映</w:t>
      </w:r>
      <w:r>
        <w:rPr>
          <w:spacing w:val="35"/>
        </w:rPr>
        <w:t>同类</w:t>
      </w:r>
      <w:r>
        <w:rPr>
          <w:spacing w:val="15"/>
        </w:rPr>
        <w:t>项</w:t>
      </w:r>
      <w:r>
        <w:rPr>
          <w:spacing w:val="-34"/>
        </w:rPr>
        <w:t xml:space="preserve"> </w:t>
      </w:r>
      <w:r>
        <w:rPr>
          <w:spacing w:val="15"/>
        </w:rPr>
        <w:t>目</w:t>
      </w:r>
      <w:r>
        <w:rPr>
          <w:spacing w:val="-77"/>
        </w:rPr>
        <w:t xml:space="preserve"> </w:t>
      </w:r>
      <w:r>
        <w:rPr>
          <w:spacing w:val="15"/>
        </w:rPr>
        <w:t>的先进水平</w:t>
      </w:r>
      <w:r>
        <w:rPr>
          <w:spacing w:val="-75"/>
        </w:rPr>
        <w:t xml:space="preserve"> </w:t>
      </w:r>
      <w:r>
        <w:rPr>
          <w:spacing w:val="15"/>
        </w:rPr>
        <w:t>，</w:t>
      </w:r>
      <w:r>
        <w:rPr>
          <w:spacing w:val="-88"/>
        </w:rPr>
        <w:t xml:space="preserve"> </w:t>
      </w:r>
      <w:r>
        <w:rPr>
          <w:spacing w:val="15"/>
        </w:rPr>
        <w:t>又要符合项</w:t>
      </w:r>
      <w:r>
        <w:rPr>
          <w:spacing w:val="-39"/>
        </w:rPr>
        <w:t xml:space="preserve"> </w:t>
      </w:r>
      <w:r>
        <w:rPr>
          <w:spacing w:val="15"/>
        </w:rPr>
        <w:t>目</w:t>
      </w:r>
      <w:r>
        <w:rPr>
          <w:spacing w:val="-79"/>
        </w:rPr>
        <w:t xml:space="preserve"> </w:t>
      </w:r>
      <w:r>
        <w:rPr>
          <w:spacing w:val="15"/>
        </w:rPr>
        <w:t>的实际绩效水平</w:t>
      </w:r>
      <w:r>
        <w:rPr>
          <w:spacing w:val="-74"/>
        </w:rPr>
        <w:t xml:space="preserve"> </w:t>
      </w:r>
      <w:r>
        <w:rPr>
          <w:spacing w:val="15"/>
        </w:rPr>
        <w:t>。</w:t>
      </w:r>
      <w:r>
        <w:rPr>
          <w:spacing w:val="-85"/>
        </w:rPr>
        <w:t xml:space="preserve"> </w:t>
      </w:r>
      <w:r>
        <w:rPr>
          <w:spacing w:val="15"/>
        </w:rPr>
        <w:t>具体</w:t>
      </w:r>
      <w:r>
        <w:rPr>
          <w:spacing w:val="40"/>
        </w:rPr>
        <w:t>采用计划标准等确定此次绩效评价指标标准值。</w:t>
      </w:r>
    </w:p>
    <w:p w14:paraId="7B4D1018">
      <w:pPr>
        <w:pStyle w:val="2"/>
        <w:spacing w:before="1" w:line="226" w:lineRule="auto"/>
        <w:jc w:val="right"/>
        <w:outlineLvl w:val="0"/>
      </w:pPr>
      <w:r>
        <w:rPr>
          <w:spacing w:val="13"/>
        </w:rPr>
        <w:t xml:space="preserve">绩效评价总分值 </w:t>
      </w:r>
      <w:r>
        <w:rPr>
          <w:rFonts w:ascii="Times New Roman" w:hAnsi="Times New Roman" w:eastAsia="Times New Roman" w:cs="Times New Roman"/>
          <w:spacing w:val="13"/>
        </w:rPr>
        <w:t>100</w:t>
      </w:r>
      <w:r>
        <w:rPr>
          <w:rFonts w:ascii="Times New Roman" w:hAnsi="Times New Roman" w:eastAsia="Times New Roman" w:cs="Times New Roman"/>
          <w:spacing w:val="60"/>
          <w:w w:val="101"/>
        </w:rPr>
        <w:t xml:space="preserve"> </w:t>
      </w:r>
      <w:r>
        <w:rPr>
          <w:spacing w:val="13"/>
        </w:rPr>
        <w:t>分，根据综合评分结果，</w:t>
      </w:r>
      <w:r>
        <w:rPr>
          <w:rFonts w:ascii="Times New Roman" w:hAnsi="Times New Roman" w:eastAsia="Times New Roman" w:cs="Times New Roman"/>
          <w:spacing w:val="13"/>
        </w:rPr>
        <w:t>90</w:t>
      </w:r>
      <w:r>
        <w:rPr>
          <w:spacing w:val="13"/>
        </w:rPr>
        <w:t>（含）</w:t>
      </w:r>
    </w:p>
    <w:p w14:paraId="661C0651">
      <w:pPr>
        <w:pStyle w:val="2"/>
        <w:spacing w:before="178" w:line="334" w:lineRule="auto"/>
        <w:ind w:left="27" w:right="29"/>
      </w:pPr>
      <w:r>
        <w:rPr>
          <w:rFonts w:ascii="Times New Roman" w:hAnsi="Times New Roman" w:eastAsia="Times New Roman" w:cs="Times New Roman"/>
          <w:spacing w:val="3"/>
        </w:rPr>
        <w:t>-100</w:t>
      </w:r>
      <w:r>
        <w:rPr>
          <w:rFonts w:ascii="Times New Roman" w:hAnsi="Times New Roman" w:eastAsia="Times New Roman" w:cs="Times New Roman"/>
          <w:spacing w:val="59"/>
          <w:w w:val="101"/>
        </w:rPr>
        <w:t xml:space="preserve"> </w:t>
      </w:r>
      <w:r>
        <w:rPr>
          <w:spacing w:val="3"/>
        </w:rPr>
        <w:t>分为优</w:t>
      </w:r>
      <w:r>
        <w:rPr>
          <w:spacing w:val="-77"/>
        </w:rPr>
        <w:t xml:space="preserve"> </w:t>
      </w:r>
      <w:r>
        <w:rPr>
          <w:spacing w:val="3"/>
        </w:rPr>
        <w:t>、</w:t>
      </w:r>
      <w:r>
        <w:rPr>
          <w:rFonts w:ascii="Times New Roman" w:hAnsi="Times New Roman" w:eastAsia="Times New Roman" w:cs="Times New Roman"/>
          <w:spacing w:val="3"/>
        </w:rPr>
        <w:t>80</w:t>
      </w:r>
      <w:r>
        <w:rPr>
          <w:spacing w:val="3"/>
        </w:rPr>
        <w:t>（含</w:t>
      </w:r>
      <w:r>
        <w:rPr>
          <w:spacing w:val="-72"/>
        </w:rPr>
        <w:t xml:space="preserve"> </w:t>
      </w:r>
      <w:r>
        <w:rPr>
          <w:spacing w:val="3"/>
        </w:rPr>
        <w:t>）</w:t>
      </w:r>
      <w:r>
        <w:rPr>
          <w:rFonts w:ascii="Times New Roman" w:hAnsi="Times New Roman" w:eastAsia="Times New Roman" w:cs="Times New Roman"/>
          <w:spacing w:val="3"/>
        </w:rPr>
        <w:t>-90</w:t>
      </w:r>
      <w:r>
        <w:rPr>
          <w:rFonts w:ascii="Times New Roman" w:hAnsi="Times New Roman" w:eastAsia="Times New Roman" w:cs="Times New Roman"/>
          <w:spacing w:val="57"/>
        </w:rPr>
        <w:t xml:space="preserve"> </w:t>
      </w:r>
      <w:r>
        <w:rPr>
          <w:spacing w:val="3"/>
        </w:rPr>
        <w:t>分为</w:t>
      </w:r>
      <w:r>
        <w:rPr>
          <w:spacing w:val="-51"/>
        </w:rPr>
        <w:t xml:space="preserve"> </w:t>
      </w:r>
      <w:r>
        <w:rPr>
          <w:spacing w:val="3"/>
        </w:rPr>
        <w:t>良</w:t>
      </w:r>
      <w:r>
        <w:rPr>
          <w:spacing w:val="-73"/>
        </w:rPr>
        <w:t xml:space="preserve"> </w:t>
      </w:r>
      <w:r>
        <w:rPr>
          <w:spacing w:val="3"/>
        </w:rPr>
        <w:t>、</w:t>
      </w:r>
      <w:r>
        <w:rPr>
          <w:rFonts w:ascii="Times New Roman" w:hAnsi="Times New Roman" w:eastAsia="Times New Roman" w:cs="Times New Roman"/>
          <w:spacing w:val="3"/>
        </w:rPr>
        <w:t>60</w:t>
      </w:r>
      <w:r>
        <w:rPr>
          <w:spacing w:val="3"/>
        </w:rPr>
        <w:t>（含</w:t>
      </w:r>
      <w:r>
        <w:rPr>
          <w:spacing w:val="-73"/>
        </w:rPr>
        <w:t xml:space="preserve"> </w:t>
      </w:r>
      <w:r>
        <w:rPr>
          <w:spacing w:val="3"/>
        </w:rPr>
        <w:t>）</w:t>
      </w:r>
      <w:r>
        <w:rPr>
          <w:rFonts w:ascii="Times New Roman" w:hAnsi="Times New Roman" w:eastAsia="Times New Roman" w:cs="Times New Roman"/>
          <w:spacing w:val="3"/>
        </w:rPr>
        <w:t>-80</w:t>
      </w:r>
      <w:r>
        <w:rPr>
          <w:rFonts w:ascii="Times New Roman" w:hAnsi="Times New Roman" w:eastAsia="Times New Roman" w:cs="Times New Roman"/>
          <w:spacing w:val="57"/>
        </w:rPr>
        <w:t xml:space="preserve"> </w:t>
      </w:r>
      <w:r>
        <w:rPr>
          <w:spacing w:val="2"/>
        </w:rPr>
        <w:t>分为</w:t>
      </w:r>
      <w:r>
        <w:rPr>
          <w:spacing w:val="-57"/>
        </w:rPr>
        <w:t xml:space="preserve"> </w:t>
      </w:r>
      <w:r>
        <w:rPr>
          <w:spacing w:val="2"/>
        </w:rPr>
        <w:t>中、</w:t>
      </w:r>
      <w:r>
        <w:t xml:space="preserve"> </w:t>
      </w:r>
      <w:r>
        <w:rPr>
          <w:rFonts w:ascii="Times New Roman" w:hAnsi="Times New Roman" w:eastAsia="Times New Roman" w:cs="Times New Roman"/>
          <w:spacing w:val="25"/>
        </w:rPr>
        <w:t>60</w:t>
      </w:r>
      <w:r>
        <w:rPr>
          <w:rFonts w:ascii="Times New Roman" w:hAnsi="Times New Roman" w:eastAsia="Times New Roman" w:cs="Times New Roman"/>
          <w:spacing w:val="59"/>
        </w:rPr>
        <w:t xml:space="preserve"> </w:t>
      </w:r>
      <w:r>
        <w:rPr>
          <w:spacing w:val="25"/>
        </w:rPr>
        <w:t>分以下为差。</w:t>
      </w:r>
    </w:p>
    <w:p w14:paraId="409D22F9">
      <w:pPr>
        <w:pStyle w:val="2"/>
        <w:spacing w:before="1" w:line="226" w:lineRule="auto"/>
        <w:ind w:left="746"/>
        <w:rPr>
          <w:rFonts w:ascii="Times New Roman" w:hAnsi="Times New Roman" w:eastAsia="Times New Roman" w:cs="Times New Roman"/>
        </w:rPr>
      </w:pPr>
      <w:r>
        <w:rPr>
          <w:spacing w:val="34"/>
        </w:rPr>
        <w:t xml:space="preserve">具体评价指标体系详情见附件 </w:t>
      </w:r>
      <w:r>
        <w:rPr>
          <w:rFonts w:ascii="Times New Roman" w:hAnsi="Times New Roman" w:eastAsia="Times New Roman" w:cs="Times New Roman"/>
          <w:spacing w:val="34"/>
        </w:rPr>
        <w:t>1</w:t>
      </w:r>
    </w:p>
    <w:p w14:paraId="7A243E56">
      <w:pPr>
        <w:pStyle w:val="2"/>
        <w:spacing w:before="179" w:line="228" w:lineRule="auto"/>
        <w:ind w:left="667"/>
      </w:pPr>
      <w:r>
        <w:rPr>
          <w:rFonts w:ascii="Times New Roman" w:hAnsi="Times New Roman" w:eastAsia="Times New Roman" w:cs="Times New Roman"/>
          <w:spacing w:val="6"/>
        </w:rPr>
        <w:t>3.</w:t>
      </w:r>
      <w:r>
        <w:rPr>
          <w:spacing w:val="6"/>
        </w:rPr>
        <w:t>绩效评价方法</w:t>
      </w:r>
    </w:p>
    <w:p w14:paraId="26029B96">
      <w:pPr>
        <w:pStyle w:val="2"/>
        <w:spacing w:before="179" w:line="333" w:lineRule="auto"/>
        <w:ind w:left="36" w:right="44" w:firstLine="711"/>
      </w:pPr>
      <w:r>
        <w:rPr>
          <w:spacing w:val="-2"/>
        </w:rPr>
        <w:t>绩效评价从项</w:t>
      </w:r>
      <w:r>
        <w:rPr>
          <w:spacing w:val="-35"/>
        </w:rPr>
        <w:t xml:space="preserve"> </w:t>
      </w:r>
      <w:r>
        <w:rPr>
          <w:spacing w:val="-2"/>
        </w:rPr>
        <w:t>目决策</w:t>
      </w:r>
      <w:r>
        <w:rPr>
          <w:spacing w:val="-72"/>
        </w:rPr>
        <w:t xml:space="preserve"> </w:t>
      </w:r>
      <w:r>
        <w:rPr>
          <w:spacing w:val="-2"/>
        </w:rPr>
        <w:t>、</w:t>
      </w:r>
      <w:r>
        <w:rPr>
          <w:spacing w:val="-90"/>
        </w:rPr>
        <w:t xml:space="preserve"> </w:t>
      </w:r>
      <w:r>
        <w:rPr>
          <w:spacing w:val="-2"/>
        </w:rPr>
        <w:t>项</w:t>
      </w:r>
      <w:r>
        <w:rPr>
          <w:spacing w:val="-40"/>
        </w:rPr>
        <w:t xml:space="preserve"> </w:t>
      </w:r>
      <w:r>
        <w:rPr>
          <w:spacing w:val="-2"/>
        </w:rPr>
        <w:t>目过程</w:t>
      </w:r>
      <w:r>
        <w:rPr>
          <w:spacing w:val="-73"/>
        </w:rPr>
        <w:t xml:space="preserve"> </w:t>
      </w:r>
      <w:r>
        <w:rPr>
          <w:spacing w:val="-2"/>
        </w:rPr>
        <w:t>、</w:t>
      </w:r>
      <w:r>
        <w:rPr>
          <w:spacing w:val="-89"/>
        </w:rPr>
        <w:t xml:space="preserve"> </w:t>
      </w:r>
      <w:r>
        <w:rPr>
          <w:spacing w:val="-2"/>
        </w:rPr>
        <w:t>项</w:t>
      </w:r>
      <w:r>
        <w:rPr>
          <w:spacing w:val="-39"/>
        </w:rPr>
        <w:t xml:space="preserve"> </w:t>
      </w:r>
      <w:r>
        <w:rPr>
          <w:spacing w:val="-2"/>
        </w:rPr>
        <w:t>目产</w:t>
      </w:r>
      <w:r>
        <w:rPr>
          <w:spacing w:val="-63"/>
        </w:rPr>
        <w:t xml:space="preserve"> </w:t>
      </w:r>
      <w:r>
        <w:rPr>
          <w:spacing w:val="-2"/>
        </w:rPr>
        <w:t>出</w:t>
      </w:r>
      <w:r>
        <w:rPr>
          <w:spacing w:val="-73"/>
        </w:rPr>
        <w:t xml:space="preserve"> </w:t>
      </w:r>
      <w:r>
        <w:rPr>
          <w:spacing w:val="-2"/>
        </w:rPr>
        <w:t>、</w:t>
      </w:r>
      <w:r>
        <w:rPr>
          <w:spacing w:val="-89"/>
        </w:rPr>
        <w:t xml:space="preserve"> </w:t>
      </w:r>
      <w:r>
        <w:rPr>
          <w:spacing w:val="-2"/>
        </w:rPr>
        <w:t>项</w:t>
      </w:r>
      <w:r>
        <w:rPr>
          <w:spacing w:val="-41"/>
        </w:rPr>
        <w:t xml:space="preserve"> </w:t>
      </w:r>
      <w:r>
        <w:rPr>
          <w:spacing w:val="-2"/>
        </w:rPr>
        <w:t>目</w:t>
      </w:r>
      <w:r>
        <w:rPr>
          <w:spacing w:val="25"/>
        </w:rPr>
        <w:t>效益四个维度进行评价。评价对象为项</w:t>
      </w:r>
      <w:r>
        <w:rPr>
          <w:spacing w:val="-41"/>
        </w:rPr>
        <w:t xml:space="preserve"> </w:t>
      </w:r>
      <w:r>
        <w:rPr>
          <w:spacing w:val="25"/>
        </w:rPr>
        <w:t>目</w:t>
      </w:r>
      <w:r>
        <w:rPr>
          <w:spacing w:val="-44"/>
        </w:rPr>
        <w:t xml:space="preserve"> </w:t>
      </w:r>
      <w:r>
        <w:rPr>
          <w:spacing w:val="25"/>
        </w:rPr>
        <w:t>目标实</w:t>
      </w:r>
      <w:r>
        <w:rPr>
          <w:spacing w:val="24"/>
        </w:rPr>
        <w:t>施情况，</w:t>
      </w:r>
      <w:r>
        <w:rPr>
          <w:spacing w:val="33"/>
        </w:rPr>
        <w:t>评价核心为资金的支出完成情况和项</w:t>
      </w:r>
      <w:r>
        <w:rPr>
          <w:spacing w:val="-42"/>
        </w:rPr>
        <w:t xml:space="preserve"> </w:t>
      </w:r>
      <w:r>
        <w:rPr>
          <w:spacing w:val="33"/>
        </w:rPr>
        <w:t>目</w:t>
      </w:r>
      <w:r>
        <w:rPr>
          <w:spacing w:val="-82"/>
        </w:rPr>
        <w:t xml:space="preserve"> </w:t>
      </w:r>
      <w:r>
        <w:rPr>
          <w:spacing w:val="33"/>
        </w:rPr>
        <w:t>的产出效益。</w:t>
      </w:r>
    </w:p>
    <w:p w14:paraId="39D944C8">
      <w:pPr>
        <w:pStyle w:val="2"/>
        <w:spacing w:before="5" w:line="333" w:lineRule="auto"/>
        <w:ind w:left="38" w:right="152" w:firstLine="705"/>
        <w:jc w:val="both"/>
        <w:rPr>
          <w:rFonts w:hint="eastAsia" w:ascii="仿宋" w:hAnsi="仿宋" w:eastAsia="仿宋" w:cs="仿宋"/>
          <w:snapToGrid w:val="0"/>
          <w:color w:val="000000"/>
          <w:spacing w:val="12"/>
          <w:kern w:val="0"/>
          <w:sz w:val="31"/>
          <w:szCs w:val="31"/>
          <w:lang w:val="en-US" w:eastAsia="en-US" w:bidi="ar-SA"/>
        </w:rPr>
      </w:pPr>
      <w:r>
        <w:rPr>
          <w:spacing w:val="24"/>
        </w:rPr>
        <w:t>本次评价指标</w:t>
      </w:r>
      <w:r>
        <w:rPr>
          <w:spacing w:val="-39"/>
        </w:rPr>
        <w:t xml:space="preserve"> </w:t>
      </w:r>
      <w:r>
        <w:rPr>
          <w:spacing w:val="24"/>
        </w:rPr>
        <w:t>中</w:t>
      </w:r>
      <w:r>
        <w:rPr>
          <w:spacing w:val="-73"/>
        </w:rPr>
        <w:t xml:space="preserve"> </w:t>
      </w:r>
      <w:r>
        <w:rPr>
          <w:spacing w:val="24"/>
        </w:rPr>
        <w:t>，</w:t>
      </w:r>
      <w:r>
        <w:rPr>
          <w:spacing w:val="-68"/>
        </w:rPr>
        <w:t xml:space="preserve"> </w:t>
      </w:r>
      <w:r>
        <w:rPr>
          <w:spacing w:val="24"/>
        </w:rPr>
        <w:t>既有定性指标又有定量指标</w:t>
      </w:r>
      <w:r>
        <w:rPr>
          <w:spacing w:val="-72"/>
        </w:rPr>
        <w:t xml:space="preserve"> </w:t>
      </w:r>
      <w:r>
        <w:rPr>
          <w:spacing w:val="24"/>
        </w:rPr>
        <w:t>，</w:t>
      </w:r>
      <w:r>
        <w:rPr>
          <w:spacing w:val="-90"/>
        </w:rPr>
        <w:t xml:space="preserve"> </w:t>
      </w:r>
      <w:r>
        <w:rPr>
          <w:spacing w:val="24"/>
        </w:rPr>
        <w:t>各</w:t>
      </w:r>
      <w:r>
        <w:rPr>
          <w:spacing w:val="36"/>
        </w:rPr>
        <w:t>类指标因考核</w:t>
      </w:r>
      <w:r>
        <w:rPr>
          <w:spacing w:val="-53"/>
        </w:rPr>
        <w:t xml:space="preserve"> </w:t>
      </w:r>
      <w:r>
        <w:rPr>
          <w:spacing w:val="36"/>
        </w:rPr>
        <w:t>内容不同和客观标准不同存在较大差异</w:t>
      </w:r>
      <w:r>
        <w:rPr>
          <w:spacing w:val="-75"/>
        </w:rPr>
        <w:t xml:space="preserve"> </w:t>
      </w:r>
      <w:r>
        <w:rPr>
          <w:spacing w:val="36"/>
        </w:rPr>
        <w:t>，</w:t>
      </w:r>
      <w:r>
        <w:rPr>
          <w:spacing w:val="23"/>
        </w:rPr>
        <w:t>因此核定具体指标时采用</w:t>
      </w:r>
      <w:r>
        <w:rPr>
          <w:spacing w:val="-38"/>
        </w:rPr>
        <w:t xml:space="preserve"> </w:t>
      </w:r>
      <w:r>
        <w:rPr>
          <w:spacing w:val="23"/>
        </w:rPr>
        <w:t>了</w:t>
      </w:r>
      <w:r>
        <w:rPr>
          <w:spacing w:val="-90"/>
        </w:rPr>
        <w:t xml:space="preserve"> </w:t>
      </w:r>
      <w:r>
        <w:rPr>
          <w:spacing w:val="23"/>
        </w:rPr>
        <w:t>不</w:t>
      </w:r>
      <w:r>
        <w:rPr>
          <w:spacing w:val="-58"/>
        </w:rPr>
        <w:t xml:space="preserve"> </w:t>
      </w:r>
      <w:r>
        <w:rPr>
          <w:spacing w:val="23"/>
        </w:rPr>
        <w:t>同</w:t>
      </w:r>
      <w:r>
        <w:rPr>
          <w:spacing w:val="-90"/>
        </w:rPr>
        <w:t xml:space="preserve"> </w:t>
      </w:r>
      <w:r>
        <w:rPr>
          <w:spacing w:val="23"/>
        </w:rPr>
        <w:t>方法</w:t>
      </w:r>
      <w:r>
        <w:rPr>
          <w:spacing w:val="-75"/>
        </w:rPr>
        <w:t xml:space="preserve"> </w:t>
      </w:r>
      <w:r>
        <w:rPr>
          <w:spacing w:val="23"/>
        </w:rPr>
        <w:t>，</w:t>
      </w:r>
      <w:r>
        <w:rPr>
          <w:spacing w:val="-85"/>
        </w:rPr>
        <w:t xml:space="preserve"> </w:t>
      </w:r>
      <w:r>
        <w:rPr>
          <w:spacing w:val="23"/>
        </w:rPr>
        <w:t>具体评价方法如</w:t>
      </w:r>
      <w:r>
        <w:rPr>
          <w:spacing w:val="9"/>
        </w:rPr>
        <w:t>下：</w:t>
      </w:r>
    </w:p>
    <w:p w14:paraId="04C6E1C3">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进行关联性分析的方法 。 我单位选择该方法可以帮助我校单位预估项 目 实施的成本与带来的效益 。 成本主要是支付的设备采购及安装费 、 修改造工程费 、 直播设备采购费等 ， 效益则包括提升政府公信力 、 降低政府债务风险等 。 通过分析 ， 我单位能确定该项 目 的实施是否能以合理的成本获得足够的效益 ，从而做出科学的决策。及抽样调查等方式进行评判的方法 。 我单位对收集到的公众意见和评价进行整理 、 统计和分析 ， 总结出公众对该项 目 的认可程度 、 存在的问题及改进方 向 。 将分析结果用于项 目 的调整和改进 ， 以提高项 目 的实施效果和公众满意度 ， 更好地提升政府公信力，有效降低政府债务风险。</w:t>
      </w:r>
    </w:p>
    <w:p w14:paraId="7ADA8F37">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4.评价标准</w:t>
      </w:r>
    </w:p>
    <w:p w14:paraId="4472F816">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绩效评价标准通常包括计划标准、行业标准、历史标准等，用于对绩效指标完成情况进行比较、分析、评价。本次评价主要采用了计划标准。</w:t>
      </w:r>
    </w:p>
    <w:p w14:paraId="6AD4BF48">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（1）计划标准。指以预先制定的目标、计划、预算、定额等作为评价标准。通过明确该项目的各类计划，可以为此项目的实施提供具体的指导和依据，确保项目能够达到预期的目标和效果。</w:t>
      </w:r>
    </w:p>
    <w:p w14:paraId="1D260A82">
      <w:pPr>
        <w:spacing w:before="1" w:line="228" w:lineRule="auto"/>
        <w:ind w:left="760"/>
        <w:outlineLvl w:val="0"/>
        <w:rPr>
          <w:rFonts w:ascii="楷体" w:hAnsi="楷体" w:eastAsia="楷体" w:cs="楷体"/>
          <w:b/>
          <w:bCs/>
          <w:spacing w:val="26"/>
          <w:sz w:val="31"/>
          <w:szCs w:val="31"/>
        </w:rPr>
      </w:pPr>
      <w:r>
        <w:rPr>
          <w:rFonts w:ascii="楷体" w:hAnsi="楷体" w:eastAsia="楷体" w:cs="楷体"/>
          <w:b/>
          <w:bCs/>
          <w:spacing w:val="26"/>
          <w:sz w:val="31"/>
          <w:szCs w:val="31"/>
        </w:rPr>
        <w:t>（三）</w:t>
      </w:r>
      <w:r>
        <w:rPr>
          <w:rFonts w:ascii="楷体" w:hAnsi="楷体" w:eastAsia="楷体" w:cs="楷体"/>
          <w:spacing w:val="-55"/>
          <w:sz w:val="31"/>
          <w:szCs w:val="31"/>
        </w:rPr>
        <w:t xml:space="preserve"> </w:t>
      </w:r>
      <w:r>
        <w:rPr>
          <w:rFonts w:ascii="楷体" w:hAnsi="楷体" w:eastAsia="楷体" w:cs="楷体"/>
          <w:b/>
          <w:bCs/>
          <w:spacing w:val="26"/>
          <w:sz w:val="31"/>
          <w:szCs w:val="31"/>
        </w:rPr>
        <w:t>绩效评价工作过程</w:t>
      </w:r>
    </w:p>
    <w:p w14:paraId="75D58952">
      <w:pPr>
        <w:spacing w:before="1" w:line="228" w:lineRule="auto"/>
        <w:ind w:left="760"/>
        <w:outlineLvl w:val="0"/>
        <w:rPr>
          <w:rFonts w:hint="eastAsia" w:ascii="仿宋" w:hAnsi="仿宋" w:eastAsia="仿宋" w:cs="仿宋"/>
          <w:snapToGrid w:val="0"/>
          <w:color w:val="000000"/>
          <w:spacing w:val="12"/>
          <w:kern w:val="0"/>
          <w:sz w:val="31"/>
          <w:szCs w:val="31"/>
          <w:lang w:val="en-US" w:eastAsia="en-US" w:bidi="ar-SA"/>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1</w:t>
      </w:r>
      <w:r>
        <w:rPr>
          <w:rFonts w:ascii="仿宋" w:hAnsi="仿宋" w:eastAsia="仿宋" w:cs="仿宋"/>
          <w:spacing w:val="6"/>
          <w:sz w:val="31"/>
          <w:szCs w:val="31"/>
        </w:rPr>
        <w:t>）前期准备与规划</w:t>
      </w:r>
    </w:p>
    <w:p w14:paraId="02224A6B">
      <w:pPr>
        <w:spacing w:before="174" w:line="225" w:lineRule="auto"/>
        <w:ind w:right="1"/>
        <w:jc w:val="right"/>
        <w:rPr>
          <w:rFonts w:hint="eastAsia" w:ascii="仿宋" w:hAnsi="仿宋" w:eastAsia="仿宋" w:cs="仿宋"/>
          <w:sz w:val="31"/>
          <w:szCs w:val="31"/>
          <w:lang w:val="en-US" w:eastAsia="zh-CN"/>
        </w:rPr>
      </w:pPr>
      <w:r>
        <w:rPr>
          <w:rFonts w:ascii="仿宋" w:hAnsi="仿宋" w:eastAsia="仿宋" w:cs="仿宋"/>
          <w:spacing w:val="5"/>
          <w:sz w:val="31"/>
          <w:szCs w:val="31"/>
        </w:rPr>
        <w:t>在项目绩效评价工作启动之初，成立了专门的评价工作小</w:t>
      </w:r>
      <w:r>
        <w:rPr>
          <w:rFonts w:hint="eastAsia" w:ascii="仿宋" w:hAnsi="仿宋" w:eastAsia="仿宋" w:cs="仿宋"/>
          <w:spacing w:val="5"/>
          <w:sz w:val="31"/>
          <w:szCs w:val="31"/>
          <w:lang w:val="en-US" w:eastAsia="zh-CN"/>
        </w:rPr>
        <w:t>组。</w:t>
      </w:r>
    </w:p>
    <w:p w14:paraId="378CBBF3">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小组成员由财务专干、项目管理专业人员及相关领域技术骨干组成，确保从多角度、全方位对项目绩效进行评价。同时，明确了评价工作的目标、范围、重点及时间安排，制定了详细的工作计划，为评价工作的顺利开展奠定了坚实基础。</w:t>
      </w:r>
    </w:p>
    <w:p w14:paraId="5AF6B51B">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（2）指标体系构建</w:t>
      </w:r>
    </w:p>
    <w:p w14:paraId="4C96AB35">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依据项目的性质、目标以及预期成果，构建了科学合理的绩效评价指标体系。该指标体系涵盖了项 目决策、项 目过程 、项 目 产 出 、 项 目 效 益四个 维度 ，选取了具有代表性和可衡量性的关键指标，并为每个指标设定了明确的评价标准与权重，确保评价结果能够全面、准确地反映项目的绩效状况。</w:t>
      </w:r>
    </w:p>
    <w:p w14:paraId="490E2FD5">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（3）数据收集与整理</w:t>
      </w:r>
    </w:p>
    <w:p w14:paraId="17E5F974">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55131C4">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（4）数据分析与评估</w:t>
      </w:r>
    </w:p>
    <w:p w14:paraId="7D958A4B">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9762854">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（5）报告撰写与反馈</w:t>
      </w:r>
    </w:p>
    <w:p w14:paraId="70F8A169">
      <w:pPr>
        <w:spacing w:before="199" w:line="333" w:lineRule="auto"/>
        <w:ind w:left="42" w:firstLine="639"/>
        <w:jc w:val="both"/>
        <w:rPr>
          <w:rFonts w:ascii="仿宋" w:hAnsi="仿宋" w:eastAsia="仿宋" w:cs="仿宋"/>
          <w:sz w:val="31"/>
          <w:szCs w:val="31"/>
        </w:rPr>
      </w:pPr>
      <w:r>
        <w:rPr>
          <w:rFonts w:ascii="仿宋" w:hAnsi="仿宋" w:eastAsia="仿宋" w:cs="仿宋"/>
          <w:spacing w:val="5"/>
          <w:sz w:val="31"/>
          <w:szCs w:val="31"/>
        </w:rPr>
        <w:t>根据数据分析与评估的结果，按照统一的格</w:t>
      </w:r>
      <w:r>
        <w:rPr>
          <w:rFonts w:ascii="仿宋" w:hAnsi="仿宋" w:eastAsia="仿宋" w:cs="仿宋"/>
          <w:spacing w:val="4"/>
          <w:sz w:val="31"/>
          <w:szCs w:val="31"/>
        </w:rPr>
        <w:t>式和规范撰写</w:t>
      </w:r>
      <w:r>
        <w:rPr>
          <w:rFonts w:ascii="仿宋" w:hAnsi="仿宋" w:eastAsia="仿宋" w:cs="仿宋"/>
          <w:spacing w:val="6"/>
          <w:sz w:val="31"/>
          <w:szCs w:val="31"/>
        </w:rPr>
        <w:t>项目预算绩效评价报告。报告内容包括项目背景、评价目的、</w:t>
      </w:r>
      <w:r>
        <w:rPr>
          <w:rFonts w:ascii="仿宋" w:hAnsi="仿宋" w:eastAsia="仿宋" w:cs="仿宋"/>
          <w:spacing w:val="5"/>
          <w:sz w:val="31"/>
          <w:szCs w:val="31"/>
        </w:rPr>
        <w:t>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w:t>
      </w:r>
      <w:r>
        <w:rPr>
          <w:rFonts w:ascii="仿宋" w:hAnsi="仿宋" w:eastAsia="仿宋" w:cs="仿宋"/>
          <w:spacing w:val="8"/>
          <w:sz w:val="31"/>
          <w:szCs w:val="31"/>
        </w:rPr>
        <w:t>进一步的完善与优化，确保评价报告的质量与实用性。</w:t>
      </w:r>
    </w:p>
    <w:p w14:paraId="7DF92753">
      <w:pPr>
        <w:spacing w:line="229" w:lineRule="auto"/>
        <w:ind w:left="686"/>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6</w:t>
      </w:r>
      <w:r>
        <w:rPr>
          <w:rFonts w:ascii="仿宋" w:hAnsi="仿宋" w:eastAsia="仿宋" w:cs="仿宋"/>
          <w:spacing w:val="6"/>
          <w:sz w:val="31"/>
          <w:szCs w:val="31"/>
        </w:rPr>
        <w:t>）后续跟踪与改进</w:t>
      </w:r>
    </w:p>
    <w:p w14:paraId="0B7C6870">
      <w:pPr>
        <w:spacing w:before="178" w:line="323" w:lineRule="auto"/>
        <w:ind w:left="41" w:right="20" w:firstLine="643"/>
        <w:rPr>
          <w:rFonts w:ascii="仿宋" w:hAnsi="仿宋" w:eastAsia="仿宋" w:cs="仿宋"/>
          <w:sz w:val="31"/>
          <w:szCs w:val="31"/>
        </w:rPr>
      </w:pPr>
      <w:r>
        <w:rPr>
          <w:rFonts w:ascii="仿宋" w:hAnsi="仿宋" w:eastAsia="仿宋" w:cs="仿宋"/>
          <w:spacing w:val="5"/>
          <w:sz w:val="31"/>
          <w:szCs w:val="31"/>
        </w:rPr>
        <w:t>在评价报告提交后，我们将持续跟踪项目的改进措施落实</w:t>
      </w:r>
      <w:r>
        <w:rPr>
          <w:rFonts w:ascii="仿宋" w:hAnsi="仿宋" w:eastAsia="仿宋" w:cs="仿宋"/>
          <w:spacing w:val="6"/>
          <w:sz w:val="31"/>
          <w:szCs w:val="31"/>
        </w:rPr>
        <w:t>情况，定期对项目绩效进行复查与评估，确保项</w:t>
      </w:r>
      <w:r>
        <w:rPr>
          <w:rFonts w:ascii="仿宋" w:hAnsi="仿宋" w:eastAsia="仿宋" w:cs="仿宋"/>
          <w:spacing w:val="5"/>
          <w:sz w:val="31"/>
          <w:szCs w:val="31"/>
        </w:rPr>
        <w:t>目能够根据评</w:t>
      </w:r>
      <w:r>
        <w:rPr>
          <w:rFonts w:ascii="仿宋" w:hAnsi="仿宋" w:eastAsia="仿宋" w:cs="仿宋"/>
          <w:spacing w:val="6"/>
          <w:sz w:val="31"/>
          <w:szCs w:val="31"/>
        </w:rPr>
        <w:t>价结果及时调整与优化，实现绩效的持续提升。</w:t>
      </w:r>
      <w:r>
        <w:rPr>
          <w:rFonts w:ascii="仿宋" w:hAnsi="仿宋" w:eastAsia="仿宋" w:cs="仿宋"/>
          <w:spacing w:val="5"/>
          <w:sz w:val="31"/>
          <w:szCs w:val="31"/>
        </w:rPr>
        <w:t>同时，根据项</w:t>
      </w:r>
      <w:r>
        <w:rPr>
          <w:rFonts w:ascii="仿宋" w:hAnsi="仿宋" w:eastAsia="仿宋" w:cs="仿宋"/>
          <w:spacing w:val="6"/>
          <w:sz w:val="31"/>
          <w:szCs w:val="31"/>
        </w:rPr>
        <w:t>目实施过程中出现的新情况、新问题，适时</w:t>
      </w:r>
      <w:r>
        <w:rPr>
          <w:rFonts w:ascii="仿宋" w:hAnsi="仿宋" w:eastAsia="仿宋" w:cs="仿宋"/>
          <w:spacing w:val="5"/>
          <w:sz w:val="31"/>
          <w:szCs w:val="31"/>
        </w:rPr>
        <w:t>调整绩效评价指标</w:t>
      </w:r>
      <w:r>
        <w:rPr>
          <w:rFonts w:ascii="仿宋" w:hAnsi="仿宋" w:eastAsia="仿宋" w:cs="仿宋"/>
          <w:spacing w:val="6"/>
          <w:sz w:val="31"/>
          <w:szCs w:val="31"/>
        </w:rPr>
        <w:t>体系与方法，保持评价工作的适应性与前瞻性，</w:t>
      </w:r>
      <w:r>
        <w:rPr>
          <w:rFonts w:ascii="仿宋" w:hAnsi="仿宋" w:eastAsia="仿宋" w:cs="仿宋"/>
          <w:spacing w:val="5"/>
          <w:sz w:val="31"/>
          <w:szCs w:val="31"/>
        </w:rPr>
        <w:t>为项目的长期</w:t>
      </w:r>
      <w:r>
        <w:rPr>
          <w:rFonts w:ascii="仿宋" w:hAnsi="仿宋" w:eastAsia="仿宋" w:cs="仿宋"/>
          <w:spacing w:val="7"/>
          <w:sz w:val="31"/>
          <w:szCs w:val="31"/>
        </w:rPr>
        <w:t>稳定发展提供有力保障。</w:t>
      </w:r>
    </w:p>
    <w:p w14:paraId="6BCCCE16">
      <w:pPr>
        <w:spacing w:before="174" w:line="227" w:lineRule="auto"/>
        <w:ind w:left="673"/>
        <w:rPr>
          <w:rFonts w:ascii="黑体" w:hAnsi="黑体" w:eastAsia="黑体" w:cs="黑体"/>
          <w:sz w:val="31"/>
          <w:szCs w:val="31"/>
        </w:rPr>
      </w:pPr>
      <w:r>
        <w:rPr>
          <w:rFonts w:ascii="黑体" w:hAnsi="黑体" w:eastAsia="黑体" w:cs="黑体"/>
          <w:spacing w:val="8"/>
          <w:sz w:val="31"/>
          <w:szCs w:val="31"/>
        </w:rPr>
        <w:t>三、综合评价情况及评价结论（附相关评分表）</w:t>
      </w:r>
    </w:p>
    <w:p w14:paraId="0C85BCE1">
      <w:pPr>
        <w:spacing w:before="179" w:line="229" w:lineRule="auto"/>
        <w:ind w:left="692"/>
        <w:outlineLvl w:val="0"/>
        <w:rPr>
          <w:rFonts w:ascii="楷体" w:hAnsi="楷体" w:eastAsia="楷体" w:cs="楷体"/>
          <w:sz w:val="31"/>
          <w:szCs w:val="31"/>
        </w:rPr>
      </w:pPr>
      <w:r>
        <w:rPr>
          <w:rFonts w:ascii="楷体" w:hAnsi="楷体" w:eastAsia="楷体" w:cs="楷体"/>
          <w:b/>
          <w:bCs/>
          <w:spacing w:val="2"/>
          <w:sz w:val="31"/>
          <w:szCs w:val="31"/>
        </w:rPr>
        <w:t>（一）评价情况</w:t>
      </w:r>
    </w:p>
    <w:p w14:paraId="7CC3B14E">
      <w:pPr>
        <w:spacing w:before="152" w:line="226" w:lineRule="auto"/>
        <w:ind w:right="2"/>
        <w:jc w:val="right"/>
        <w:rPr>
          <w:rFonts w:ascii="仿宋" w:hAnsi="仿宋" w:eastAsia="仿宋" w:cs="仿宋"/>
          <w:sz w:val="31"/>
          <w:szCs w:val="31"/>
        </w:rPr>
      </w:pPr>
      <w:r>
        <w:rPr>
          <w:rFonts w:hint="eastAsia" w:ascii="仿宋" w:hAnsi="仿宋" w:eastAsia="仿宋" w:cs="仿宋"/>
          <w:snapToGrid w:val="0"/>
          <w:color w:val="000000"/>
          <w:spacing w:val="12"/>
          <w:kern w:val="0"/>
          <w:sz w:val="31"/>
          <w:szCs w:val="31"/>
          <w:lang w:val="en-US" w:eastAsia="en-US" w:bidi="ar-SA"/>
        </w:rPr>
        <w:t>本项目的综合评价基于对项目各方面绩效的深入分析与</w:t>
      </w:r>
      <w:r>
        <w:rPr>
          <w:rFonts w:ascii="仿宋" w:hAnsi="仿宋" w:eastAsia="仿宋" w:cs="仿宋"/>
          <w:spacing w:val="7"/>
          <w:sz w:val="31"/>
          <w:szCs w:val="31"/>
        </w:rPr>
        <w:t>评估。从项目目标的达成情况来看，</w:t>
      </w:r>
      <w:r>
        <w:rPr>
          <w:rFonts w:ascii="Times New Roman" w:hAnsi="Times New Roman" w:eastAsia="Times New Roman" w:cs="Times New Roman"/>
          <w:spacing w:val="7"/>
          <w:sz w:val="31"/>
          <w:szCs w:val="31"/>
        </w:rPr>
        <w:t>2024</w:t>
      </w:r>
      <w:r>
        <w:rPr>
          <w:rFonts w:ascii="Times New Roman" w:hAnsi="Times New Roman" w:eastAsia="Times New Roman" w:cs="Times New Roman"/>
          <w:spacing w:val="40"/>
          <w:sz w:val="31"/>
          <w:szCs w:val="31"/>
        </w:rPr>
        <w:t xml:space="preserve"> </w:t>
      </w:r>
      <w:r>
        <w:rPr>
          <w:rFonts w:ascii="仿宋" w:hAnsi="仿宋" w:eastAsia="仿宋" w:cs="仿宋"/>
          <w:spacing w:val="7"/>
          <w:sz w:val="31"/>
          <w:szCs w:val="31"/>
        </w:rPr>
        <w:t>年中央补助地方</w:t>
      </w:r>
    </w:p>
    <w:p w14:paraId="3BC75724">
      <w:pPr>
        <w:spacing w:before="153" w:line="227" w:lineRule="auto"/>
        <w:ind w:left="21"/>
        <w:rPr>
          <w:rFonts w:ascii="仿宋" w:hAnsi="仿宋" w:eastAsia="仿宋" w:cs="仿宋"/>
          <w:sz w:val="31"/>
          <w:szCs w:val="31"/>
        </w:rPr>
      </w:pPr>
      <w:r>
        <w:rPr>
          <w:rFonts w:hint="eastAsia" w:ascii="仿宋" w:hAnsi="仿宋" w:eastAsia="仿宋" w:cs="仿宋"/>
          <w:spacing w:val="5"/>
          <w:sz w:val="31"/>
          <w:szCs w:val="31"/>
          <w:lang w:val="en-US" w:eastAsia="zh-CN"/>
        </w:rPr>
        <w:t>公</w:t>
      </w:r>
      <w:r>
        <w:rPr>
          <w:rFonts w:ascii="仿宋" w:hAnsi="仿宋" w:eastAsia="仿宋" w:cs="仿宋"/>
          <w:spacing w:val="5"/>
          <w:sz w:val="31"/>
          <w:szCs w:val="31"/>
        </w:rPr>
        <w:t>共文化服务体系建设补助资金在年度化债及时率、任务完成率等方面表现出色，达到了预期的标准与要求。同时，项目也在</w:t>
      </w:r>
      <w:r>
        <w:rPr>
          <w:rFonts w:ascii="仿宋" w:hAnsi="仿宋" w:eastAsia="仿宋" w:cs="仿宋"/>
          <w:spacing w:val="8"/>
          <w:sz w:val="31"/>
          <w:szCs w:val="31"/>
        </w:rPr>
        <w:t>直播录播领域取得了显著的成效，如提升政府公信力等。</w:t>
      </w:r>
    </w:p>
    <w:p w14:paraId="4A5F46F7">
      <w:pPr>
        <w:spacing w:before="153" w:line="225" w:lineRule="auto"/>
        <w:ind w:right="1"/>
        <w:jc w:val="left"/>
        <w:rPr>
          <w:rFonts w:hint="eastAsia" w:ascii="仿宋" w:hAnsi="仿宋" w:eastAsia="仿宋" w:cs="仿宋"/>
          <w:sz w:val="31"/>
          <w:szCs w:val="31"/>
        </w:rPr>
      </w:pPr>
      <w:r>
        <w:rPr>
          <w:rFonts w:hint="eastAsia" w:ascii="仿宋" w:hAnsi="仿宋" w:eastAsia="仿宋" w:cs="仿宋"/>
          <w:sz w:val="31"/>
          <w:szCs w:val="31"/>
        </w:rPr>
        <w:t>在项目管理方面，托里县融媒体中心通过有效的规划、组织与协调，项目得以顺利实施，并在预算与时间上保持了良好的控制。</w:t>
      </w:r>
    </w:p>
    <w:p w14:paraId="17FF9894">
      <w:pPr>
        <w:spacing w:before="153" w:line="225" w:lineRule="auto"/>
        <w:ind w:right="1"/>
        <w:jc w:val="left"/>
        <w:rPr>
          <w:rFonts w:hint="eastAsia" w:ascii="仿宋" w:hAnsi="仿宋" w:eastAsia="仿宋" w:cs="仿宋"/>
          <w:sz w:val="31"/>
          <w:szCs w:val="31"/>
        </w:rPr>
      </w:pPr>
      <w:r>
        <w:rPr>
          <w:rFonts w:hint="eastAsia" w:ascii="仿宋" w:hAnsi="仿宋" w:eastAsia="仿宋" w:cs="仿宋"/>
          <w:sz w:val="31"/>
          <w:szCs w:val="31"/>
        </w:rPr>
        <w:t>从项目效益的角度来看，本项目不仅实现了预期的社会效益方面产生了积极的影响。具体而言，提升政府公信力方面的提升，为项目的利益相关者带来了实实在在的利益。</w:t>
      </w:r>
    </w:p>
    <w:p w14:paraId="784C6E6A">
      <w:pPr>
        <w:spacing w:before="153" w:line="225" w:lineRule="auto"/>
        <w:ind w:right="1"/>
        <w:jc w:val="left"/>
        <w:rPr>
          <w:rFonts w:ascii="仿宋" w:hAnsi="仿宋" w:eastAsia="仿宋" w:cs="仿宋"/>
          <w:sz w:val="31"/>
          <w:szCs w:val="31"/>
        </w:rPr>
      </w:pPr>
      <w:r>
        <w:rPr>
          <w:rFonts w:hint="eastAsia" w:ascii="仿宋" w:hAnsi="仿宋" w:eastAsia="仿宋" w:cs="仿宋"/>
          <w:sz w:val="31"/>
          <w:szCs w:val="31"/>
        </w:rPr>
        <w:t>综上所述，2024 年中央补助地方公共文化服务体系建设补助资金在绩效评价中表现出色，达到了项目的预期目标，并在多个方面取得了显著的成效。</w:t>
      </w:r>
    </w:p>
    <w:p w14:paraId="40D6BB97">
      <w:pPr>
        <w:spacing w:before="174" w:line="229" w:lineRule="auto"/>
        <w:ind w:left="789"/>
        <w:outlineLvl w:val="0"/>
        <w:rPr>
          <w:rFonts w:ascii="楷体" w:hAnsi="楷体" w:eastAsia="楷体" w:cs="楷体"/>
          <w:sz w:val="31"/>
          <w:szCs w:val="31"/>
        </w:rPr>
      </w:pPr>
      <w:r>
        <w:rPr>
          <w:rFonts w:ascii="楷体" w:hAnsi="楷体" w:eastAsia="楷体" w:cs="楷体"/>
          <w:b/>
          <w:bCs/>
          <w:spacing w:val="2"/>
          <w:sz w:val="31"/>
          <w:szCs w:val="31"/>
        </w:rPr>
        <w:t>（二）评价结论</w:t>
      </w:r>
    </w:p>
    <w:p w14:paraId="1CC6FCDE">
      <w:pPr>
        <w:spacing w:before="153" w:line="225" w:lineRule="auto"/>
        <w:ind w:right="1"/>
        <w:jc w:val="left"/>
        <w:rPr>
          <w:rFonts w:ascii="仿宋" w:hAnsi="仿宋" w:eastAsia="仿宋" w:cs="仿宋"/>
          <w:sz w:val="31"/>
          <w:szCs w:val="31"/>
        </w:rPr>
      </w:pPr>
    </w:p>
    <w:p w14:paraId="174B0FB2">
      <w:pPr>
        <w:tabs>
          <w:tab w:val="left" w:pos="1796"/>
        </w:tabs>
        <w:rPr>
          <w:rFonts w:hint="eastAsia" w:ascii="仿宋" w:hAnsi="仿宋" w:eastAsia="仿宋" w:cs="仿宋"/>
          <w:snapToGrid w:val="0"/>
          <w:color w:val="000000"/>
          <w:spacing w:val="12"/>
          <w:kern w:val="0"/>
          <w:sz w:val="31"/>
          <w:szCs w:val="31"/>
          <w:lang w:val="en-US" w:eastAsia="zh-CN" w:bidi="ar-SA"/>
        </w:rPr>
      </w:pPr>
      <w:r>
        <w:rPr>
          <w:rFonts w:hint="eastAsia" w:ascii="仿宋" w:hAnsi="仿宋" w:eastAsia="仿宋" w:cs="仿宋"/>
          <w:snapToGrid w:val="0"/>
          <w:color w:val="000000"/>
          <w:spacing w:val="12"/>
          <w:kern w:val="0"/>
          <w:sz w:val="31"/>
          <w:szCs w:val="31"/>
          <w:lang w:val="en-US" w:eastAsia="zh-CN" w:bidi="ar-SA"/>
        </w:rPr>
        <w:t>运用绩效评价组制定的评价指标体系以及财政部《项目支出绩效评价管理办法》 （财预〔2020〕10 号）文件的评分标准，通过数据采集、问卷调查及访谈等方式，对本项目进行客观评价，最终评分结果：总得分为 100 分，属于“优” 。其中，项目决策类指标权重为20 分，得分为 20 分，得分率为 100%。</w:t>
      </w:r>
    </w:p>
    <w:p w14:paraId="3C99B7ED">
      <w:pPr>
        <w:tabs>
          <w:tab w:val="left" w:pos="1796"/>
        </w:tabs>
        <w:rPr>
          <w:rFonts w:hint="eastAsia" w:ascii="仿宋" w:hAnsi="仿宋" w:eastAsia="仿宋" w:cs="仿宋"/>
          <w:snapToGrid w:val="0"/>
          <w:color w:val="000000"/>
          <w:spacing w:val="12"/>
          <w:kern w:val="0"/>
          <w:sz w:val="31"/>
          <w:szCs w:val="31"/>
          <w:lang w:val="en-US" w:eastAsia="zh-CN" w:bidi="ar-SA"/>
        </w:rPr>
      </w:pPr>
      <w:r>
        <w:rPr>
          <w:rFonts w:hint="eastAsia" w:ascii="仿宋" w:hAnsi="仿宋" w:eastAsia="仿宋" w:cs="仿宋"/>
          <w:snapToGrid w:val="0"/>
          <w:color w:val="000000"/>
          <w:spacing w:val="12"/>
          <w:kern w:val="0"/>
          <w:sz w:val="31"/>
          <w:szCs w:val="31"/>
          <w:lang w:val="en-US" w:eastAsia="zh-CN" w:bidi="ar-SA"/>
        </w:rPr>
        <w:t>项目过程类指标权重为20 分，得分为20 分，得分率为 100%。</w:t>
      </w:r>
    </w:p>
    <w:p w14:paraId="05C8AF0D">
      <w:pPr>
        <w:tabs>
          <w:tab w:val="left" w:pos="1796"/>
        </w:tabs>
        <w:rPr>
          <w:rFonts w:hint="eastAsia" w:ascii="仿宋" w:hAnsi="仿宋" w:eastAsia="仿宋" w:cs="仿宋"/>
          <w:snapToGrid w:val="0"/>
          <w:color w:val="000000"/>
          <w:spacing w:val="12"/>
          <w:kern w:val="0"/>
          <w:sz w:val="31"/>
          <w:szCs w:val="31"/>
          <w:lang w:val="en-US" w:eastAsia="zh-CN" w:bidi="ar-SA"/>
        </w:rPr>
      </w:pPr>
      <w:r>
        <w:rPr>
          <w:rFonts w:hint="eastAsia" w:ascii="仿宋" w:hAnsi="仿宋" w:eastAsia="仿宋" w:cs="仿宋"/>
          <w:snapToGrid w:val="0"/>
          <w:color w:val="000000"/>
          <w:spacing w:val="12"/>
          <w:kern w:val="0"/>
          <w:sz w:val="31"/>
          <w:szCs w:val="31"/>
          <w:lang w:val="en-US" w:eastAsia="zh-CN" w:bidi="ar-SA"/>
        </w:rPr>
        <w:t>项目产出类指标权重为40 分，得分为40 分，得分率为 100%。</w:t>
      </w:r>
    </w:p>
    <w:p w14:paraId="3E0AC5F3">
      <w:pPr>
        <w:tabs>
          <w:tab w:val="left" w:pos="1796"/>
        </w:tabs>
        <w:rPr>
          <w:rFonts w:hint="eastAsia" w:ascii="仿宋" w:hAnsi="仿宋" w:eastAsia="仿宋" w:cs="仿宋"/>
          <w:snapToGrid w:val="0"/>
          <w:color w:val="000000"/>
          <w:spacing w:val="12"/>
          <w:kern w:val="0"/>
          <w:sz w:val="31"/>
          <w:szCs w:val="31"/>
          <w:lang w:val="en-US" w:eastAsia="zh-CN" w:bidi="ar-SA"/>
        </w:rPr>
      </w:pPr>
      <w:r>
        <w:rPr>
          <w:rFonts w:hint="eastAsia" w:ascii="仿宋" w:hAnsi="仿宋" w:eastAsia="仿宋" w:cs="仿宋"/>
          <w:snapToGrid w:val="0"/>
          <w:color w:val="000000"/>
          <w:spacing w:val="12"/>
          <w:kern w:val="0"/>
          <w:sz w:val="31"/>
          <w:szCs w:val="31"/>
          <w:lang w:val="en-US" w:eastAsia="zh-CN" w:bidi="ar-SA"/>
        </w:rPr>
        <w:t>项目效益类指标权重为20 分，得分为20 分，得分率为 100%。具体打分情况详见：附件 1 综合评分表。</w:t>
      </w:r>
    </w:p>
    <w:p w14:paraId="5BC2F05F">
      <w:pPr>
        <w:pStyle w:val="2"/>
        <w:spacing w:before="1" w:line="230" w:lineRule="auto"/>
        <w:ind w:left="3661"/>
        <w:outlineLvl w:val="0"/>
        <w:rPr>
          <w:sz w:val="20"/>
          <w:szCs w:val="20"/>
        </w:rPr>
      </w:pPr>
      <w:r>
        <w:rPr>
          <w:b/>
          <w:bCs/>
          <w:sz w:val="20"/>
          <w:szCs w:val="20"/>
        </w:rPr>
        <w:t>表</w:t>
      </w:r>
      <w:r>
        <w:rPr>
          <w:spacing w:val="-26"/>
          <w:sz w:val="20"/>
          <w:szCs w:val="20"/>
        </w:rPr>
        <w:t xml:space="preserve"> </w:t>
      </w:r>
      <w:r>
        <w:rPr>
          <w:rFonts w:ascii="Times New Roman" w:hAnsi="Times New Roman" w:eastAsia="Times New Roman" w:cs="Times New Roman"/>
          <w:b/>
          <w:bCs/>
          <w:sz w:val="20"/>
          <w:szCs w:val="20"/>
        </w:rPr>
        <w:t>1</w:t>
      </w:r>
      <w:r>
        <w:rPr>
          <w:rFonts w:ascii="Times New Roman" w:hAnsi="Times New Roman" w:eastAsia="Times New Roman" w:cs="Times New Roman"/>
          <w:b/>
          <w:bCs/>
          <w:spacing w:val="18"/>
          <w:sz w:val="20"/>
          <w:szCs w:val="20"/>
        </w:rPr>
        <w:t xml:space="preserve"> </w:t>
      </w:r>
      <w:r>
        <w:rPr>
          <w:b/>
          <w:bCs/>
          <w:sz w:val="20"/>
          <w:szCs w:val="20"/>
        </w:rPr>
        <w:t>综合评分表</w:t>
      </w:r>
    </w:p>
    <w:p w14:paraId="72D5AE1E">
      <w:pPr>
        <w:spacing w:line="122" w:lineRule="auto"/>
        <w:rPr>
          <w:rFonts w:ascii="Arial"/>
          <w:sz w:val="2"/>
        </w:rPr>
      </w:pPr>
    </w:p>
    <w:tbl>
      <w:tblPr>
        <w:tblStyle w:val="5"/>
        <w:tblW w:w="8764"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790"/>
        <w:gridCol w:w="1926"/>
        <w:gridCol w:w="2022"/>
        <w:gridCol w:w="2026"/>
      </w:tblGrid>
      <w:tr w14:paraId="67681A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1" w:hRule="atLeast"/>
        </w:trPr>
        <w:tc>
          <w:tcPr>
            <w:tcW w:w="2790" w:type="dxa"/>
            <w:shd w:val="clear" w:color="auto" w:fill="BEBEBE"/>
          </w:tcPr>
          <w:p w14:paraId="4FB94889">
            <w:pPr>
              <w:spacing w:before="55" w:line="231" w:lineRule="auto"/>
              <w:ind w:left="989"/>
              <w:rPr>
                <w:rFonts w:ascii="仿宋" w:hAnsi="仿宋" w:eastAsia="仿宋" w:cs="仿宋"/>
                <w:sz w:val="20"/>
                <w:szCs w:val="20"/>
              </w:rPr>
            </w:pPr>
            <w:r>
              <w:rPr>
                <w:rFonts w:ascii="仿宋" w:hAnsi="仿宋" w:eastAsia="仿宋" w:cs="仿宋"/>
                <w:b/>
                <w:bCs/>
                <w:spacing w:val="4"/>
                <w:sz w:val="20"/>
                <w:szCs w:val="20"/>
              </w:rPr>
              <w:t>一级指标</w:t>
            </w:r>
          </w:p>
        </w:tc>
        <w:tc>
          <w:tcPr>
            <w:tcW w:w="1926" w:type="dxa"/>
            <w:shd w:val="clear" w:color="auto" w:fill="BEBEBE"/>
          </w:tcPr>
          <w:p w14:paraId="7CA5C057">
            <w:pPr>
              <w:spacing w:before="55" w:line="231" w:lineRule="auto"/>
              <w:ind w:left="657"/>
              <w:rPr>
                <w:rFonts w:ascii="仿宋" w:hAnsi="仿宋" w:eastAsia="仿宋" w:cs="仿宋"/>
                <w:sz w:val="20"/>
                <w:szCs w:val="20"/>
              </w:rPr>
            </w:pPr>
            <w:r>
              <w:rPr>
                <w:rFonts w:ascii="仿宋" w:hAnsi="仿宋" w:eastAsia="仿宋" w:cs="仿宋"/>
                <w:b/>
                <w:bCs/>
                <w:spacing w:val="3"/>
                <w:sz w:val="20"/>
                <w:szCs w:val="20"/>
              </w:rPr>
              <w:t>权重分</w:t>
            </w:r>
          </w:p>
        </w:tc>
        <w:tc>
          <w:tcPr>
            <w:tcW w:w="2022" w:type="dxa"/>
            <w:shd w:val="clear" w:color="auto" w:fill="BEBEBE"/>
          </w:tcPr>
          <w:p w14:paraId="0DBD60D6">
            <w:pPr>
              <w:spacing w:before="55" w:line="231" w:lineRule="auto"/>
              <w:ind w:left="811"/>
              <w:rPr>
                <w:rFonts w:ascii="仿宋" w:hAnsi="仿宋" w:eastAsia="仿宋" w:cs="仿宋"/>
                <w:sz w:val="20"/>
                <w:szCs w:val="20"/>
              </w:rPr>
            </w:pPr>
            <w:r>
              <w:rPr>
                <w:rFonts w:ascii="仿宋" w:hAnsi="仿宋" w:eastAsia="仿宋" w:cs="仿宋"/>
                <w:b/>
                <w:bCs/>
                <w:sz w:val="20"/>
                <w:szCs w:val="20"/>
              </w:rPr>
              <w:t>得分</w:t>
            </w:r>
          </w:p>
        </w:tc>
        <w:tc>
          <w:tcPr>
            <w:tcW w:w="2026" w:type="dxa"/>
            <w:shd w:val="clear" w:color="auto" w:fill="BEBEBE"/>
          </w:tcPr>
          <w:p w14:paraId="500BC2C6">
            <w:pPr>
              <w:spacing w:before="55" w:line="231" w:lineRule="auto"/>
              <w:ind w:left="707"/>
              <w:rPr>
                <w:rFonts w:ascii="仿宋" w:hAnsi="仿宋" w:eastAsia="仿宋" w:cs="仿宋"/>
                <w:sz w:val="20"/>
                <w:szCs w:val="20"/>
              </w:rPr>
            </w:pPr>
            <w:r>
              <w:rPr>
                <w:rFonts w:ascii="仿宋" w:hAnsi="仿宋" w:eastAsia="仿宋" w:cs="仿宋"/>
                <w:b/>
                <w:bCs/>
                <w:spacing w:val="3"/>
                <w:sz w:val="20"/>
                <w:szCs w:val="20"/>
              </w:rPr>
              <w:t>得分率</w:t>
            </w:r>
          </w:p>
        </w:tc>
      </w:tr>
      <w:tr w14:paraId="2F83EC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trPr>
        <w:tc>
          <w:tcPr>
            <w:tcW w:w="2790" w:type="dxa"/>
          </w:tcPr>
          <w:p w14:paraId="45E50652">
            <w:pPr>
              <w:spacing w:before="65" w:line="231" w:lineRule="auto"/>
              <w:ind w:left="986"/>
              <w:rPr>
                <w:rFonts w:ascii="仿宋" w:hAnsi="仿宋" w:eastAsia="仿宋" w:cs="仿宋"/>
                <w:sz w:val="20"/>
                <w:szCs w:val="20"/>
              </w:rPr>
            </w:pPr>
            <w:r>
              <w:rPr>
                <w:rFonts w:ascii="仿宋" w:hAnsi="仿宋" w:eastAsia="仿宋" w:cs="仿宋"/>
                <w:spacing w:val="5"/>
                <w:sz w:val="20"/>
                <w:szCs w:val="20"/>
              </w:rPr>
              <w:t>项目决策</w:t>
            </w:r>
          </w:p>
        </w:tc>
        <w:tc>
          <w:tcPr>
            <w:tcW w:w="1926" w:type="dxa"/>
          </w:tcPr>
          <w:p w14:paraId="2189A871">
            <w:pPr>
              <w:pStyle w:val="6"/>
              <w:spacing w:before="101" w:line="195" w:lineRule="auto"/>
              <w:ind w:left="860"/>
            </w:pPr>
            <w:r>
              <w:rPr>
                <w:spacing w:val="2"/>
              </w:rPr>
              <w:t>20</w:t>
            </w:r>
          </w:p>
        </w:tc>
        <w:tc>
          <w:tcPr>
            <w:tcW w:w="2022" w:type="dxa"/>
          </w:tcPr>
          <w:p w14:paraId="18951373">
            <w:pPr>
              <w:pStyle w:val="6"/>
              <w:spacing w:before="101" w:line="195" w:lineRule="auto"/>
              <w:ind w:left="906"/>
            </w:pPr>
            <w:r>
              <w:rPr>
                <w:spacing w:val="2"/>
              </w:rPr>
              <w:t>20</w:t>
            </w:r>
          </w:p>
        </w:tc>
        <w:tc>
          <w:tcPr>
            <w:tcW w:w="2026" w:type="dxa"/>
          </w:tcPr>
          <w:p w14:paraId="506ED485">
            <w:pPr>
              <w:pStyle w:val="6"/>
              <w:spacing w:before="101" w:line="195" w:lineRule="auto"/>
              <w:ind w:left="789"/>
            </w:pPr>
            <w:r>
              <w:rPr>
                <w:spacing w:val="-1"/>
              </w:rPr>
              <w:t>100%</w:t>
            </w:r>
          </w:p>
        </w:tc>
      </w:tr>
      <w:tr w14:paraId="1E455A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trPr>
        <w:tc>
          <w:tcPr>
            <w:tcW w:w="2790" w:type="dxa"/>
          </w:tcPr>
          <w:p w14:paraId="7E0A29A3">
            <w:pPr>
              <w:spacing w:before="66" w:line="232" w:lineRule="auto"/>
              <w:ind w:left="986"/>
              <w:rPr>
                <w:rFonts w:ascii="仿宋" w:hAnsi="仿宋" w:eastAsia="仿宋" w:cs="仿宋"/>
                <w:sz w:val="20"/>
                <w:szCs w:val="20"/>
              </w:rPr>
            </w:pPr>
            <w:r>
              <w:rPr>
                <w:rFonts w:ascii="仿宋" w:hAnsi="仿宋" w:eastAsia="仿宋" w:cs="仿宋"/>
                <w:spacing w:val="5"/>
                <w:sz w:val="20"/>
                <w:szCs w:val="20"/>
              </w:rPr>
              <w:t>项目过程</w:t>
            </w:r>
          </w:p>
        </w:tc>
        <w:tc>
          <w:tcPr>
            <w:tcW w:w="1926" w:type="dxa"/>
          </w:tcPr>
          <w:p w14:paraId="06C39537">
            <w:pPr>
              <w:pStyle w:val="6"/>
              <w:spacing w:before="102" w:line="195" w:lineRule="auto"/>
              <w:ind w:left="860"/>
            </w:pPr>
            <w:r>
              <w:rPr>
                <w:spacing w:val="2"/>
              </w:rPr>
              <w:t>20</w:t>
            </w:r>
          </w:p>
        </w:tc>
        <w:tc>
          <w:tcPr>
            <w:tcW w:w="2022" w:type="dxa"/>
          </w:tcPr>
          <w:p w14:paraId="667940FC">
            <w:pPr>
              <w:pStyle w:val="6"/>
              <w:spacing w:before="102" w:line="195" w:lineRule="auto"/>
              <w:ind w:left="906"/>
            </w:pPr>
            <w:r>
              <w:rPr>
                <w:spacing w:val="2"/>
              </w:rPr>
              <w:t>20</w:t>
            </w:r>
          </w:p>
        </w:tc>
        <w:tc>
          <w:tcPr>
            <w:tcW w:w="2026" w:type="dxa"/>
          </w:tcPr>
          <w:p w14:paraId="0DDDF87E">
            <w:pPr>
              <w:pStyle w:val="6"/>
              <w:spacing w:before="102" w:line="195" w:lineRule="auto"/>
              <w:ind w:left="789"/>
            </w:pPr>
            <w:r>
              <w:rPr>
                <w:spacing w:val="-1"/>
              </w:rPr>
              <w:t>100%</w:t>
            </w:r>
          </w:p>
        </w:tc>
      </w:tr>
      <w:tr w14:paraId="695EB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trPr>
        <w:tc>
          <w:tcPr>
            <w:tcW w:w="2790" w:type="dxa"/>
          </w:tcPr>
          <w:p w14:paraId="2E1E57B7">
            <w:pPr>
              <w:spacing w:before="68" w:line="232" w:lineRule="auto"/>
              <w:ind w:left="986"/>
              <w:rPr>
                <w:rFonts w:ascii="仿宋" w:hAnsi="仿宋" w:eastAsia="仿宋" w:cs="仿宋"/>
                <w:sz w:val="20"/>
                <w:szCs w:val="20"/>
              </w:rPr>
            </w:pPr>
            <w:r>
              <w:rPr>
                <w:rFonts w:ascii="仿宋" w:hAnsi="仿宋" w:eastAsia="仿宋" w:cs="仿宋"/>
                <w:spacing w:val="5"/>
                <w:sz w:val="20"/>
                <w:szCs w:val="20"/>
              </w:rPr>
              <w:t>项目产出</w:t>
            </w:r>
          </w:p>
        </w:tc>
        <w:tc>
          <w:tcPr>
            <w:tcW w:w="1926" w:type="dxa"/>
          </w:tcPr>
          <w:p w14:paraId="7C90666C">
            <w:pPr>
              <w:pStyle w:val="6"/>
              <w:spacing w:before="104" w:line="195" w:lineRule="auto"/>
              <w:ind w:left="859"/>
            </w:pPr>
            <w:r>
              <w:rPr>
                <w:spacing w:val="3"/>
              </w:rPr>
              <w:t>40</w:t>
            </w:r>
          </w:p>
        </w:tc>
        <w:tc>
          <w:tcPr>
            <w:tcW w:w="2022" w:type="dxa"/>
          </w:tcPr>
          <w:p w14:paraId="3E034453">
            <w:pPr>
              <w:pStyle w:val="6"/>
              <w:spacing w:before="104" w:line="195" w:lineRule="auto"/>
              <w:ind w:left="905"/>
            </w:pPr>
            <w:r>
              <w:rPr>
                <w:spacing w:val="3"/>
              </w:rPr>
              <w:t>40</w:t>
            </w:r>
          </w:p>
        </w:tc>
        <w:tc>
          <w:tcPr>
            <w:tcW w:w="2026" w:type="dxa"/>
          </w:tcPr>
          <w:p w14:paraId="0D101DCB">
            <w:pPr>
              <w:pStyle w:val="6"/>
              <w:spacing w:before="104" w:line="195" w:lineRule="auto"/>
              <w:ind w:left="789"/>
            </w:pPr>
            <w:r>
              <w:rPr>
                <w:spacing w:val="-1"/>
              </w:rPr>
              <w:t>100%</w:t>
            </w:r>
          </w:p>
        </w:tc>
      </w:tr>
      <w:tr w14:paraId="4750BF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trPr>
        <w:tc>
          <w:tcPr>
            <w:tcW w:w="2790" w:type="dxa"/>
          </w:tcPr>
          <w:p w14:paraId="4C7149E8">
            <w:pPr>
              <w:spacing w:before="69" w:line="232" w:lineRule="auto"/>
              <w:ind w:left="986"/>
              <w:rPr>
                <w:rFonts w:ascii="仿宋" w:hAnsi="仿宋" w:eastAsia="仿宋" w:cs="仿宋"/>
                <w:sz w:val="20"/>
                <w:szCs w:val="20"/>
              </w:rPr>
            </w:pPr>
            <w:r>
              <w:rPr>
                <w:rFonts w:ascii="仿宋" w:hAnsi="仿宋" w:eastAsia="仿宋" w:cs="仿宋"/>
                <w:spacing w:val="5"/>
                <w:sz w:val="20"/>
                <w:szCs w:val="20"/>
              </w:rPr>
              <w:t>项目效益</w:t>
            </w:r>
          </w:p>
        </w:tc>
        <w:tc>
          <w:tcPr>
            <w:tcW w:w="1926" w:type="dxa"/>
          </w:tcPr>
          <w:p w14:paraId="7C034B27">
            <w:pPr>
              <w:pStyle w:val="6"/>
              <w:spacing w:before="105" w:line="195" w:lineRule="auto"/>
              <w:ind w:left="860"/>
            </w:pPr>
            <w:r>
              <w:rPr>
                <w:spacing w:val="2"/>
              </w:rPr>
              <w:t>20</w:t>
            </w:r>
          </w:p>
        </w:tc>
        <w:tc>
          <w:tcPr>
            <w:tcW w:w="2022" w:type="dxa"/>
          </w:tcPr>
          <w:p w14:paraId="04AEB17C">
            <w:pPr>
              <w:pStyle w:val="6"/>
              <w:spacing w:before="105" w:line="195" w:lineRule="auto"/>
              <w:ind w:left="906"/>
            </w:pPr>
            <w:r>
              <w:rPr>
                <w:spacing w:val="2"/>
              </w:rPr>
              <w:t>20</w:t>
            </w:r>
          </w:p>
        </w:tc>
        <w:tc>
          <w:tcPr>
            <w:tcW w:w="2026" w:type="dxa"/>
          </w:tcPr>
          <w:p w14:paraId="61FB8C8A">
            <w:pPr>
              <w:pStyle w:val="6"/>
              <w:spacing w:before="105" w:line="195" w:lineRule="auto"/>
              <w:ind w:left="789"/>
            </w:pPr>
            <w:r>
              <w:rPr>
                <w:spacing w:val="-1"/>
              </w:rPr>
              <w:t>100%</w:t>
            </w:r>
          </w:p>
        </w:tc>
      </w:tr>
      <w:tr w14:paraId="0F9DF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9" w:hRule="atLeast"/>
        </w:trPr>
        <w:tc>
          <w:tcPr>
            <w:tcW w:w="2790" w:type="dxa"/>
          </w:tcPr>
          <w:p w14:paraId="2DCA48BC">
            <w:pPr>
              <w:spacing w:before="71" w:line="231" w:lineRule="auto"/>
              <w:ind w:left="1200"/>
              <w:rPr>
                <w:rFonts w:ascii="仿宋" w:hAnsi="仿宋" w:eastAsia="仿宋" w:cs="仿宋"/>
                <w:sz w:val="20"/>
                <w:szCs w:val="20"/>
              </w:rPr>
            </w:pPr>
            <w:r>
              <w:rPr>
                <w:rFonts w:ascii="仿宋" w:hAnsi="仿宋" w:eastAsia="仿宋" w:cs="仿宋"/>
                <w:b/>
                <w:bCs/>
                <w:spacing w:val="-2"/>
                <w:sz w:val="20"/>
                <w:szCs w:val="20"/>
              </w:rPr>
              <w:t>合计</w:t>
            </w:r>
          </w:p>
        </w:tc>
        <w:tc>
          <w:tcPr>
            <w:tcW w:w="1926" w:type="dxa"/>
          </w:tcPr>
          <w:p w14:paraId="00098581">
            <w:pPr>
              <w:pStyle w:val="6"/>
              <w:spacing w:before="107" w:line="195" w:lineRule="auto"/>
              <w:ind w:left="816"/>
            </w:pPr>
            <w:r>
              <w:rPr>
                <w:b/>
                <w:bCs/>
              </w:rPr>
              <w:t>100</w:t>
            </w:r>
          </w:p>
        </w:tc>
        <w:tc>
          <w:tcPr>
            <w:tcW w:w="2022" w:type="dxa"/>
          </w:tcPr>
          <w:p w14:paraId="77EC2CCE">
            <w:pPr>
              <w:pStyle w:val="6"/>
              <w:spacing w:before="107" w:line="195" w:lineRule="auto"/>
              <w:ind w:left="865"/>
            </w:pPr>
            <w:r>
              <w:rPr>
                <w:b/>
                <w:bCs/>
              </w:rPr>
              <w:t>100</w:t>
            </w:r>
          </w:p>
        </w:tc>
        <w:tc>
          <w:tcPr>
            <w:tcW w:w="2026" w:type="dxa"/>
          </w:tcPr>
          <w:p w14:paraId="393F3155">
            <w:pPr>
              <w:pStyle w:val="6"/>
              <w:spacing w:before="107" w:line="195" w:lineRule="auto"/>
              <w:ind w:left="789"/>
            </w:pPr>
            <w:r>
              <w:rPr>
                <w:spacing w:val="-1"/>
              </w:rPr>
              <w:t>100%</w:t>
            </w:r>
          </w:p>
        </w:tc>
      </w:tr>
    </w:tbl>
    <w:p w14:paraId="0CBF2958">
      <w:pPr>
        <w:spacing w:before="174" w:line="226" w:lineRule="auto"/>
        <w:ind w:left="782"/>
        <w:rPr>
          <w:rFonts w:ascii="黑体" w:hAnsi="黑体" w:eastAsia="黑体" w:cs="黑体"/>
          <w:sz w:val="31"/>
          <w:szCs w:val="31"/>
        </w:rPr>
      </w:pPr>
      <w:r>
        <w:rPr>
          <w:rFonts w:ascii="黑体" w:hAnsi="黑体" w:eastAsia="黑体" w:cs="黑体"/>
          <w:spacing w:val="6"/>
          <w:sz w:val="31"/>
          <w:szCs w:val="31"/>
        </w:rPr>
        <w:t>四、绩效评价指标分析</w:t>
      </w:r>
    </w:p>
    <w:p w14:paraId="5BC980B3">
      <w:pPr>
        <w:spacing w:before="182" w:line="229" w:lineRule="auto"/>
        <w:ind w:left="789"/>
        <w:outlineLvl w:val="0"/>
        <w:rPr>
          <w:rFonts w:ascii="楷体" w:hAnsi="楷体" w:eastAsia="楷体" w:cs="楷体"/>
          <w:sz w:val="31"/>
          <w:szCs w:val="31"/>
        </w:rPr>
      </w:pPr>
      <w:r>
        <w:rPr>
          <w:rFonts w:ascii="楷体" w:hAnsi="楷体" w:eastAsia="楷体" w:cs="楷体"/>
          <w:b/>
          <w:bCs/>
          <w:spacing w:val="3"/>
          <w:sz w:val="31"/>
          <w:szCs w:val="31"/>
        </w:rPr>
        <w:t>（一）项目决策情况</w:t>
      </w:r>
    </w:p>
    <w:p w14:paraId="6B423DEA">
      <w:pPr>
        <w:rPr>
          <w:rFonts w:hint="eastAsia" w:ascii="仿宋" w:hAnsi="仿宋" w:eastAsia="仿宋" w:cs="仿宋"/>
          <w:snapToGrid w:val="0"/>
          <w:color w:val="000000"/>
          <w:spacing w:val="12"/>
          <w:kern w:val="0"/>
          <w:sz w:val="31"/>
          <w:szCs w:val="31"/>
          <w:lang w:val="en-US" w:eastAsia="en-US" w:bidi="ar-SA"/>
        </w:rPr>
      </w:pPr>
      <w:r>
        <w:rPr>
          <w:rFonts w:hint="eastAsia" w:ascii="仿宋" w:hAnsi="仿宋" w:eastAsia="仿宋" w:cs="仿宋"/>
          <w:snapToGrid w:val="0"/>
          <w:color w:val="000000"/>
          <w:spacing w:val="12"/>
          <w:kern w:val="0"/>
          <w:sz w:val="31"/>
          <w:szCs w:val="31"/>
          <w:lang w:val="en-US" w:eastAsia="en-US" w:bidi="ar-SA"/>
        </w:rPr>
        <w:t>项目决策类指标包括项目立项、绩效目标和资金投入三方面的内容， 由 6 个三级指标构成，权重分值为 20 分，实际得分 20 分，得分率为 100% 。</w:t>
      </w:r>
    </w:p>
    <w:p w14:paraId="61AEBC55">
      <w:pPr>
        <w:pStyle w:val="2"/>
        <w:spacing w:before="186" w:line="229" w:lineRule="auto"/>
        <w:ind w:left="675"/>
      </w:pPr>
      <w:r>
        <w:rPr>
          <w:rFonts w:ascii="Times New Roman" w:hAnsi="Times New Roman" w:eastAsia="Times New Roman" w:cs="Times New Roman"/>
          <w:b/>
          <w:bCs/>
          <w:spacing w:val="2"/>
        </w:rPr>
        <w:t>1.</w:t>
      </w:r>
      <w:r>
        <w:rPr>
          <w:b/>
          <w:bCs/>
          <w:spacing w:val="2"/>
        </w:rPr>
        <w:t>项目立项</w:t>
      </w:r>
    </w:p>
    <w:p w14:paraId="273F1EAF">
      <w:pPr>
        <w:pStyle w:val="2"/>
        <w:spacing w:before="204" w:line="226" w:lineRule="auto"/>
        <w:ind w:left="680"/>
        <w:outlineLvl w:val="0"/>
      </w:pPr>
      <w:r>
        <w:rPr>
          <w:spacing w:val="6"/>
        </w:rPr>
        <w:t>（</w:t>
      </w:r>
      <w:r>
        <w:rPr>
          <w:rFonts w:ascii="Times New Roman" w:hAnsi="Times New Roman" w:eastAsia="Times New Roman" w:cs="Times New Roman"/>
          <w:spacing w:val="6"/>
        </w:rPr>
        <w:t>1</w:t>
      </w:r>
      <w:r>
        <w:rPr>
          <w:spacing w:val="6"/>
        </w:rPr>
        <w:t>）立项依据充分性</w:t>
      </w:r>
    </w:p>
    <w:p w14:paraId="26077578">
      <w:pPr>
        <w:pStyle w:val="2"/>
        <w:spacing w:before="222" w:line="291" w:lineRule="auto"/>
        <w:ind w:left="34" w:right="274" w:firstLine="641"/>
        <w:outlineLvl w:val="0"/>
      </w:pPr>
      <w:r>
        <w:rPr>
          <w:spacing w:val="5"/>
        </w:rPr>
        <w:t>该项目立项符合国家相关法律法规及发展政策，符合行业</w:t>
      </w:r>
      <w:r>
        <w:rPr>
          <w:spacing w:val="6"/>
        </w:rPr>
        <w:t>规划要求，围绕本年度工作重点和工作计划制</w:t>
      </w:r>
      <w:r>
        <w:rPr>
          <w:spacing w:val="5"/>
        </w:rPr>
        <w:t>定经费预算，属</w:t>
      </w:r>
    </w:p>
    <w:p w14:paraId="5D10274C">
      <w:pPr>
        <w:pStyle w:val="2"/>
        <w:spacing w:before="222" w:line="357" w:lineRule="auto"/>
        <w:ind w:left="36" w:firstLine="5"/>
      </w:pPr>
      <w:r>
        <w:rPr>
          <w:spacing w:val="4"/>
        </w:rPr>
        <w:t>于公共财政支持范围。本项目与部门内部其他相关项目不重复。</w:t>
      </w:r>
      <w:r>
        <w:rPr>
          <w:spacing w:val="8"/>
        </w:rPr>
        <w:t>部门发展规划及职能文件等归档完整。</w:t>
      </w:r>
    </w:p>
    <w:p w14:paraId="1F7D64FB">
      <w:pPr>
        <w:pStyle w:val="2"/>
        <w:spacing w:before="1" w:line="225" w:lineRule="auto"/>
        <w:ind w:left="680"/>
        <w:outlineLvl w:val="0"/>
      </w:pPr>
      <w:r>
        <w:rPr>
          <w:spacing w:val="6"/>
        </w:rPr>
        <w:t>（</w:t>
      </w:r>
      <w:r>
        <w:rPr>
          <w:rFonts w:ascii="Times New Roman" w:hAnsi="Times New Roman" w:eastAsia="Times New Roman" w:cs="Times New Roman"/>
          <w:spacing w:val="6"/>
        </w:rPr>
        <w:t>2</w:t>
      </w:r>
      <w:r>
        <w:rPr>
          <w:spacing w:val="6"/>
        </w:rPr>
        <w:t>）立项程序规范性</w:t>
      </w:r>
    </w:p>
    <w:p w14:paraId="1C810966">
      <w:pPr>
        <w:pStyle w:val="2"/>
        <w:spacing w:before="223" w:line="291" w:lineRule="auto"/>
        <w:ind w:left="37" w:right="272" w:firstLine="639"/>
        <w:outlineLvl w:val="0"/>
        <w:rPr>
          <w:rFonts w:ascii="仿宋" w:hAnsi="仿宋" w:eastAsia="仿宋" w:cs="仿宋"/>
          <w:snapToGrid w:val="0"/>
          <w:color w:val="000000"/>
          <w:spacing w:val="5"/>
          <w:kern w:val="0"/>
          <w:sz w:val="31"/>
          <w:szCs w:val="31"/>
          <w:lang w:val="en-US" w:eastAsia="en-US" w:bidi="ar-SA"/>
        </w:rPr>
      </w:pPr>
      <w:r>
        <w:rPr>
          <w:spacing w:val="5"/>
        </w:rPr>
        <w:t>项目申请、设立过程符合相关要求，严格按照审批流程准备符合要求的文件、材料；根据决算依据编制工作计划和经费</w:t>
      </w:r>
      <w:r>
        <w:rPr>
          <w:rFonts w:ascii="仿宋" w:hAnsi="仿宋" w:eastAsia="仿宋" w:cs="仿宋"/>
          <w:snapToGrid w:val="0"/>
          <w:color w:val="000000"/>
          <w:spacing w:val="5"/>
          <w:kern w:val="0"/>
          <w:sz w:val="31"/>
          <w:szCs w:val="31"/>
          <w:lang w:val="en-US" w:eastAsia="en-US" w:bidi="ar-SA"/>
        </w:rPr>
        <w:t>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1A8D185">
      <w:pPr>
        <w:pStyle w:val="2"/>
        <w:spacing w:before="1" w:line="227" w:lineRule="auto"/>
        <w:ind w:left="662"/>
      </w:pPr>
      <w:r>
        <w:rPr>
          <w:rFonts w:ascii="Times New Roman" w:hAnsi="Times New Roman" w:eastAsia="Times New Roman" w:cs="Times New Roman"/>
          <w:b/>
          <w:bCs/>
          <w:spacing w:val="5"/>
        </w:rPr>
        <w:t>2.</w:t>
      </w:r>
      <w:r>
        <w:rPr>
          <w:b/>
          <w:bCs/>
          <w:spacing w:val="5"/>
        </w:rPr>
        <w:t>绩效目标</w:t>
      </w:r>
    </w:p>
    <w:p w14:paraId="4AC627CA">
      <w:pPr>
        <w:pStyle w:val="2"/>
        <w:spacing w:before="210" w:line="226" w:lineRule="auto"/>
        <w:ind w:left="680"/>
        <w:outlineLvl w:val="0"/>
      </w:pPr>
      <w:r>
        <w:rPr>
          <w:spacing w:val="6"/>
        </w:rPr>
        <w:t>（</w:t>
      </w:r>
      <w:r>
        <w:rPr>
          <w:rFonts w:ascii="Times New Roman" w:hAnsi="Times New Roman" w:eastAsia="Times New Roman" w:cs="Times New Roman"/>
          <w:spacing w:val="6"/>
        </w:rPr>
        <w:t>1</w:t>
      </w:r>
      <w:r>
        <w:rPr>
          <w:spacing w:val="6"/>
        </w:rPr>
        <w:t>）绩效目标合理性</w:t>
      </w:r>
    </w:p>
    <w:p w14:paraId="62D081B3">
      <w:pPr>
        <w:pStyle w:val="2"/>
        <w:spacing w:before="221" w:line="292" w:lineRule="auto"/>
        <w:ind w:left="42" w:right="25" w:firstLine="639"/>
        <w:outlineLvl w:val="0"/>
      </w:pPr>
      <w:r>
        <w:rPr>
          <w:spacing w:val="2"/>
        </w:rPr>
        <w:t>年初结合实际工作内容设定绩效目标，绩效目标依据充分，</w:t>
      </w:r>
      <w:r>
        <w:rPr>
          <w:spacing w:val="5"/>
        </w:rPr>
        <w:t>符合客观实际，能反映和考核项目绩效目标与项目实施的相符</w:t>
      </w:r>
    </w:p>
    <w:p w14:paraId="22F4F6F7">
      <w:pPr>
        <w:pStyle w:val="2"/>
        <w:spacing w:before="223" w:line="291" w:lineRule="auto"/>
        <w:ind w:left="37" w:right="272" w:firstLine="639"/>
        <w:outlineLvl w:val="0"/>
        <w:rPr>
          <w:rFonts w:hint="eastAsia" w:eastAsia="仿宋"/>
          <w:spacing w:val="7"/>
          <w:lang w:eastAsia="zh-CN"/>
        </w:rPr>
      </w:pPr>
      <w:r>
        <w:rPr>
          <w:spacing w:val="5"/>
        </w:rPr>
        <w:t>情况，依据绩效目标设定的绩效指标清晰、细化、可衡量，能</w:t>
      </w:r>
      <w:r>
        <w:rPr>
          <w:spacing w:val="3"/>
        </w:rPr>
        <w:t>反映和考核项目绩效目标的明细化情况。绩效目标表经过审核，</w:t>
      </w:r>
      <w:r>
        <w:rPr>
          <w:spacing w:val="6"/>
        </w:rPr>
        <w:t>绩效目标与实际工作内容具有相关性，预算</w:t>
      </w:r>
      <w:r>
        <w:rPr>
          <w:spacing w:val="5"/>
        </w:rPr>
        <w:t>与确定的项目投资</w:t>
      </w:r>
      <w:r>
        <w:rPr>
          <w:spacing w:val="6"/>
        </w:rPr>
        <w:t>额相匹配，对项目任务进行了详细分解。项目预期</w:t>
      </w:r>
      <w:r>
        <w:rPr>
          <w:spacing w:val="5"/>
        </w:rPr>
        <w:t>产出效益及</w:t>
      </w:r>
      <w:r>
        <w:rPr>
          <w:spacing w:val="7"/>
        </w:rPr>
        <w:t>效果符合正常的业绩水平</w:t>
      </w:r>
      <w:r>
        <w:rPr>
          <w:rFonts w:hint="eastAsia"/>
          <w:spacing w:val="7"/>
          <w:lang w:eastAsia="zh-CN"/>
        </w:rPr>
        <w:t>。</w:t>
      </w:r>
    </w:p>
    <w:p w14:paraId="54C0D15A">
      <w:pPr>
        <w:pStyle w:val="2"/>
        <w:spacing w:before="215" w:line="226" w:lineRule="auto"/>
        <w:ind w:left="680"/>
        <w:outlineLvl w:val="0"/>
      </w:pPr>
      <w:r>
        <w:rPr>
          <w:spacing w:val="6"/>
        </w:rPr>
        <w:t>（</w:t>
      </w:r>
      <w:r>
        <w:rPr>
          <w:rFonts w:ascii="Times New Roman" w:hAnsi="Times New Roman" w:eastAsia="Times New Roman" w:cs="Times New Roman"/>
          <w:spacing w:val="6"/>
        </w:rPr>
        <w:t>2</w:t>
      </w:r>
      <w:r>
        <w:rPr>
          <w:spacing w:val="6"/>
        </w:rPr>
        <w:t>）绩效指标明确性</w:t>
      </w:r>
    </w:p>
    <w:p w14:paraId="70962A81">
      <w:pPr>
        <w:pStyle w:val="2"/>
        <w:spacing w:before="221" w:line="292" w:lineRule="auto"/>
        <w:ind w:left="38" w:firstLine="638"/>
        <w:outlineLvl w:val="0"/>
        <w:rPr>
          <w:spacing w:val="8"/>
        </w:rPr>
      </w:pPr>
      <w:r>
        <w:rPr>
          <w:spacing w:val="5"/>
        </w:rPr>
        <w:t>项目设置了明确的预期产出效益和效果，将绩效目标细化</w:t>
      </w:r>
      <w:r>
        <w:rPr>
          <w:spacing w:val="6"/>
        </w:rPr>
        <w:t>分解为具体的绩效指标，绩效目标与项目目标任务数相对应，</w:t>
      </w:r>
      <w:r>
        <w:rPr>
          <w:spacing w:val="8"/>
        </w:rPr>
        <w:t>绩效目标设定的绩效指标清晰、细化、可衡量。</w:t>
      </w:r>
    </w:p>
    <w:p w14:paraId="720D864F">
      <w:pPr>
        <w:pStyle w:val="2"/>
        <w:spacing w:before="190" w:line="229" w:lineRule="auto"/>
        <w:ind w:left="660"/>
      </w:pPr>
      <w:r>
        <w:rPr>
          <w:rFonts w:ascii="Times New Roman" w:hAnsi="Times New Roman" w:eastAsia="Times New Roman" w:cs="Times New Roman"/>
          <w:b/>
          <w:bCs/>
          <w:spacing w:val="-1"/>
        </w:rPr>
        <w:t>3.</w:t>
      </w:r>
      <w:r>
        <w:rPr>
          <w:rFonts w:ascii="Times New Roman" w:hAnsi="Times New Roman" w:eastAsia="Times New Roman" w:cs="Times New Roman"/>
          <w:b/>
          <w:bCs/>
          <w:spacing w:val="-40"/>
        </w:rPr>
        <w:t xml:space="preserve"> </w:t>
      </w:r>
      <w:r>
        <w:rPr>
          <w:b/>
          <w:bCs/>
          <w:spacing w:val="-1"/>
        </w:rPr>
        <w:t>资金投入</w:t>
      </w:r>
    </w:p>
    <w:p w14:paraId="56D98CC8">
      <w:pPr>
        <w:pStyle w:val="2"/>
        <w:spacing w:before="204" w:line="226" w:lineRule="auto"/>
        <w:ind w:left="680"/>
        <w:outlineLvl w:val="0"/>
      </w:pPr>
      <w:r>
        <w:rPr>
          <w:spacing w:val="6"/>
        </w:rPr>
        <w:t>（</w:t>
      </w:r>
      <w:r>
        <w:rPr>
          <w:rFonts w:ascii="Times New Roman" w:hAnsi="Times New Roman" w:eastAsia="Times New Roman" w:cs="Times New Roman"/>
          <w:spacing w:val="6"/>
        </w:rPr>
        <w:t>1</w:t>
      </w:r>
      <w:r>
        <w:rPr>
          <w:spacing w:val="6"/>
        </w:rPr>
        <w:t>）预算编制科学性</w:t>
      </w:r>
    </w:p>
    <w:p w14:paraId="0D5237C5">
      <w:pPr>
        <w:pStyle w:val="2"/>
        <w:spacing w:before="221" w:line="292" w:lineRule="auto"/>
        <w:ind w:left="38" w:firstLine="638"/>
        <w:outlineLvl w:val="0"/>
        <w:rPr>
          <w:rFonts w:hint="eastAsia"/>
          <w:spacing w:val="8"/>
          <w:lang w:val="en-US" w:eastAsia="en-US"/>
        </w:rPr>
      </w:pPr>
      <w:r>
        <w:rPr>
          <w:rFonts w:hint="eastAsia"/>
          <w:spacing w:val="8"/>
          <w:lang w:val="en-US" w:eastAsia="en-US"/>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EE2B9E7">
      <w:pPr>
        <w:pStyle w:val="2"/>
        <w:spacing w:before="221" w:line="292" w:lineRule="auto"/>
        <w:ind w:left="38" w:firstLine="638"/>
        <w:outlineLvl w:val="0"/>
        <w:rPr>
          <w:rFonts w:hint="eastAsia"/>
          <w:spacing w:val="8"/>
          <w:lang w:val="en-US" w:eastAsia="en-US"/>
        </w:rPr>
      </w:pPr>
      <w:r>
        <w:rPr>
          <w:rFonts w:hint="eastAsia"/>
          <w:spacing w:val="8"/>
          <w:lang w:val="en-US" w:eastAsia="en-US"/>
        </w:rPr>
        <w:t>在预算编制过程中，还注重了成本控制与效益最大化的原则。通过优化资源配置、提高资金使用效率等措施，确保项目</w:t>
      </w:r>
    </w:p>
    <w:p w14:paraId="02F5E4FB">
      <w:pPr>
        <w:pStyle w:val="2"/>
        <w:spacing w:before="221" w:line="292" w:lineRule="auto"/>
        <w:ind w:left="38" w:firstLine="638"/>
        <w:outlineLvl w:val="0"/>
        <w:rPr>
          <w:rFonts w:hint="eastAsia"/>
          <w:spacing w:val="8"/>
          <w:lang w:val="en-US" w:eastAsia="en-US"/>
        </w:rPr>
      </w:pPr>
      <w:r>
        <w:rPr>
          <w:rFonts w:hint="eastAsia"/>
          <w:spacing w:val="8"/>
          <w:lang w:val="en-US" w:eastAsia="en-US"/>
        </w:rPr>
        <w:t>在有限的预算内取得最大的经济效益与社会效益。此外，预算编制还充分考虑了风险因素，对可能出现的超支情况进行了预留与规划， 以应对项目实施过程中的不确定性。</w:t>
      </w:r>
    </w:p>
    <w:p w14:paraId="5C602193">
      <w:pPr>
        <w:pStyle w:val="2"/>
        <w:spacing w:before="221" w:line="292" w:lineRule="auto"/>
        <w:ind w:left="38" w:firstLine="638"/>
        <w:outlineLvl w:val="0"/>
        <w:rPr>
          <w:rFonts w:hint="eastAsia"/>
          <w:spacing w:val="8"/>
          <w:lang w:val="en-US" w:eastAsia="en-US"/>
        </w:rPr>
      </w:pPr>
      <w:r>
        <w:rPr>
          <w:rFonts w:hint="eastAsia"/>
          <w:spacing w:val="8"/>
          <w:lang w:val="en-US" w:eastAsia="en-US"/>
        </w:rPr>
        <w:t>（2）资金分配合理性</w:t>
      </w:r>
    </w:p>
    <w:p w14:paraId="490A2B78">
      <w:pPr>
        <w:spacing w:before="198" w:line="333" w:lineRule="auto"/>
        <w:ind w:left="42" w:right="22" w:firstLine="640"/>
        <w:jc w:val="both"/>
        <w:rPr>
          <w:rFonts w:ascii="仿宋" w:hAnsi="仿宋" w:eastAsia="仿宋" w:cs="仿宋"/>
          <w:sz w:val="31"/>
          <w:szCs w:val="31"/>
        </w:rPr>
      </w:pPr>
      <w:r>
        <w:rPr>
          <w:rFonts w:ascii="仿宋" w:hAnsi="仿宋" w:eastAsia="仿宋" w:cs="仿宋"/>
          <w:spacing w:val="5"/>
          <w:sz w:val="31"/>
          <w:szCs w:val="31"/>
        </w:rPr>
        <w:t>本项目的资金分配遵循了公平、公正、透明的原则，确保了项目资源的合理配置与高效利用。在资金分配过程中，我们充分考虑了项目的实际需求与目标，对不同阶段、不同任务的</w:t>
      </w:r>
      <w:r>
        <w:rPr>
          <w:rFonts w:ascii="仿宋" w:hAnsi="仿宋" w:eastAsia="仿宋" w:cs="仿宋"/>
          <w:spacing w:val="7"/>
          <w:sz w:val="31"/>
          <w:szCs w:val="31"/>
        </w:rPr>
        <w:t>资金进行了科学的规划与安排。</w:t>
      </w:r>
    </w:p>
    <w:p w14:paraId="551C5E49">
      <w:pPr>
        <w:pStyle w:val="2"/>
        <w:spacing w:before="221" w:line="292" w:lineRule="auto"/>
        <w:ind w:left="38" w:firstLine="638"/>
        <w:outlineLvl w:val="0"/>
        <w:rPr>
          <w:rFonts w:hint="eastAsia"/>
          <w:spacing w:val="8"/>
          <w:lang w:val="en-US" w:eastAsia="en-US"/>
        </w:rPr>
      </w:pPr>
      <w:r>
        <w:rPr>
          <w:rFonts w:ascii="仿宋" w:hAnsi="仿宋" w:eastAsia="仿宋" w:cs="仿宋"/>
          <w:spacing w:val="6"/>
          <w:sz w:val="31"/>
          <w:szCs w:val="31"/>
        </w:rPr>
        <w:t>具体而言，资金分配紧密结合了项目的特点与实际情况，</w:t>
      </w:r>
      <w:r>
        <w:rPr>
          <w:rFonts w:ascii="仿宋" w:hAnsi="仿宋" w:eastAsia="仿宋" w:cs="仿宋"/>
          <w:spacing w:val="5"/>
          <w:sz w:val="31"/>
          <w:szCs w:val="31"/>
        </w:rPr>
        <w:t>对关键领域与重要环节给予了重点支持。同时，我们也注重了资金的均衡分配，避免了资源浪费与资金闲置。此外，资金分</w:t>
      </w:r>
      <w:r>
        <w:rPr>
          <w:rFonts w:hint="eastAsia"/>
          <w:spacing w:val="8"/>
          <w:lang w:val="en-US" w:eastAsia="en-US"/>
        </w:rPr>
        <w:t>配还充分考虑了风险因素，对可能出现的超支情况进行了预留与调整。</w:t>
      </w:r>
    </w:p>
    <w:p w14:paraId="378C3B07">
      <w:pPr>
        <w:pStyle w:val="2"/>
        <w:spacing w:before="221" w:line="292" w:lineRule="auto"/>
        <w:ind w:left="38" w:firstLine="638"/>
        <w:outlineLvl w:val="0"/>
        <w:rPr>
          <w:rFonts w:hint="eastAsia"/>
          <w:spacing w:val="8"/>
          <w:lang w:val="en-US" w:eastAsia="en-US"/>
        </w:rPr>
      </w:pPr>
      <w:r>
        <w:rPr>
          <w:rFonts w:hint="eastAsia"/>
          <w:spacing w:val="8"/>
          <w:lang w:val="en-US" w:eastAsia="en-US"/>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E3CC5BD">
      <w:pPr>
        <w:spacing w:line="232" w:lineRule="auto"/>
        <w:ind w:left="692"/>
        <w:outlineLvl w:val="0"/>
        <w:rPr>
          <w:rFonts w:ascii="楷体" w:hAnsi="楷体" w:eastAsia="楷体" w:cs="楷体"/>
          <w:sz w:val="31"/>
          <w:szCs w:val="31"/>
        </w:rPr>
      </w:pPr>
      <w:r>
        <w:rPr>
          <w:rFonts w:ascii="楷体" w:hAnsi="楷体" w:eastAsia="楷体" w:cs="楷体"/>
          <w:b/>
          <w:bCs/>
          <w:spacing w:val="-7"/>
          <w:sz w:val="31"/>
          <w:szCs w:val="31"/>
        </w:rPr>
        <w:t>（二）项</w:t>
      </w:r>
      <w:r>
        <w:rPr>
          <w:rFonts w:ascii="楷体" w:hAnsi="楷体" w:eastAsia="楷体" w:cs="楷体"/>
          <w:spacing w:val="-64"/>
          <w:sz w:val="31"/>
          <w:szCs w:val="31"/>
        </w:rPr>
        <w:t xml:space="preserve"> </w:t>
      </w:r>
      <w:r>
        <w:rPr>
          <w:rFonts w:ascii="楷体" w:hAnsi="楷体" w:eastAsia="楷体" w:cs="楷体"/>
          <w:b/>
          <w:bCs/>
          <w:spacing w:val="-7"/>
          <w:sz w:val="31"/>
          <w:szCs w:val="31"/>
        </w:rPr>
        <w:t>目过程情况</w:t>
      </w:r>
    </w:p>
    <w:p w14:paraId="5F4B1AD0">
      <w:pPr>
        <w:pStyle w:val="2"/>
        <w:spacing w:before="221" w:line="292" w:lineRule="auto"/>
        <w:ind w:left="38" w:firstLine="638"/>
        <w:outlineLvl w:val="0"/>
        <w:rPr>
          <w:rFonts w:hint="eastAsia"/>
          <w:spacing w:val="8"/>
          <w:lang w:val="en-US" w:eastAsia="en-US"/>
        </w:rPr>
      </w:pPr>
      <w:r>
        <w:rPr>
          <w:rFonts w:hint="eastAsia"/>
          <w:spacing w:val="8"/>
          <w:lang w:val="en-US" w:eastAsia="en-US"/>
        </w:rPr>
        <w:t>项目过程类指标包括资金管理和组织实施两方面的内容，由 5 个三级指标构成，权重分值为 20 分，实际得分 20 分，得分率为 100% 。</w:t>
      </w:r>
    </w:p>
    <w:p w14:paraId="6EEE60A6">
      <w:pPr>
        <w:pStyle w:val="2"/>
        <w:spacing w:before="221" w:line="292" w:lineRule="auto"/>
        <w:ind w:left="38" w:firstLine="638"/>
        <w:outlineLvl w:val="0"/>
        <w:rPr>
          <w:rFonts w:hint="eastAsia"/>
          <w:spacing w:val="8"/>
          <w:lang w:val="en-US" w:eastAsia="en-US"/>
        </w:rPr>
      </w:pPr>
      <w:r>
        <w:rPr>
          <w:rFonts w:hint="eastAsia"/>
          <w:spacing w:val="8"/>
          <w:lang w:val="en-US" w:eastAsia="en-US"/>
        </w:rPr>
        <w:t>1. 资金管理</w:t>
      </w:r>
    </w:p>
    <w:p w14:paraId="4191DE9B">
      <w:pPr>
        <w:pStyle w:val="2"/>
        <w:spacing w:before="221" w:line="292" w:lineRule="auto"/>
        <w:ind w:left="38" w:firstLine="638"/>
        <w:outlineLvl w:val="0"/>
        <w:rPr>
          <w:rFonts w:hint="eastAsia"/>
          <w:spacing w:val="8"/>
          <w:lang w:val="en-US" w:eastAsia="en-US"/>
        </w:rPr>
      </w:pPr>
      <w:r>
        <w:rPr>
          <w:rFonts w:hint="eastAsia"/>
          <w:spacing w:val="8"/>
          <w:lang w:val="en-US" w:eastAsia="en-US"/>
        </w:rPr>
        <w:t>（1）资金到位率</w:t>
      </w:r>
    </w:p>
    <w:p w14:paraId="218C4DB4">
      <w:pPr>
        <w:pStyle w:val="2"/>
        <w:spacing w:before="221" w:line="292" w:lineRule="auto"/>
        <w:ind w:left="38" w:firstLine="638"/>
        <w:outlineLvl w:val="0"/>
        <w:rPr>
          <w:rFonts w:hint="eastAsia"/>
          <w:spacing w:val="8"/>
          <w:lang w:val="en-US" w:eastAsia="en-US"/>
        </w:rPr>
      </w:pPr>
      <w:r>
        <w:rPr>
          <w:rFonts w:hint="eastAsia"/>
          <w:spacing w:val="8"/>
          <w:lang w:val="en-US" w:eastAsia="en-US"/>
        </w:rPr>
        <w:t>本项目总投资 80.52 万元，财政资金及时足额到位，到位率 100% ，预算资金按计划进度执行。</w:t>
      </w:r>
    </w:p>
    <w:p w14:paraId="37C4AF7D">
      <w:pPr>
        <w:pStyle w:val="2"/>
        <w:spacing w:before="221" w:line="292" w:lineRule="auto"/>
        <w:ind w:left="38" w:firstLine="638"/>
        <w:outlineLvl w:val="0"/>
        <w:rPr>
          <w:rFonts w:hint="eastAsia"/>
          <w:spacing w:val="8"/>
          <w:lang w:val="en-US" w:eastAsia="en-US"/>
        </w:rPr>
      </w:pPr>
      <w:r>
        <w:rPr>
          <w:rFonts w:hint="eastAsia"/>
          <w:spacing w:val="8"/>
          <w:lang w:val="en-US" w:eastAsia="en-US"/>
        </w:rPr>
        <w:t>（2）预算执行率</w:t>
      </w:r>
    </w:p>
    <w:p w14:paraId="322D5258">
      <w:pPr>
        <w:pStyle w:val="2"/>
        <w:spacing w:before="221" w:line="292" w:lineRule="auto"/>
        <w:ind w:left="38" w:firstLine="638"/>
        <w:outlineLvl w:val="0"/>
        <w:rPr>
          <w:rFonts w:hint="eastAsia"/>
          <w:spacing w:val="8"/>
          <w:lang w:val="en-US" w:eastAsia="en-US"/>
        </w:rPr>
      </w:pPr>
      <w:r>
        <w:rPr>
          <w:rFonts w:hint="eastAsia"/>
          <w:spacing w:val="8"/>
          <w:lang w:val="en-US" w:eastAsia="en-US"/>
        </w:rPr>
        <w:t>预算编制较为详细，项目资金支出总体能够按照预算执行，预算资金支出 80.52 万元，预算执行率为 100%。</w:t>
      </w:r>
    </w:p>
    <w:p w14:paraId="37EBBA24">
      <w:pPr>
        <w:pStyle w:val="2"/>
        <w:numPr>
          <w:ilvl w:val="0"/>
          <w:numId w:val="2"/>
        </w:numPr>
        <w:spacing w:before="221" w:line="292" w:lineRule="auto"/>
        <w:ind w:left="38" w:firstLine="638"/>
        <w:outlineLvl w:val="0"/>
        <w:rPr>
          <w:rFonts w:hint="eastAsia"/>
          <w:spacing w:val="8"/>
          <w:lang w:val="en-US" w:eastAsia="en-US"/>
        </w:rPr>
      </w:pPr>
      <w:r>
        <w:rPr>
          <w:rFonts w:hint="eastAsia"/>
          <w:spacing w:val="8"/>
          <w:lang w:val="en-US" w:eastAsia="en-US"/>
        </w:rPr>
        <w:t>资金使用合规性</w:t>
      </w:r>
    </w:p>
    <w:p w14:paraId="176B8446">
      <w:pPr>
        <w:pStyle w:val="2"/>
        <w:numPr>
          <w:ilvl w:val="0"/>
          <w:numId w:val="0"/>
        </w:numPr>
        <w:spacing w:before="221" w:line="292" w:lineRule="auto"/>
        <w:ind w:left="676" w:leftChars="0"/>
        <w:outlineLvl w:val="0"/>
        <w:rPr>
          <w:rFonts w:hint="eastAsia"/>
          <w:spacing w:val="8"/>
          <w:lang w:val="en-US" w:eastAsia="en-US"/>
        </w:rPr>
      </w:pPr>
      <w:r>
        <w:rPr>
          <w:rFonts w:hint="eastAsia"/>
          <w:spacing w:val="8"/>
          <w:lang w:val="en-US" w:eastAsia="en-US"/>
        </w:rPr>
        <w:t>本项目的资金使用严格遵循了国家相关法律法规与财务制度，确保了资金的合规性与安全性。在资金使用过程中，我们建立了完善的财务管理体系，对资金的流动进行了全程监控与记录。</w:t>
      </w:r>
    </w:p>
    <w:p w14:paraId="7AA8600B">
      <w:pPr>
        <w:pStyle w:val="2"/>
        <w:numPr>
          <w:ilvl w:val="0"/>
          <w:numId w:val="0"/>
        </w:numPr>
        <w:spacing w:before="221" w:line="292" w:lineRule="auto"/>
        <w:ind w:left="676" w:leftChars="0"/>
        <w:outlineLvl w:val="0"/>
        <w:rPr>
          <w:rFonts w:hint="eastAsia"/>
          <w:spacing w:val="8"/>
          <w:lang w:val="en-US" w:eastAsia="en-US"/>
        </w:rPr>
      </w:pPr>
      <w:r>
        <w:rPr>
          <w:rFonts w:hint="eastAsia"/>
          <w:spacing w:val="8"/>
          <w:lang w:val="en-US" w:eastAsia="en-US"/>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CCBC417">
      <w:pPr>
        <w:pStyle w:val="2"/>
        <w:numPr>
          <w:ilvl w:val="0"/>
          <w:numId w:val="0"/>
        </w:numPr>
        <w:spacing w:before="221" w:line="292" w:lineRule="auto"/>
        <w:ind w:left="676" w:leftChars="0"/>
        <w:outlineLvl w:val="0"/>
        <w:rPr>
          <w:rFonts w:hint="eastAsia"/>
          <w:spacing w:val="8"/>
          <w:lang w:val="en-US" w:eastAsia="en-US"/>
        </w:rPr>
      </w:pPr>
      <w:r>
        <w:rPr>
          <w:rFonts w:hint="eastAsia"/>
          <w:spacing w:val="8"/>
          <w:lang w:val="en-US" w:eastAsia="en-US"/>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74745C1">
      <w:pPr>
        <w:pStyle w:val="2"/>
        <w:spacing w:before="173" w:line="228" w:lineRule="auto"/>
        <w:ind w:left="662"/>
      </w:pPr>
      <w:r>
        <w:rPr>
          <w:rFonts w:ascii="Times New Roman" w:hAnsi="Times New Roman" w:eastAsia="Times New Roman" w:cs="Times New Roman"/>
          <w:b/>
          <w:bCs/>
          <w:spacing w:val="5"/>
        </w:rPr>
        <w:t>2.</w:t>
      </w:r>
      <w:r>
        <w:rPr>
          <w:b/>
          <w:bCs/>
          <w:spacing w:val="5"/>
        </w:rPr>
        <w:t>组织实施</w:t>
      </w:r>
    </w:p>
    <w:p w14:paraId="2B9AE06A">
      <w:pPr>
        <w:pStyle w:val="2"/>
        <w:numPr>
          <w:ilvl w:val="0"/>
          <w:numId w:val="0"/>
        </w:numPr>
        <w:spacing w:before="221" w:line="292" w:lineRule="auto"/>
        <w:ind w:left="676" w:leftChars="0"/>
        <w:outlineLvl w:val="0"/>
        <w:rPr>
          <w:spacing w:val="6"/>
        </w:rPr>
      </w:pPr>
      <w:r>
        <w:rPr>
          <w:spacing w:val="6"/>
        </w:rPr>
        <w:t>（</w:t>
      </w:r>
      <w:r>
        <w:rPr>
          <w:rFonts w:ascii="Times New Roman" w:hAnsi="Times New Roman" w:eastAsia="Times New Roman" w:cs="Times New Roman"/>
          <w:spacing w:val="6"/>
        </w:rPr>
        <w:t>1</w:t>
      </w:r>
      <w:r>
        <w:rPr>
          <w:spacing w:val="6"/>
        </w:rPr>
        <w:t>）管理制度健全性</w:t>
      </w:r>
    </w:p>
    <w:p w14:paraId="0E702CD6">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本项目拥有一套完善、健全的管理制度体系，为项目的成功实施提供了坚实的制度保障。项目管理制度的制定紧密结合了项目的特点与实际情况，涵盖了项目的策划、组织、实施、监控与收尾等各个环节。</w:t>
      </w:r>
    </w:p>
    <w:p w14:paraId="29326240">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在制度设计上，我们注重了制度的科学性与可操作性，确保制度能够切实指导项目的执行与管理。</w:t>
      </w:r>
    </w:p>
    <w:p w14:paraId="32FCED89">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6D9062B">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综上所述，本项目的管理制度是健全的、有效的，既符合项目的实际情况，又满足了项目管理的需要。管理制度的健全性为项目的成功实施提供了有力的保障，也为项目的绩效评价奠定了坚实的基础。</w:t>
      </w:r>
    </w:p>
    <w:p w14:paraId="0B4FAEE6">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（2）制度执行有效性</w:t>
      </w:r>
    </w:p>
    <w:p w14:paraId="5A67D65F">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46BFFF34">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在具体执行过程中，项目团队成员严格按照制度要求进行操作。同时，我们还建立了有效的沟通机制与反馈机制，确保项目信息的及时传递与问题的及时解决，进一步提高了制度执行的效率与效果。</w:t>
      </w:r>
    </w:p>
    <w:p w14:paraId="094B2E17">
      <w:pPr>
        <w:pStyle w:val="2"/>
        <w:numPr>
          <w:ilvl w:val="0"/>
          <w:numId w:val="0"/>
        </w:numPr>
        <w:spacing w:before="221" w:line="292" w:lineRule="auto"/>
        <w:ind w:left="676" w:leftChars="0"/>
        <w:outlineLvl w:val="0"/>
        <w:rPr>
          <w:rFonts w:hint="eastAsia"/>
          <w:spacing w:val="6"/>
          <w:lang w:val="en-US" w:eastAsia="en-US"/>
        </w:rPr>
      </w:pPr>
      <w:r>
        <w:rPr>
          <w:rFonts w:hint="eastAsia"/>
          <w:spacing w:val="6"/>
          <w:lang w:val="en-US" w:eastAsia="en-US"/>
        </w:rPr>
        <w:t>综上所述，本项目的管理制度在执行过程中表现出了高度的有效性，既确保了项目的顺利进行，又实现了项目目标的有效达成。</w:t>
      </w:r>
    </w:p>
    <w:p w14:paraId="4A077A63">
      <w:pPr>
        <w:spacing w:line="228" w:lineRule="auto"/>
        <w:ind w:left="692"/>
      </w:pPr>
      <w:r>
        <mc:AlternateContent>
          <mc:Choice Requires="wps">
            <w:drawing>
              <wp:anchor distT="0" distB="0" distL="0" distR="0" simplePos="0" relativeHeight="251659264" behindDoc="1" locked="0" layoutInCell="1" allowOverlap="1">
                <wp:simplePos x="0" y="0"/>
                <wp:positionH relativeFrom="column">
                  <wp:posOffset>1026795</wp:posOffset>
                </wp:positionH>
                <wp:positionV relativeFrom="paragraph">
                  <wp:posOffset>-110490</wp:posOffset>
                </wp:positionV>
                <wp:extent cx="815975" cy="355600"/>
                <wp:effectExtent l="0" t="0" r="6985" b="10160"/>
                <wp:wrapNone/>
                <wp:docPr id="10" name="Rect 10"/>
                <wp:cNvGraphicFramePr/>
                <a:graphic xmlns:a="http://schemas.openxmlformats.org/drawingml/2006/main">
                  <a:graphicData uri="http://schemas.microsoft.com/office/word/2010/wordprocessingShape">
                    <wps:wsp>
                      <wps:cNvSpPr/>
                      <wps:spPr>
                        <a:xfrm>
                          <a:off x="1026858" y="-111053"/>
                          <a:ext cx="815975" cy="355600"/>
                        </a:xfrm>
                        <a:prstGeom prst="rect">
                          <a:avLst/>
                        </a:prstGeom>
                        <a:noFill/>
                        <a:ln>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wps:wsp>
                  </a:graphicData>
                </a:graphic>
              </wp:anchor>
            </w:drawing>
          </mc:Choice>
          <mc:Fallback>
            <w:pict>
              <v:rect id="Rect 10" o:spid="_x0000_s1026" o:spt="1" style="position:absolute;left:0pt;margin-left:80.85pt;margin-top:-8.7pt;height:28pt;width:64.25pt;z-index:-251657216;mso-width-relative:page;mso-height-relative:page;" filled="f" stroked="f" coordsize="21600,21600" o:gfxdata="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LukbI2wAAAAoBAAAPAAAAAAAA&#10;AAEAIAAAACIAAABkcnMvZG93bnJldi54bWxQSwECFAAUAAAACACHTuJAOlLO/g8CAAAmBAAADgAA&#10;AAAAAAABACAAAAAqAQAAZHJzL2Uyb0RvYy54bWxQSwUGAAAAAAYABgBZAQAAqwUAAAAA&#10;">
                <v:fill on="f" focussize="0,0"/>
                <v:stroke on="f"/>
                <v:imagedata o:title=""/>
                <o:lock v:ext="edit" aspectratio="f"/>
                <v:textbox inset="0mm,0mm,0mm,0mm"/>
              </v:rect>
            </w:pict>
          </mc:Fallback>
        </mc:AlternateContent>
      </w:r>
      <w:r>
        <w:rPr>
          <w:rFonts w:ascii="楷体" w:hAnsi="楷体" w:eastAsia="楷体" w:cs="楷体"/>
          <w:b/>
          <w:bCs/>
          <w:spacing w:val="3"/>
          <w:sz w:val="31"/>
          <w:szCs w:val="31"/>
        </w:rPr>
        <w:t>（三）项目产出情况</w:t>
      </w:r>
    </w:p>
    <w:p w14:paraId="464D3E4F">
      <w:pPr>
        <w:pStyle w:val="2"/>
        <w:spacing w:before="206" w:line="293" w:lineRule="auto"/>
        <w:ind w:left="67" w:firstLine="609"/>
        <w:outlineLvl w:val="0"/>
      </w:pPr>
      <w:r>
        <w:rPr>
          <w:spacing w:val="5"/>
        </w:rPr>
        <w:t>项目产出类指标包括产出数量、产出质量、产出时效、产</w:t>
      </w:r>
      <w:r>
        <w:rPr>
          <w:spacing w:val="-1"/>
        </w:rPr>
        <w:t>出成本四方面的内容，由</w:t>
      </w:r>
      <w:r>
        <w:rPr>
          <w:spacing w:val="-56"/>
        </w:rPr>
        <w:t xml:space="preserve"> </w:t>
      </w:r>
      <w:r>
        <w:rPr>
          <w:rFonts w:ascii="Times New Roman" w:hAnsi="Times New Roman" w:eastAsia="Times New Roman" w:cs="Times New Roman"/>
          <w:spacing w:val="-1"/>
        </w:rPr>
        <w:t>9</w:t>
      </w:r>
      <w:r>
        <w:rPr>
          <w:rFonts w:ascii="Times New Roman" w:hAnsi="Times New Roman" w:eastAsia="Times New Roman" w:cs="Times New Roman"/>
          <w:spacing w:val="26"/>
        </w:rPr>
        <w:t xml:space="preserve"> </w:t>
      </w:r>
      <w:r>
        <w:rPr>
          <w:spacing w:val="-1"/>
        </w:rPr>
        <w:t>个三级指标构成，权重分为</w:t>
      </w:r>
      <w:r>
        <w:rPr>
          <w:spacing w:val="-69"/>
        </w:rPr>
        <w:t xml:space="preserve"> </w:t>
      </w:r>
      <w:r>
        <w:rPr>
          <w:rFonts w:ascii="Times New Roman" w:hAnsi="Times New Roman" w:eastAsia="Times New Roman" w:cs="Times New Roman"/>
          <w:spacing w:val="-1"/>
        </w:rPr>
        <w:t>40</w:t>
      </w:r>
      <w:r>
        <w:rPr>
          <w:rFonts w:ascii="Times New Roman" w:hAnsi="Times New Roman" w:eastAsia="Times New Roman" w:cs="Times New Roman"/>
          <w:spacing w:val="28"/>
          <w:w w:val="101"/>
        </w:rPr>
        <w:t xml:space="preserve"> </w:t>
      </w:r>
      <w:r>
        <w:rPr>
          <w:spacing w:val="-1"/>
        </w:rPr>
        <w:t>分，</w:t>
      </w:r>
    </w:p>
    <w:p w14:paraId="0133DEBA">
      <w:pPr>
        <w:pStyle w:val="2"/>
        <w:spacing w:before="217" w:line="228" w:lineRule="auto"/>
        <w:jc w:val="right"/>
      </w:pPr>
      <w:r>
        <w:rPr>
          <w:spacing w:val="5"/>
        </w:rPr>
        <w:t>实际得分 40 分，得分率为 100%。具体产出指</w:t>
      </w:r>
      <w:r>
        <w:rPr>
          <w:spacing w:val="-6"/>
        </w:rPr>
        <w:t>标完成情况如下：</w:t>
      </w:r>
    </w:p>
    <w:p w14:paraId="013EE552">
      <w:pPr>
        <w:pStyle w:val="2"/>
        <w:spacing w:before="217" w:line="227" w:lineRule="auto"/>
        <w:ind w:left="666"/>
        <w:outlineLvl w:val="0"/>
      </w:pPr>
      <w:r>
        <w:rPr>
          <w:rFonts w:ascii="宋体" w:hAnsi="宋体" w:eastAsia="宋体" w:cs="宋体"/>
          <w:spacing w:val="6"/>
        </w:rPr>
        <w:t>①</w:t>
      </w:r>
      <w:r>
        <w:rPr>
          <w:spacing w:val="6"/>
        </w:rPr>
        <w:t>数量指标：</w:t>
      </w:r>
    </w:p>
    <w:p w14:paraId="071C5C31">
      <w:pPr>
        <w:pStyle w:val="2"/>
        <w:spacing w:before="218" w:line="293" w:lineRule="auto"/>
        <w:ind w:left="34" w:right="90" w:firstLine="641"/>
        <w:outlineLvl w:val="0"/>
      </w:pPr>
      <w:r>
        <w:rPr>
          <w:spacing w:val="7"/>
        </w:rPr>
        <w:t>指标</w:t>
      </w:r>
      <w:r>
        <w:rPr>
          <w:spacing w:val="-36"/>
        </w:rPr>
        <w:t xml:space="preserve"> </w:t>
      </w:r>
      <w:r>
        <w:rPr>
          <w:rFonts w:ascii="Times New Roman" w:hAnsi="Times New Roman" w:eastAsia="Times New Roman" w:cs="Times New Roman"/>
          <w:spacing w:val="7"/>
        </w:rPr>
        <w:t>1</w:t>
      </w:r>
      <w:r>
        <w:rPr>
          <w:rFonts w:ascii="Times New Roman" w:hAnsi="Times New Roman" w:eastAsia="Times New Roman" w:cs="Times New Roman"/>
          <w:spacing w:val="-28"/>
        </w:rPr>
        <w:t xml:space="preserve"> </w:t>
      </w:r>
      <w:r>
        <w:rPr>
          <w:spacing w:val="7"/>
        </w:rPr>
        <w:t>：设备采购及安装数量，指标值：</w:t>
      </w:r>
      <w:r>
        <w:rPr>
          <w:rFonts w:ascii="Times New Roman" w:hAnsi="Times New Roman" w:eastAsia="Times New Roman" w:cs="Times New Roman"/>
          <w:spacing w:val="7"/>
        </w:rPr>
        <w:t>1</w:t>
      </w:r>
      <w:r>
        <w:rPr>
          <w:rFonts w:ascii="Times New Roman" w:hAnsi="Times New Roman" w:eastAsia="Times New Roman" w:cs="Times New Roman"/>
          <w:spacing w:val="25"/>
        </w:rPr>
        <w:t xml:space="preserve"> </w:t>
      </w:r>
      <w:r>
        <w:rPr>
          <w:spacing w:val="7"/>
        </w:rPr>
        <w:t>个，实</w:t>
      </w:r>
      <w:r>
        <w:rPr>
          <w:spacing w:val="6"/>
        </w:rPr>
        <w:t>际完成</w:t>
      </w:r>
      <w:r>
        <w:rPr>
          <w:spacing w:val="2"/>
        </w:rPr>
        <w:t>值：</w:t>
      </w:r>
      <w:r>
        <w:rPr>
          <w:rFonts w:ascii="Times New Roman" w:hAnsi="Times New Roman" w:eastAsia="Times New Roman" w:cs="Times New Roman"/>
          <w:spacing w:val="2"/>
        </w:rPr>
        <w:t>1</w:t>
      </w:r>
      <w:r>
        <w:rPr>
          <w:rFonts w:ascii="Times New Roman" w:hAnsi="Times New Roman" w:eastAsia="Times New Roman" w:cs="Times New Roman"/>
          <w:spacing w:val="42"/>
        </w:rPr>
        <w:t xml:space="preserve"> </w:t>
      </w:r>
      <w:r>
        <w:rPr>
          <w:spacing w:val="2"/>
        </w:rPr>
        <w:t>个，指标完成率</w:t>
      </w:r>
      <w:r>
        <w:rPr>
          <w:spacing w:val="-38"/>
        </w:rPr>
        <w:t xml:space="preserve"> </w:t>
      </w:r>
      <w:r>
        <w:rPr>
          <w:rFonts w:ascii="Times New Roman" w:hAnsi="Times New Roman" w:eastAsia="Times New Roman" w:cs="Times New Roman"/>
          <w:spacing w:val="2"/>
        </w:rPr>
        <w:t>100%</w:t>
      </w:r>
      <w:r>
        <w:rPr>
          <w:rFonts w:ascii="Times New Roman" w:hAnsi="Times New Roman" w:eastAsia="Times New Roman" w:cs="Times New Roman"/>
          <w:spacing w:val="-33"/>
        </w:rPr>
        <w:t xml:space="preserve"> </w:t>
      </w:r>
      <w:r>
        <w:rPr>
          <w:spacing w:val="2"/>
        </w:rPr>
        <w:t>，本指标无偏差。</w:t>
      </w:r>
    </w:p>
    <w:p w14:paraId="660D583C">
      <w:pPr>
        <w:pStyle w:val="2"/>
        <w:numPr>
          <w:ilvl w:val="0"/>
          <w:numId w:val="0"/>
        </w:numPr>
        <w:spacing w:before="221" w:line="292" w:lineRule="auto"/>
        <w:ind w:left="676" w:leftChars="0"/>
        <w:outlineLvl w:val="0"/>
        <w:rPr>
          <w:spacing w:val="1"/>
        </w:rPr>
      </w:pPr>
      <w:r>
        <w:rPr>
          <w:spacing w:val="-1"/>
        </w:rPr>
        <w:t>指标</w:t>
      </w:r>
      <w:r>
        <w:rPr>
          <w:spacing w:val="-58"/>
        </w:rPr>
        <w:t xml:space="preserve"> </w:t>
      </w:r>
      <w:r>
        <w:rPr>
          <w:rFonts w:ascii="Times New Roman" w:hAnsi="Times New Roman" w:eastAsia="Times New Roman" w:cs="Times New Roman"/>
          <w:spacing w:val="-1"/>
        </w:rPr>
        <w:t>2</w:t>
      </w:r>
      <w:r>
        <w:rPr>
          <w:rFonts w:ascii="Times New Roman" w:hAnsi="Times New Roman" w:eastAsia="Times New Roman" w:cs="Times New Roman"/>
          <w:spacing w:val="-33"/>
        </w:rPr>
        <w:t xml:space="preserve"> </w:t>
      </w:r>
      <w:r>
        <w:rPr>
          <w:spacing w:val="-1"/>
        </w:rPr>
        <w:t>：装修改造工程数量，指标值：</w:t>
      </w:r>
      <w:r>
        <w:rPr>
          <w:rFonts w:ascii="Times New Roman" w:hAnsi="Times New Roman" w:eastAsia="Times New Roman" w:cs="Times New Roman"/>
          <w:spacing w:val="-1"/>
        </w:rPr>
        <w:t>1</w:t>
      </w:r>
      <w:r>
        <w:rPr>
          <w:rFonts w:ascii="Times New Roman" w:hAnsi="Times New Roman" w:eastAsia="Times New Roman" w:cs="Times New Roman"/>
          <w:spacing w:val="25"/>
        </w:rPr>
        <w:t xml:space="preserve"> </w:t>
      </w:r>
      <w:r>
        <w:rPr>
          <w:spacing w:val="-1"/>
        </w:rPr>
        <w:t>个，实际完成值：</w:t>
      </w:r>
      <w:r>
        <w:t xml:space="preserve"> </w:t>
      </w:r>
      <w:r>
        <w:rPr>
          <w:rFonts w:ascii="Times New Roman" w:hAnsi="Times New Roman" w:eastAsia="Times New Roman" w:cs="Times New Roman"/>
          <w:spacing w:val="1"/>
        </w:rPr>
        <w:t>1</w:t>
      </w:r>
      <w:r>
        <w:rPr>
          <w:rFonts w:ascii="Times New Roman" w:hAnsi="Times New Roman" w:eastAsia="Times New Roman" w:cs="Times New Roman"/>
          <w:spacing w:val="30"/>
          <w:w w:val="101"/>
        </w:rPr>
        <w:t xml:space="preserve"> </w:t>
      </w:r>
      <w:r>
        <w:rPr>
          <w:spacing w:val="1"/>
        </w:rPr>
        <w:t>个，指标完成率</w:t>
      </w:r>
      <w:r>
        <w:rPr>
          <w:spacing w:val="-36"/>
        </w:rPr>
        <w:t xml:space="preserve"> </w:t>
      </w:r>
      <w:r>
        <w:rPr>
          <w:rFonts w:ascii="Times New Roman" w:hAnsi="Times New Roman" w:eastAsia="Times New Roman" w:cs="Times New Roman"/>
          <w:spacing w:val="1"/>
        </w:rPr>
        <w:t>100%</w:t>
      </w:r>
      <w:r>
        <w:rPr>
          <w:rFonts w:ascii="Times New Roman" w:hAnsi="Times New Roman" w:eastAsia="Times New Roman" w:cs="Times New Roman"/>
          <w:spacing w:val="-36"/>
        </w:rPr>
        <w:t xml:space="preserve"> </w:t>
      </w:r>
      <w:r>
        <w:rPr>
          <w:spacing w:val="1"/>
        </w:rPr>
        <w:t>，本指标无偏差。</w:t>
      </w:r>
    </w:p>
    <w:p w14:paraId="31C29ECE">
      <w:pPr>
        <w:pStyle w:val="2"/>
        <w:spacing w:before="214" w:line="293" w:lineRule="auto"/>
        <w:ind w:left="51" w:right="5" w:firstLine="624"/>
        <w:outlineLvl w:val="0"/>
      </w:pPr>
      <w:r>
        <w:rPr>
          <w:spacing w:val="-1"/>
        </w:rPr>
        <w:t>指标</w:t>
      </w:r>
      <w:r>
        <w:rPr>
          <w:spacing w:val="-56"/>
        </w:rPr>
        <w:t xml:space="preserve"> </w:t>
      </w:r>
      <w:r>
        <w:rPr>
          <w:rFonts w:ascii="Times New Roman" w:hAnsi="Times New Roman" w:eastAsia="Times New Roman" w:cs="Times New Roman"/>
          <w:spacing w:val="-1"/>
        </w:rPr>
        <w:t>3</w:t>
      </w:r>
      <w:r>
        <w:rPr>
          <w:rFonts w:ascii="Times New Roman" w:hAnsi="Times New Roman" w:eastAsia="Times New Roman" w:cs="Times New Roman"/>
          <w:spacing w:val="-34"/>
        </w:rPr>
        <w:t xml:space="preserve"> </w:t>
      </w:r>
      <w:r>
        <w:rPr>
          <w:spacing w:val="-1"/>
        </w:rPr>
        <w:t>：直播设备采购数量，指标值：</w:t>
      </w:r>
      <w:r>
        <w:rPr>
          <w:rFonts w:ascii="Times New Roman" w:hAnsi="Times New Roman" w:eastAsia="Times New Roman" w:cs="Times New Roman"/>
          <w:spacing w:val="-1"/>
        </w:rPr>
        <w:t>1</w:t>
      </w:r>
      <w:r>
        <w:rPr>
          <w:rFonts w:ascii="Times New Roman" w:hAnsi="Times New Roman" w:eastAsia="Times New Roman" w:cs="Times New Roman"/>
          <w:spacing w:val="24"/>
        </w:rPr>
        <w:t xml:space="preserve"> </w:t>
      </w:r>
      <w:r>
        <w:rPr>
          <w:spacing w:val="-1"/>
        </w:rPr>
        <w:t>套，实际完成值：</w:t>
      </w:r>
      <w:r>
        <w:t xml:space="preserve"> </w:t>
      </w:r>
      <w:r>
        <w:rPr>
          <w:rFonts w:ascii="Times New Roman" w:hAnsi="Times New Roman" w:eastAsia="Times New Roman" w:cs="Times New Roman"/>
          <w:spacing w:val="1"/>
        </w:rPr>
        <w:t>1</w:t>
      </w:r>
      <w:r>
        <w:rPr>
          <w:rFonts w:ascii="Times New Roman" w:hAnsi="Times New Roman" w:eastAsia="Times New Roman" w:cs="Times New Roman"/>
          <w:spacing w:val="30"/>
          <w:w w:val="101"/>
        </w:rPr>
        <w:t xml:space="preserve"> </w:t>
      </w:r>
      <w:r>
        <w:rPr>
          <w:spacing w:val="1"/>
        </w:rPr>
        <w:t>套，指标完成率</w:t>
      </w:r>
      <w:r>
        <w:rPr>
          <w:spacing w:val="-36"/>
        </w:rPr>
        <w:t xml:space="preserve"> </w:t>
      </w:r>
      <w:r>
        <w:rPr>
          <w:rFonts w:ascii="Times New Roman" w:hAnsi="Times New Roman" w:eastAsia="Times New Roman" w:cs="Times New Roman"/>
          <w:spacing w:val="1"/>
        </w:rPr>
        <w:t>100%</w:t>
      </w:r>
      <w:r>
        <w:rPr>
          <w:rFonts w:ascii="Times New Roman" w:hAnsi="Times New Roman" w:eastAsia="Times New Roman" w:cs="Times New Roman"/>
          <w:spacing w:val="-36"/>
        </w:rPr>
        <w:t xml:space="preserve"> </w:t>
      </w:r>
      <w:r>
        <w:rPr>
          <w:spacing w:val="1"/>
        </w:rPr>
        <w:t>，本指标无偏差。</w:t>
      </w:r>
    </w:p>
    <w:p w14:paraId="35E2000C">
      <w:pPr>
        <w:pStyle w:val="2"/>
        <w:spacing w:before="217" w:line="227" w:lineRule="auto"/>
        <w:ind w:left="664"/>
        <w:outlineLvl w:val="0"/>
      </w:pPr>
      <w:r>
        <w:rPr>
          <w:rFonts w:ascii="宋体" w:hAnsi="宋体" w:eastAsia="宋体" w:cs="宋体"/>
          <w:spacing w:val="6"/>
        </w:rPr>
        <w:t>②</w:t>
      </w:r>
      <w:r>
        <w:rPr>
          <w:spacing w:val="6"/>
        </w:rPr>
        <w:t>质量指标：</w:t>
      </w:r>
    </w:p>
    <w:p w14:paraId="31579517">
      <w:pPr>
        <w:pStyle w:val="2"/>
        <w:spacing w:before="217" w:line="293" w:lineRule="auto"/>
        <w:ind w:left="35" w:firstLine="640"/>
        <w:outlineLvl w:val="0"/>
      </w:pPr>
      <w:r>
        <w:rPr>
          <w:spacing w:val="-9"/>
        </w:rPr>
        <w:t>指标</w:t>
      </w:r>
      <w:r>
        <w:rPr>
          <w:spacing w:val="-23"/>
        </w:rPr>
        <w:t xml:space="preserve"> </w:t>
      </w:r>
      <w:r>
        <w:rPr>
          <w:rFonts w:ascii="Times New Roman" w:hAnsi="Times New Roman" w:eastAsia="Times New Roman" w:cs="Times New Roman"/>
          <w:spacing w:val="-9"/>
        </w:rPr>
        <w:t>1</w:t>
      </w:r>
      <w:r>
        <w:rPr>
          <w:spacing w:val="-9"/>
        </w:rPr>
        <w:t>：任务完成率，指标值：</w:t>
      </w:r>
      <w:r>
        <w:rPr>
          <w:rFonts w:ascii="Times New Roman" w:hAnsi="Times New Roman" w:eastAsia="Times New Roman" w:cs="Times New Roman"/>
          <w:spacing w:val="-9"/>
        </w:rPr>
        <w:t>100%</w:t>
      </w:r>
      <w:r>
        <w:rPr>
          <w:spacing w:val="-9"/>
        </w:rPr>
        <w:t>，实际完成值：</w:t>
      </w:r>
      <w:r>
        <w:rPr>
          <w:rFonts w:ascii="Times New Roman" w:hAnsi="Times New Roman" w:eastAsia="Times New Roman" w:cs="Times New Roman"/>
          <w:spacing w:val="-9"/>
        </w:rPr>
        <w:t>100%</w:t>
      </w:r>
      <w:r>
        <w:rPr>
          <w:spacing w:val="-9"/>
        </w:rPr>
        <w:t>，</w:t>
      </w:r>
      <w:r>
        <w:rPr>
          <w:spacing w:val="2"/>
        </w:rPr>
        <w:t>指标完成率</w:t>
      </w:r>
      <w:r>
        <w:rPr>
          <w:spacing w:val="-34"/>
        </w:rPr>
        <w:t xml:space="preserve"> </w:t>
      </w:r>
      <w:r>
        <w:rPr>
          <w:rFonts w:ascii="Times New Roman" w:hAnsi="Times New Roman" w:eastAsia="Times New Roman" w:cs="Times New Roman"/>
          <w:spacing w:val="2"/>
        </w:rPr>
        <w:t>100%</w:t>
      </w:r>
      <w:r>
        <w:rPr>
          <w:rFonts w:ascii="Times New Roman" w:hAnsi="Times New Roman" w:eastAsia="Times New Roman" w:cs="Times New Roman"/>
          <w:spacing w:val="-33"/>
        </w:rPr>
        <w:t xml:space="preserve"> </w:t>
      </w:r>
      <w:r>
        <w:rPr>
          <w:spacing w:val="2"/>
        </w:rPr>
        <w:t>，本指标无偏差。</w:t>
      </w:r>
    </w:p>
    <w:p w14:paraId="60E0EE88">
      <w:pPr>
        <w:pStyle w:val="2"/>
        <w:spacing w:before="217" w:line="227" w:lineRule="auto"/>
        <w:ind w:left="664"/>
        <w:outlineLvl w:val="0"/>
      </w:pPr>
      <w:r>
        <w:rPr>
          <w:rFonts w:ascii="宋体" w:hAnsi="宋体" w:eastAsia="宋体" w:cs="宋体"/>
          <w:spacing w:val="6"/>
        </w:rPr>
        <w:t>③</w:t>
      </w:r>
      <w:r>
        <w:rPr>
          <w:spacing w:val="6"/>
        </w:rPr>
        <w:t>时效指标：</w:t>
      </w:r>
    </w:p>
    <w:p w14:paraId="347952ED">
      <w:pPr>
        <w:pStyle w:val="2"/>
        <w:spacing w:before="217" w:line="293" w:lineRule="auto"/>
        <w:ind w:left="51" w:right="48" w:firstLine="624"/>
        <w:outlineLvl w:val="0"/>
      </w:pPr>
      <w:r>
        <w:rPr>
          <w:spacing w:val="1"/>
        </w:rPr>
        <w:t>指标</w:t>
      </w:r>
      <w:r>
        <w:rPr>
          <w:spacing w:val="-36"/>
        </w:rPr>
        <w:t xml:space="preserve"> </w:t>
      </w:r>
      <w:r>
        <w:rPr>
          <w:rFonts w:ascii="Times New Roman" w:hAnsi="Times New Roman" w:eastAsia="Times New Roman" w:cs="Times New Roman"/>
          <w:spacing w:val="1"/>
        </w:rPr>
        <w:t>1</w:t>
      </w:r>
      <w:r>
        <w:rPr>
          <w:rFonts w:ascii="Times New Roman" w:hAnsi="Times New Roman" w:eastAsia="Times New Roman" w:cs="Times New Roman"/>
          <w:spacing w:val="-34"/>
        </w:rPr>
        <w:t xml:space="preserve"> </w:t>
      </w:r>
      <w:r>
        <w:rPr>
          <w:spacing w:val="1"/>
        </w:rPr>
        <w:t>：年度化债及时率，指标值：</w:t>
      </w:r>
      <w:r>
        <w:rPr>
          <w:rFonts w:ascii="Times New Roman" w:hAnsi="Times New Roman" w:eastAsia="Times New Roman" w:cs="Times New Roman"/>
          <w:spacing w:val="1"/>
        </w:rPr>
        <w:t>100%</w:t>
      </w:r>
      <w:r>
        <w:rPr>
          <w:rFonts w:ascii="Times New Roman" w:hAnsi="Times New Roman" w:eastAsia="Times New Roman" w:cs="Times New Roman"/>
          <w:spacing w:val="-35"/>
        </w:rPr>
        <w:t xml:space="preserve"> </w:t>
      </w:r>
      <w:r>
        <w:rPr>
          <w:spacing w:val="1"/>
        </w:rPr>
        <w:t>，实</w:t>
      </w:r>
      <w:r>
        <w:t xml:space="preserve">际完成值： </w:t>
      </w:r>
      <w:r>
        <w:rPr>
          <w:rFonts w:ascii="Times New Roman" w:hAnsi="Times New Roman" w:eastAsia="Times New Roman" w:cs="Times New Roman"/>
        </w:rPr>
        <w:t>100%</w:t>
      </w:r>
      <w:r>
        <w:rPr>
          <w:rFonts w:ascii="Times New Roman" w:hAnsi="Times New Roman" w:eastAsia="Times New Roman" w:cs="Times New Roman"/>
          <w:spacing w:val="-21"/>
        </w:rPr>
        <w:t xml:space="preserve"> </w:t>
      </w:r>
      <w:r>
        <w:t>，指标完成率</w:t>
      </w:r>
      <w:r>
        <w:rPr>
          <w:spacing w:val="-38"/>
        </w:rPr>
        <w:t xml:space="preserve"> </w:t>
      </w:r>
      <w:r>
        <w:rPr>
          <w:rFonts w:ascii="Times New Roman" w:hAnsi="Times New Roman" w:eastAsia="Times New Roman" w:cs="Times New Roman"/>
        </w:rPr>
        <w:t>100%</w:t>
      </w:r>
      <w:r>
        <w:rPr>
          <w:rFonts w:ascii="Times New Roman" w:hAnsi="Times New Roman" w:eastAsia="Times New Roman" w:cs="Times New Roman"/>
          <w:spacing w:val="-33"/>
        </w:rPr>
        <w:t xml:space="preserve"> </w:t>
      </w:r>
      <w:r>
        <w:t>，本指标无偏差。</w:t>
      </w:r>
    </w:p>
    <w:p w14:paraId="38F9A766">
      <w:pPr>
        <w:pStyle w:val="2"/>
        <w:spacing w:before="217" w:line="228" w:lineRule="auto"/>
        <w:jc w:val="right"/>
        <w:outlineLvl w:val="0"/>
      </w:pPr>
      <w:r>
        <w:rPr>
          <w:spacing w:val="-10"/>
        </w:rPr>
        <w:t>指标</w:t>
      </w:r>
      <w:r>
        <w:rPr>
          <w:spacing w:val="-52"/>
        </w:rPr>
        <w:t xml:space="preserve"> </w:t>
      </w:r>
      <w:r>
        <w:rPr>
          <w:rFonts w:ascii="Times New Roman" w:hAnsi="Times New Roman" w:eastAsia="Times New Roman" w:cs="Times New Roman"/>
          <w:spacing w:val="-10"/>
        </w:rPr>
        <w:t>2</w:t>
      </w:r>
      <w:r>
        <w:rPr>
          <w:spacing w:val="-10"/>
        </w:rPr>
        <w:t>：资金支付完成时间，指标值：</w:t>
      </w:r>
      <w:r>
        <w:rPr>
          <w:rFonts w:ascii="Times New Roman" w:hAnsi="Times New Roman" w:eastAsia="Times New Roman" w:cs="Times New Roman"/>
          <w:spacing w:val="-10"/>
        </w:rPr>
        <w:t>2024</w:t>
      </w:r>
      <w:r>
        <w:rPr>
          <w:rFonts w:ascii="Times New Roman" w:hAnsi="Times New Roman" w:eastAsia="Times New Roman" w:cs="Times New Roman"/>
          <w:spacing w:val="31"/>
        </w:rPr>
        <w:t xml:space="preserve"> </w:t>
      </w:r>
      <w:r>
        <w:rPr>
          <w:spacing w:val="-10"/>
        </w:rPr>
        <w:t>年</w:t>
      </w:r>
      <w:r>
        <w:rPr>
          <w:spacing w:val="-36"/>
        </w:rPr>
        <w:t xml:space="preserve"> </w:t>
      </w:r>
      <w:r>
        <w:rPr>
          <w:rFonts w:ascii="Times New Roman" w:hAnsi="Times New Roman" w:eastAsia="Times New Roman" w:cs="Times New Roman"/>
          <w:spacing w:val="-10"/>
        </w:rPr>
        <w:t>12</w:t>
      </w:r>
      <w:r>
        <w:rPr>
          <w:rFonts w:ascii="Times New Roman" w:hAnsi="Times New Roman" w:eastAsia="Times New Roman" w:cs="Times New Roman"/>
          <w:spacing w:val="37"/>
        </w:rPr>
        <w:t xml:space="preserve"> </w:t>
      </w:r>
      <w:r>
        <w:rPr>
          <w:spacing w:val="-10"/>
        </w:rPr>
        <w:t>月</w:t>
      </w:r>
      <w:r>
        <w:rPr>
          <w:spacing w:val="-67"/>
        </w:rPr>
        <w:t xml:space="preserve"> </w:t>
      </w:r>
      <w:r>
        <w:rPr>
          <w:rFonts w:ascii="Times New Roman" w:hAnsi="Times New Roman" w:eastAsia="Times New Roman" w:cs="Times New Roman"/>
          <w:spacing w:val="-10"/>
        </w:rPr>
        <w:t xml:space="preserve">25  </w:t>
      </w:r>
      <w:r>
        <w:rPr>
          <w:spacing w:val="-10"/>
        </w:rPr>
        <w:t>日，</w:t>
      </w:r>
    </w:p>
    <w:p w14:paraId="5F06048B">
      <w:pPr>
        <w:pStyle w:val="2"/>
        <w:spacing w:before="218" w:line="357" w:lineRule="auto"/>
        <w:ind w:left="38" w:right="90" w:firstLine="2"/>
      </w:pPr>
      <w:r>
        <w:rPr>
          <w:spacing w:val="-3"/>
        </w:rPr>
        <w:t>实际完成值：</w:t>
      </w:r>
      <w:r>
        <w:rPr>
          <w:rFonts w:ascii="Times New Roman" w:hAnsi="Times New Roman" w:eastAsia="Times New Roman" w:cs="Times New Roman"/>
          <w:spacing w:val="-3"/>
        </w:rPr>
        <w:t>2024</w:t>
      </w:r>
      <w:r>
        <w:rPr>
          <w:rFonts w:ascii="Times New Roman" w:hAnsi="Times New Roman" w:eastAsia="Times New Roman" w:cs="Times New Roman"/>
          <w:spacing w:val="45"/>
        </w:rPr>
        <w:t xml:space="preserve"> </w:t>
      </w:r>
      <w:r>
        <w:rPr>
          <w:spacing w:val="-3"/>
        </w:rPr>
        <w:t>年</w:t>
      </w:r>
      <w:r>
        <w:rPr>
          <w:spacing w:val="-38"/>
        </w:rPr>
        <w:t xml:space="preserve"> </w:t>
      </w:r>
      <w:r>
        <w:rPr>
          <w:rFonts w:ascii="Times New Roman" w:hAnsi="Times New Roman" w:eastAsia="Times New Roman" w:cs="Times New Roman"/>
          <w:spacing w:val="-3"/>
        </w:rPr>
        <w:t>12</w:t>
      </w:r>
      <w:r>
        <w:rPr>
          <w:rFonts w:ascii="Times New Roman" w:hAnsi="Times New Roman" w:eastAsia="Times New Roman" w:cs="Times New Roman"/>
          <w:spacing w:val="39"/>
        </w:rPr>
        <w:t xml:space="preserve"> </w:t>
      </w:r>
      <w:r>
        <w:rPr>
          <w:spacing w:val="-3"/>
        </w:rPr>
        <w:t>月</w:t>
      </w:r>
      <w:r>
        <w:rPr>
          <w:spacing w:val="-67"/>
        </w:rPr>
        <w:t xml:space="preserve"> </w:t>
      </w:r>
      <w:r>
        <w:rPr>
          <w:rFonts w:ascii="Times New Roman" w:hAnsi="Times New Roman" w:eastAsia="Times New Roman" w:cs="Times New Roman"/>
          <w:spacing w:val="-3"/>
        </w:rPr>
        <w:t xml:space="preserve">25  </w:t>
      </w:r>
      <w:r>
        <w:rPr>
          <w:spacing w:val="-3"/>
        </w:rPr>
        <w:t>日，指标完成率</w:t>
      </w:r>
      <w:r>
        <w:rPr>
          <w:spacing w:val="-35"/>
        </w:rPr>
        <w:t xml:space="preserve"> </w:t>
      </w:r>
      <w:r>
        <w:rPr>
          <w:rFonts w:ascii="Times New Roman" w:hAnsi="Times New Roman" w:eastAsia="Times New Roman" w:cs="Times New Roman"/>
          <w:spacing w:val="-3"/>
        </w:rPr>
        <w:t>100%</w:t>
      </w:r>
      <w:r>
        <w:rPr>
          <w:rFonts w:ascii="Times New Roman" w:hAnsi="Times New Roman" w:eastAsia="Times New Roman" w:cs="Times New Roman"/>
          <w:spacing w:val="-34"/>
        </w:rPr>
        <w:t xml:space="preserve"> </w:t>
      </w:r>
      <w:r>
        <w:rPr>
          <w:spacing w:val="-3"/>
        </w:rPr>
        <w:t>，本指标</w:t>
      </w:r>
      <w:r>
        <w:rPr>
          <w:spacing w:val="1"/>
        </w:rPr>
        <w:t>无偏差。</w:t>
      </w:r>
    </w:p>
    <w:p w14:paraId="44897B61">
      <w:pPr>
        <w:pStyle w:val="2"/>
        <w:spacing w:line="227" w:lineRule="auto"/>
        <w:ind w:left="664"/>
        <w:outlineLvl w:val="0"/>
      </w:pPr>
      <w:r>
        <w:rPr>
          <w:rFonts w:ascii="宋体" w:hAnsi="宋体" w:eastAsia="宋体" w:cs="宋体"/>
          <w:spacing w:val="6"/>
        </w:rPr>
        <w:t>④</w:t>
      </w:r>
      <w:r>
        <w:rPr>
          <w:spacing w:val="6"/>
        </w:rPr>
        <w:t>成本指标：</w:t>
      </w:r>
    </w:p>
    <w:p w14:paraId="51961C4B">
      <w:pPr>
        <w:pStyle w:val="2"/>
        <w:spacing w:before="162" w:line="323" w:lineRule="auto"/>
        <w:ind w:left="41" w:right="90" w:firstLine="634"/>
        <w:outlineLvl w:val="0"/>
      </w:pPr>
      <w:r>
        <w:rPr>
          <w:spacing w:val="2"/>
        </w:rPr>
        <w:t>指标</w:t>
      </w:r>
      <w:r>
        <w:rPr>
          <w:spacing w:val="-33"/>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34"/>
        </w:rPr>
        <w:t xml:space="preserve"> </w:t>
      </w:r>
      <w:r>
        <w:rPr>
          <w:spacing w:val="2"/>
        </w:rPr>
        <w:t>：设备采购及安装费，指标值：</w:t>
      </w:r>
      <w:r>
        <w:rPr>
          <w:rFonts w:ascii="Times New Roman" w:hAnsi="Times New Roman" w:eastAsia="Times New Roman" w:cs="Times New Roman"/>
          <w:spacing w:val="2"/>
        </w:rPr>
        <w:t>&lt;=9.09</w:t>
      </w:r>
      <w:r>
        <w:rPr>
          <w:rFonts w:ascii="Times New Roman" w:hAnsi="Times New Roman" w:eastAsia="Times New Roman" w:cs="Times New Roman"/>
          <w:spacing w:val="27"/>
        </w:rPr>
        <w:t xml:space="preserve"> </w:t>
      </w:r>
      <w:r>
        <w:rPr>
          <w:spacing w:val="2"/>
        </w:rPr>
        <w:t>万元，实际</w:t>
      </w:r>
      <w:r>
        <w:rPr>
          <w:spacing w:val="3"/>
        </w:rPr>
        <w:t>完成值：</w:t>
      </w:r>
      <w:r>
        <w:rPr>
          <w:rFonts w:ascii="Times New Roman" w:hAnsi="Times New Roman" w:eastAsia="Times New Roman" w:cs="Times New Roman"/>
          <w:spacing w:val="3"/>
        </w:rPr>
        <w:t>=9.09</w:t>
      </w:r>
      <w:r>
        <w:rPr>
          <w:rFonts w:ascii="Times New Roman" w:hAnsi="Times New Roman" w:eastAsia="Times New Roman" w:cs="Times New Roman"/>
          <w:spacing w:val="40"/>
        </w:rPr>
        <w:t xml:space="preserve"> </w:t>
      </w:r>
      <w:r>
        <w:rPr>
          <w:spacing w:val="3"/>
        </w:rPr>
        <w:t>万元，指标完成率</w:t>
      </w:r>
      <w:r>
        <w:rPr>
          <w:spacing w:val="-36"/>
        </w:rPr>
        <w:t xml:space="preserve"> </w:t>
      </w:r>
      <w:r>
        <w:rPr>
          <w:rFonts w:ascii="Times New Roman" w:hAnsi="Times New Roman" w:eastAsia="Times New Roman" w:cs="Times New Roman"/>
          <w:spacing w:val="3"/>
        </w:rPr>
        <w:t>100%</w:t>
      </w:r>
      <w:r>
        <w:rPr>
          <w:rFonts w:ascii="Times New Roman" w:hAnsi="Times New Roman" w:eastAsia="Times New Roman" w:cs="Times New Roman"/>
          <w:spacing w:val="-33"/>
        </w:rPr>
        <w:t xml:space="preserve"> </w:t>
      </w:r>
      <w:r>
        <w:rPr>
          <w:spacing w:val="3"/>
        </w:rPr>
        <w:t>，本指标无偏差。</w:t>
      </w:r>
    </w:p>
    <w:p w14:paraId="24B00CC4">
      <w:pPr>
        <w:pStyle w:val="2"/>
        <w:spacing w:before="115" w:line="323" w:lineRule="auto"/>
        <w:ind w:left="40" w:right="90" w:firstLine="635"/>
        <w:outlineLvl w:val="0"/>
      </w:pPr>
      <w:r>
        <w:rPr>
          <w:spacing w:val="8"/>
        </w:rPr>
        <w:t>指标</w:t>
      </w:r>
      <w:r>
        <w:rPr>
          <w:spacing w:val="-58"/>
        </w:rPr>
        <w:t xml:space="preserve"> </w:t>
      </w:r>
      <w:r>
        <w:rPr>
          <w:rFonts w:ascii="Times New Roman" w:hAnsi="Times New Roman" w:eastAsia="Times New Roman" w:cs="Times New Roman"/>
          <w:spacing w:val="8"/>
        </w:rPr>
        <w:t>2</w:t>
      </w:r>
      <w:r>
        <w:rPr>
          <w:rFonts w:ascii="Times New Roman" w:hAnsi="Times New Roman" w:eastAsia="Times New Roman" w:cs="Times New Roman"/>
          <w:spacing w:val="-27"/>
        </w:rPr>
        <w:t xml:space="preserve"> </w:t>
      </w:r>
      <w:r>
        <w:rPr>
          <w:spacing w:val="8"/>
        </w:rPr>
        <w:t>：修改造工程费，指标值：</w:t>
      </w:r>
      <w:r>
        <w:rPr>
          <w:rFonts w:ascii="Times New Roman" w:hAnsi="Times New Roman" w:eastAsia="Times New Roman" w:cs="Times New Roman"/>
          <w:spacing w:val="8"/>
        </w:rPr>
        <w:t>&lt;=46.43</w:t>
      </w:r>
      <w:r>
        <w:rPr>
          <w:rFonts w:ascii="Times New Roman" w:hAnsi="Times New Roman" w:eastAsia="Times New Roman" w:cs="Times New Roman"/>
          <w:spacing w:val="32"/>
        </w:rPr>
        <w:t xml:space="preserve"> </w:t>
      </w:r>
      <w:r>
        <w:rPr>
          <w:spacing w:val="8"/>
        </w:rPr>
        <w:t>万元，实际完</w:t>
      </w:r>
      <w:r>
        <w:rPr>
          <w:spacing w:val="3"/>
        </w:rPr>
        <w:t>成值：</w:t>
      </w:r>
      <w:r>
        <w:rPr>
          <w:rFonts w:ascii="Times New Roman" w:hAnsi="Times New Roman" w:eastAsia="Times New Roman" w:cs="Times New Roman"/>
          <w:spacing w:val="3"/>
        </w:rPr>
        <w:t>=46.43</w:t>
      </w:r>
      <w:r>
        <w:rPr>
          <w:rFonts w:ascii="Times New Roman" w:hAnsi="Times New Roman" w:eastAsia="Times New Roman" w:cs="Times New Roman"/>
          <w:spacing w:val="33"/>
        </w:rPr>
        <w:t xml:space="preserve"> </w:t>
      </w:r>
      <w:r>
        <w:rPr>
          <w:spacing w:val="3"/>
        </w:rPr>
        <w:t>万元，指标完成率</w:t>
      </w:r>
      <w:r>
        <w:rPr>
          <w:spacing w:val="-36"/>
        </w:rPr>
        <w:t xml:space="preserve"> </w:t>
      </w:r>
      <w:r>
        <w:rPr>
          <w:rFonts w:ascii="Times New Roman" w:hAnsi="Times New Roman" w:eastAsia="Times New Roman" w:cs="Times New Roman"/>
          <w:spacing w:val="3"/>
        </w:rPr>
        <w:t>100%</w:t>
      </w:r>
      <w:r>
        <w:rPr>
          <w:rFonts w:ascii="Times New Roman" w:hAnsi="Times New Roman" w:eastAsia="Times New Roman" w:cs="Times New Roman"/>
          <w:spacing w:val="-30"/>
        </w:rPr>
        <w:t xml:space="preserve"> </w:t>
      </w:r>
      <w:r>
        <w:rPr>
          <w:spacing w:val="3"/>
        </w:rPr>
        <w:t>，本指标无偏差。</w:t>
      </w:r>
    </w:p>
    <w:p w14:paraId="2F031633">
      <w:pPr>
        <w:pStyle w:val="2"/>
        <w:spacing w:before="116" w:line="323" w:lineRule="auto"/>
        <w:ind w:left="34" w:right="90" w:firstLine="641"/>
        <w:outlineLvl w:val="0"/>
      </w:pPr>
      <w:r>
        <w:rPr>
          <w:spacing w:val="2"/>
        </w:rPr>
        <w:t>指标</w:t>
      </w:r>
      <w:r>
        <w:rPr>
          <w:spacing w:val="-60"/>
        </w:rPr>
        <w:t xml:space="preserve"> </w:t>
      </w:r>
      <w:r>
        <w:rPr>
          <w:rFonts w:ascii="Times New Roman" w:hAnsi="Times New Roman" w:eastAsia="Times New Roman" w:cs="Times New Roman"/>
          <w:spacing w:val="2"/>
        </w:rPr>
        <w:t>3</w:t>
      </w:r>
      <w:r>
        <w:rPr>
          <w:spacing w:val="2"/>
        </w:rPr>
        <w:t>：直播设备采购费，指标值：</w:t>
      </w:r>
      <w:r>
        <w:rPr>
          <w:rFonts w:ascii="Times New Roman" w:hAnsi="Times New Roman" w:eastAsia="Times New Roman" w:cs="Times New Roman"/>
          <w:spacing w:val="2"/>
        </w:rPr>
        <w:t>&lt;=25</w:t>
      </w:r>
      <w:r>
        <w:rPr>
          <w:rFonts w:ascii="Times New Roman" w:hAnsi="Times New Roman" w:eastAsia="Times New Roman" w:cs="Times New Roman"/>
          <w:spacing w:val="27"/>
        </w:rPr>
        <w:t xml:space="preserve"> </w:t>
      </w:r>
      <w:r>
        <w:rPr>
          <w:spacing w:val="2"/>
        </w:rPr>
        <w:t>万元</w:t>
      </w:r>
      <w:r>
        <w:rPr>
          <w:spacing w:val="1"/>
        </w:rPr>
        <w:t>，实际完成</w:t>
      </w:r>
      <w:r>
        <w:rPr>
          <w:spacing w:val="3"/>
        </w:rPr>
        <w:t>值：</w:t>
      </w:r>
      <w:r>
        <w:rPr>
          <w:rFonts w:ascii="Times New Roman" w:hAnsi="Times New Roman" w:eastAsia="Times New Roman" w:cs="Times New Roman"/>
          <w:spacing w:val="3"/>
        </w:rPr>
        <w:t>=25</w:t>
      </w:r>
      <w:r>
        <w:rPr>
          <w:rFonts w:ascii="Times New Roman" w:hAnsi="Times New Roman" w:eastAsia="Times New Roman" w:cs="Times New Roman"/>
          <w:spacing w:val="29"/>
        </w:rPr>
        <w:t xml:space="preserve"> </w:t>
      </w:r>
      <w:r>
        <w:rPr>
          <w:spacing w:val="3"/>
        </w:rPr>
        <w:t>万元，指标完成率</w:t>
      </w:r>
      <w:r>
        <w:rPr>
          <w:spacing w:val="-36"/>
        </w:rPr>
        <w:t xml:space="preserve"> </w:t>
      </w:r>
      <w:r>
        <w:rPr>
          <w:rFonts w:ascii="Times New Roman" w:hAnsi="Times New Roman" w:eastAsia="Times New Roman" w:cs="Times New Roman"/>
          <w:spacing w:val="3"/>
        </w:rPr>
        <w:t>100%</w:t>
      </w:r>
      <w:r>
        <w:rPr>
          <w:rFonts w:ascii="Times New Roman" w:hAnsi="Times New Roman" w:eastAsia="Times New Roman" w:cs="Times New Roman"/>
          <w:spacing w:val="-31"/>
        </w:rPr>
        <w:t xml:space="preserve"> </w:t>
      </w:r>
      <w:r>
        <w:rPr>
          <w:spacing w:val="3"/>
        </w:rPr>
        <w:t>，本指标无偏差。</w:t>
      </w:r>
    </w:p>
    <w:p w14:paraId="54D29860">
      <w:pPr>
        <w:spacing w:before="141" w:line="232" w:lineRule="auto"/>
        <w:ind w:left="692"/>
        <w:rPr>
          <w:rFonts w:ascii="楷体" w:hAnsi="楷体" w:eastAsia="楷体" w:cs="楷体"/>
          <w:sz w:val="31"/>
          <w:szCs w:val="31"/>
        </w:rPr>
      </w:pPr>
      <w:r>
        <w:rPr>
          <w:rFonts w:ascii="楷体" w:hAnsi="楷体" w:eastAsia="楷体" w:cs="楷体"/>
          <w:b/>
          <w:bCs/>
          <w:spacing w:val="-7"/>
          <w:sz w:val="31"/>
          <w:szCs w:val="31"/>
        </w:rPr>
        <w:t>（四）项</w:t>
      </w:r>
      <w:r>
        <w:rPr>
          <w:rFonts w:ascii="楷体" w:hAnsi="楷体" w:eastAsia="楷体" w:cs="楷体"/>
          <w:spacing w:val="-64"/>
          <w:sz w:val="31"/>
          <w:szCs w:val="31"/>
        </w:rPr>
        <w:t xml:space="preserve"> </w:t>
      </w:r>
      <w:r>
        <w:rPr>
          <w:rFonts w:ascii="楷体" w:hAnsi="楷体" w:eastAsia="楷体" w:cs="楷体"/>
          <w:b/>
          <w:bCs/>
          <w:spacing w:val="-7"/>
          <w:sz w:val="31"/>
          <w:szCs w:val="31"/>
        </w:rPr>
        <w:t>目效益情况</w:t>
      </w:r>
    </w:p>
    <w:p w14:paraId="4EBD0CEA">
      <w:pPr>
        <w:pStyle w:val="2"/>
        <w:spacing w:before="115" w:line="323" w:lineRule="auto"/>
        <w:ind w:left="40" w:right="90" w:firstLine="635"/>
        <w:outlineLvl w:val="0"/>
        <w:rPr>
          <w:rFonts w:ascii="Times New Roman" w:hAnsi="Times New Roman" w:eastAsia="Times New Roman" w:cs="Times New Roman"/>
          <w:spacing w:val="33"/>
        </w:rPr>
      </w:pPr>
      <w:r>
        <w:rPr>
          <w:spacing w:val="18"/>
        </w:rPr>
        <w:t>项目效益类指标包括项目实施效益和满意度两方面的内</w:t>
      </w:r>
      <w:r>
        <w:rPr>
          <w:spacing w:val="2"/>
        </w:rPr>
        <w:t>容，</w:t>
      </w:r>
      <w:r>
        <w:rPr>
          <w:spacing w:val="-84"/>
        </w:rPr>
        <w:t xml:space="preserve"> </w:t>
      </w:r>
      <w:r>
        <w:rPr>
          <w:spacing w:val="2"/>
        </w:rPr>
        <w:t>由</w:t>
      </w:r>
      <w:r>
        <w:rPr>
          <w:spacing w:val="-63"/>
        </w:rPr>
        <w:t xml:space="preserve"> </w:t>
      </w:r>
      <w:r>
        <w:rPr>
          <w:rFonts w:ascii="Times New Roman" w:hAnsi="Times New Roman" w:eastAsia="Times New Roman" w:cs="Times New Roman"/>
          <w:spacing w:val="2"/>
        </w:rPr>
        <w:t>3</w:t>
      </w:r>
      <w:r>
        <w:rPr>
          <w:rFonts w:ascii="Times New Roman" w:hAnsi="Times New Roman" w:eastAsia="Times New Roman" w:cs="Times New Roman"/>
          <w:spacing w:val="26"/>
        </w:rPr>
        <w:t xml:space="preserve"> </w:t>
      </w:r>
      <w:r>
        <w:rPr>
          <w:spacing w:val="2"/>
        </w:rPr>
        <w:t>个三级指标构成，</w:t>
      </w:r>
      <w:r>
        <w:rPr>
          <w:rFonts w:ascii="Times New Roman" w:hAnsi="Times New Roman" w:eastAsia="Times New Roman" w:cs="Times New Roman"/>
          <w:spacing w:val="33"/>
        </w:rPr>
        <w:t>权重分为20 分，实际得分 20 分，</w:t>
      </w:r>
    </w:p>
    <w:p w14:paraId="42C36758">
      <w:pPr>
        <w:pStyle w:val="2"/>
        <w:spacing w:before="115" w:line="323" w:lineRule="auto"/>
        <w:ind w:left="40" w:right="90" w:firstLine="635"/>
        <w:outlineLvl w:val="0"/>
      </w:pPr>
      <w:r>
        <w:rPr>
          <w:rFonts w:ascii="Times New Roman" w:hAnsi="Times New Roman" w:eastAsia="Times New Roman" w:cs="Times New Roman"/>
          <w:spacing w:val="33"/>
        </w:rPr>
        <w:t>得分率为 100% 。具体效益指标及满意度指标完成</w:t>
      </w:r>
      <w:r>
        <w:rPr>
          <w:spacing w:val="5"/>
        </w:rPr>
        <w:t>情况如下：</w:t>
      </w:r>
    </w:p>
    <w:p w14:paraId="5A808497">
      <w:pPr>
        <w:pStyle w:val="2"/>
        <w:numPr>
          <w:ilvl w:val="0"/>
          <w:numId w:val="3"/>
        </w:numPr>
        <w:spacing w:before="221" w:line="292" w:lineRule="auto"/>
        <w:ind w:left="676" w:leftChars="0"/>
        <w:outlineLvl w:val="0"/>
        <w:rPr>
          <w:spacing w:val="1"/>
        </w:rPr>
      </w:pPr>
      <w:r>
        <w:rPr>
          <w:spacing w:val="1"/>
        </w:rPr>
        <w:t>实施效益</w:t>
      </w:r>
    </w:p>
    <w:p w14:paraId="36B0043F">
      <w:pPr>
        <w:pStyle w:val="2"/>
        <w:spacing w:before="215" w:line="227" w:lineRule="auto"/>
        <w:ind w:left="666"/>
        <w:outlineLvl w:val="0"/>
      </w:pPr>
      <w:r>
        <w:rPr>
          <w:rFonts w:ascii="宋体" w:hAnsi="宋体" w:eastAsia="宋体" w:cs="宋体"/>
          <w:spacing w:val="7"/>
        </w:rPr>
        <w:t>①</w:t>
      </w:r>
      <w:r>
        <w:rPr>
          <w:spacing w:val="7"/>
        </w:rPr>
        <w:t>社会效益指标：</w:t>
      </w:r>
    </w:p>
    <w:p w14:paraId="1A2704CD">
      <w:pPr>
        <w:pStyle w:val="2"/>
        <w:spacing w:before="217" w:line="293" w:lineRule="auto"/>
        <w:ind w:left="34" w:right="90" w:firstLine="641"/>
        <w:outlineLvl w:val="0"/>
      </w:pPr>
      <w:r>
        <w:rPr>
          <w:spacing w:val="5"/>
        </w:rPr>
        <w:t>指标</w:t>
      </w:r>
      <w:r>
        <w:rPr>
          <w:spacing w:val="-36"/>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34"/>
        </w:rPr>
        <w:t xml:space="preserve"> </w:t>
      </w:r>
      <w:r>
        <w:rPr>
          <w:spacing w:val="5"/>
        </w:rPr>
        <w:t>：提升政府公信力，指标值：有效提升，实际完成</w:t>
      </w:r>
      <w:r>
        <w:rPr>
          <w:spacing w:val="4"/>
        </w:rPr>
        <w:t>值：有效提升，指标完成率</w:t>
      </w:r>
      <w:r>
        <w:rPr>
          <w:spacing w:val="-26"/>
        </w:rPr>
        <w:t xml:space="preserve"> </w:t>
      </w:r>
      <w:r>
        <w:rPr>
          <w:rFonts w:ascii="Times New Roman" w:hAnsi="Times New Roman" w:eastAsia="Times New Roman" w:cs="Times New Roman"/>
          <w:spacing w:val="4"/>
        </w:rPr>
        <w:t>100%</w:t>
      </w:r>
      <w:r>
        <w:rPr>
          <w:rFonts w:ascii="Times New Roman" w:hAnsi="Times New Roman" w:eastAsia="Times New Roman" w:cs="Times New Roman"/>
          <w:spacing w:val="-33"/>
        </w:rPr>
        <w:t xml:space="preserve"> </w:t>
      </w:r>
      <w:r>
        <w:rPr>
          <w:spacing w:val="4"/>
        </w:rPr>
        <w:t>，本指标无偏差。</w:t>
      </w:r>
    </w:p>
    <w:p w14:paraId="5DAF3CB4">
      <w:pPr>
        <w:pStyle w:val="2"/>
        <w:spacing w:before="216" w:line="293" w:lineRule="auto"/>
        <w:ind w:left="40" w:right="87" w:firstLine="635"/>
        <w:outlineLvl w:val="0"/>
      </w:pPr>
      <w:r>
        <w:rPr>
          <w:spacing w:val="6"/>
        </w:rPr>
        <w:t>指标</w:t>
      </w:r>
      <w:r>
        <w:rPr>
          <w:spacing w:val="-59"/>
        </w:rPr>
        <w:t xml:space="preserve"> </w:t>
      </w:r>
      <w:r>
        <w:rPr>
          <w:rFonts w:ascii="Times New Roman" w:hAnsi="Times New Roman" w:eastAsia="Times New Roman" w:cs="Times New Roman"/>
          <w:spacing w:val="6"/>
        </w:rPr>
        <w:t>2</w:t>
      </w:r>
      <w:r>
        <w:rPr>
          <w:rFonts w:ascii="Times New Roman" w:hAnsi="Times New Roman" w:eastAsia="Times New Roman" w:cs="Times New Roman"/>
          <w:spacing w:val="-33"/>
        </w:rPr>
        <w:t xml:space="preserve"> </w:t>
      </w:r>
      <w:r>
        <w:rPr>
          <w:spacing w:val="6"/>
        </w:rPr>
        <w:t>：降低政府债务风险，指标值：有效降低，实际完</w:t>
      </w:r>
      <w:r>
        <w:rPr>
          <w:spacing w:val="4"/>
        </w:rPr>
        <w:t>成值：有效降低，指标完成率</w:t>
      </w:r>
      <w:r>
        <w:rPr>
          <w:spacing w:val="-22"/>
        </w:rPr>
        <w:t xml:space="preserve"> </w:t>
      </w:r>
      <w:r>
        <w:rPr>
          <w:rFonts w:ascii="Times New Roman" w:hAnsi="Times New Roman" w:eastAsia="Times New Roman" w:cs="Times New Roman"/>
          <w:spacing w:val="4"/>
        </w:rPr>
        <w:t>100%</w:t>
      </w:r>
      <w:r>
        <w:rPr>
          <w:rFonts w:ascii="Times New Roman" w:hAnsi="Times New Roman" w:eastAsia="Times New Roman" w:cs="Times New Roman"/>
          <w:spacing w:val="-35"/>
        </w:rPr>
        <w:t xml:space="preserve"> </w:t>
      </w:r>
      <w:r>
        <w:rPr>
          <w:spacing w:val="4"/>
        </w:rPr>
        <w:t>，本指标无偏差。</w:t>
      </w:r>
    </w:p>
    <w:p w14:paraId="5798FBD0">
      <w:pPr>
        <w:pStyle w:val="2"/>
        <w:spacing w:before="217" w:line="228" w:lineRule="auto"/>
        <w:ind w:left="661"/>
        <w:outlineLvl w:val="0"/>
      </w:pPr>
      <w:r>
        <w:rPr>
          <w:rFonts w:ascii="Times New Roman" w:hAnsi="Times New Roman" w:eastAsia="Times New Roman" w:cs="Times New Roman"/>
          <w:spacing w:val="2"/>
        </w:rPr>
        <w:t xml:space="preserve">2.     </w:t>
      </w:r>
      <w:r>
        <w:rPr>
          <w:spacing w:val="2"/>
        </w:rPr>
        <w:t>满意度</w:t>
      </w:r>
    </w:p>
    <w:p w14:paraId="72DDF661">
      <w:pPr>
        <w:pStyle w:val="2"/>
        <w:spacing w:before="158" w:line="310" w:lineRule="auto"/>
        <w:ind w:left="35" w:firstLine="319"/>
        <w:outlineLvl w:val="0"/>
      </w:pPr>
      <w:r>
        <w:rPr>
          <w:spacing w:val="-14"/>
        </w:rPr>
        <w:t>指标</w:t>
      </w:r>
      <w:r>
        <w:rPr>
          <w:spacing w:val="-36"/>
        </w:rPr>
        <w:t xml:space="preserve"> </w:t>
      </w:r>
      <w:r>
        <w:rPr>
          <w:rFonts w:ascii="Times New Roman" w:hAnsi="Times New Roman" w:eastAsia="Times New Roman" w:cs="Times New Roman"/>
          <w:spacing w:val="-14"/>
        </w:rPr>
        <w:t>1</w:t>
      </w:r>
      <w:r>
        <w:rPr>
          <w:spacing w:val="-14"/>
        </w:rPr>
        <w:t>：债权人满意度，指标值：</w:t>
      </w:r>
      <w:r>
        <w:rPr>
          <w:rFonts w:ascii="Times New Roman" w:hAnsi="Times New Roman" w:eastAsia="Times New Roman" w:cs="Times New Roman"/>
          <w:spacing w:val="-14"/>
        </w:rPr>
        <w:t>&gt;=95%</w:t>
      </w:r>
      <w:r>
        <w:rPr>
          <w:spacing w:val="-15"/>
        </w:rPr>
        <w:t>，实际完成值：</w:t>
      </w:r>
      <w:r>
        <w:rPr>
          <w:rFonts w:ascii="Times New Roman" w:hAnsi="Times New Roman" w:eastAsia="Times New Roman" w:cs="Times New Roman"/>
          <w:spacing w:val="-15"/>
        </w:rPr>
        <w:t>=95%</w:t>
      </w:r>
      <w:r>
        <w:rPr>
          <w:spacing w:val="-15"/>
        </w:rPr>
        <w:t>，</w:t>
      </w:r>
      <w:r>
        <w:rPr>
          <w:spacing w:val="2"/>
        </w:rPr>
        <w:t>指标完成率</w:t>
      </w:r>
      <w:r>
        <w:rPr>
          <w:spacing w:val="-34"/>
        </w:rPr>
        <w:t xml:space="preserve"> </w:t>
      </w:r>
      <w:r>
        <w:rPr>
          <w:rFonts w:ascii="Times New Roman" w:hAnsi="Times New Roman" w:eastAsia="Times New Roman" w:cs="Times New Roman"/>
          <w:spacing w:val="2"/>
        </w:rPr>
        <w:t>100%</w:t>
      </w:r>
      <w:r>
        <w:rPr>
          <w:rFonts w:ascii="Times New Roman" w:hAnsi="Times New Roman" w:eastAsia="Times New Roman" w:cs="Times New Roman"/>
          <w:spacing w:val="-33"/>
        </w:rPr>
        <w:t xml:space="preserve"> </w:t>
      </w:r>
      <w:r>
        <w:rPr>
          <w:spacing w:val="2"/>
        </w:rPr>
        <w:t>，本指标无偏差。</w:t>
      </w:r>
    </w:p>
    <w:p w14:paraId="3DB57165">
      <w:pPr>
        <w:spacing w:before="185" w:line="231" w:lineRule="auto"/>
        <w:ind w:left="692"/>
        <w:rPr>
          <w:rFonts w:ascii="楷体" w:hAnsi="楷体" w:eastAsia="楷体" w:cs="楷体"/>
          <w:sz w:val="31"/>
          <w:szCs w:val="31"/>
        </w:rPr>
      </w:pPr>
      <w:r>
        <w:rPr>
          <w:rFonts w:ascii="楷体" w:hAnsi="楷体" w:eastAsia="楷体" w:cs="楷体"/>
          <w:b/>
          <w:bCs/>
          <w:spacing w:val="6"/>
          <w:sz w:val="31"/>
          <w:szCs w:val="31"/>
        </w:rPr>
        <w:t>（五）预算执行进度与绩效指标总体完成率偏差</w:t>
      </w:r>
    </w:p>
    <w:p w14:paraId="6B3FFE32">
      <w:pPr>
        <w:pStyle w:val="2"/>
        <w:spacing w:before="204" w:line="227" w:lineRule="auto"/>
        <w:ind w:left="339"/>
        <w:outlineLvl w:val="0"/>
        <w:rPr>
          <w:rFonts w:hint="eastAsia"/>
          <w:spacing w:val="13"/>
        </w:rPr>
      </w:pPr>
      <w:r>
        <w:rPr>
          <w:rFonts w:ascii="Times New Roman" w:hAnsi="Times New Roman" w:eastAsia="Times New Roman" w:cs="Times New Roman"/>
          <w:spacing w:val="13"/>
        </w:rPr>
        <w:t>2024</w:t>
      </w:r>
      <w:r>
        <w:rPr>
          <w:rFonts w:ascii="Times New Roman" w:hAnsi="Times New Roman" w:eastAsia="Times New Roman" w:cs="Times New Roman"/>
          <w:spacing w:val="40"/>
        </w:rPr>
        <w:t xml:space="preserve"> </w:t>
      </w:r>
      <w:r>
        <w:rPr>
          <w:spacing w:val="13"/>
        </w:rPr>
        <w:t>年中央补助地方公共文化服务体系建设补助资金项目</w:t>
      </w:r>
      <w:r>
        <w:rPr>
          <w:rFonts w:hint="eastAsia"/>
          <w:spacing w:val="13"/>
        </w:rPr>
        <w:t>年初预算 80.52 万元，全年预算 80.52 万元，实际支出 80.52万元，预算执行率为 100%，项目绩效指标总体完成率为 100%，总体偏差率为 0% ，本项目本年度无偏差。</w:t>
      </w:r>
    </w:p>
    <w:p w14:paraId="78FAE81F">
      <w:pPr>
        <w:spacing w:line="227" w:lineRule="auto"/>
        <w:ind w:left="675"/>
        <w:rPr>
          <w:rFonts w:ascii="黑体" w:hAnsi="黑体" w:eastAsia="黑体" w:cs="黑体"/>
          <w:sz w:val="31"/>
          <w:szCs w:val="31"/>
        </w:rPr>
      </w:pPr>
      <w:r>
        <w:rPr>
          <w:rFonts w:ascii="黑体" w:hAnsi="黑体" w:eastAsia="黑体" w:cs="黑体"/>
          <w:spacing w:val="8"/>
          <w:sz w:val="31"/>
          <w:szCs w:val="31"/>
        </w:rPr>
        <w:t>五</w:t>
      </w:r>
      <w:r>
        <w:rPr>
          <w:rFonts w:ascii="Times New Roman" w:hAnsi="Times New Roman" w:eastAsia="Times New Roman" w:cs="Times New Roman"/>
          <w:b/>
          <w:bCs/>
          <w:spacing w:val="8"/>
          <w:sz w:val="31"/>
          <w:szCs w:val="31"/>
        </w:rPr>
        <w:t>.</w:t>
      </w:r>
      <w:r>
        <w:rPr>
          <w:rFonts w:ascii="黑体" w:hAnsi="黑体" w:eastAsia="黑体" w:cs="黑体"/>
          <w:spacing w:val="8"/>
          <w:sz w:val="31"/>
          <w:szCs w:val="31"/>
        </w:rPr>
        <w:t>主要经验及做法、存在的问题及原因分析</w:t>
      </w:r>
    </w:p>
    <w:p w14:paraId="7ACD24FE">
      <w:pPr>
        <w:spacing w:before="177" w:line="234" w:lineRule="auto"/>
        <w:ind w:left="676"/>
        <w:rPr>
          <w:rFonts w:ascii="楷体" w:hAnsi="楷体" w:eastAsia="楷体" w:cs="楷体"/>
          <w:sz w:val="31"/>
          <w:szCs w:val="31"/>
        </w:rPr>
      </w:pPr>
      <w:r>
        <w:rPr>
          <w:rFonts w:ascii="楷体" w:hAnsi="楷体" w:eastAsia="楷体" w:cs="楷体"/>
          <w:b/>
          <w:bCs/>
          <w:spacing w:val="-4"/>
          <w:sz w:val="31"/>
          <w:szCs w:val="31"/>
        </w:rPr>
        <w:t>（一）主要经验及做法</w:t>
      </w:r>
    </w:p>
    <w:p w14:paraId="7A846E75">
      <w:pPr>
        <w:pStyle w:val="2"/>
        <w:spacing w:before="171" w:line="333" w:lineRule="auto"/>
        <w:ind w:left="36" w:right="87" w:firstLine="651"/>
      </w:pPr>
      <w:r>
        <w:rPr>
          <w:spacing w:val="5"/>
        </w:rPr>
        <w:t>为确保项目顺利进行，提前做好项目规划，将所列计划再</w:t>
      </w:r>
      <w:r>
        <w:rPr>
          <w:spacing w:val="6"/>
        </w:rPr>
        <w:t>三审核。在项目实施过程中做好定期监督检查</w:t>
      </w:r>
      <w:r>
        <w:rPr>
          <w:spacing w:val="5"/>
        </w:rPr>
        <w:t>，严格按照项目管理规范进行，在项目资金使用过程中，严格落实把关，按照项目资金使用范围做好审核工作，让项目资金落于实处。在项</w:t>
      </w:r>
      <w:r>
        <w:rPr>
          <w:spacing w:val="8"/>
        </w:rPr>
        <w:t>目完成后，做好受益群众民意调查及项目防范工作。</w:t>
      </w:r>
    </w:p>
    <w:p w14:paraId="41986134">
      <w:pPr>
        <w:pStyle w:val="2"/>
        <w:spacing w:before="1" w:line="280" w:lineRule="auto"/>
        <w:ind w:left="32" w:right="87" w:firstLine="645"/>
        <w:outlineLvl w:val="0"/>
      </w:pPr>
      <w:r>
        <w:rPr>
          <w:spacing w:val="5"/>
        </w:rPr>
        <w:t>严格坚持先做事、后验收、再拨付的原则，杜绝了资金被</w:t>
      </w:r>
      <w:r>
        <w:rPr>
          <w:spacing w:val="6"/>
        </w:rPr>
        <w:t>挤占和挪用现象的发生，跟踪检查到位。财政、纪检</w:t>
      </w:r>
      <w:r>
        <w:rPr>
          <w:spacing w:val="5"/>
        </w:rPr>
        <w:t>、监察等</w:t>
      </w:r>
    </w:p>
    <w:p w14:paraId="2497F8F6">
      <w:pPr>
        <w:pStyle w:val="2"/>
        <w:spacing w:before="181" w:line="308" w:lineRule="auto"/>
        <w:ind w:left="37" w:hanging="3"/>
      </w:pPr>
      <w:r>
        <w:rPr>
          <w:spacing w:val="9"/>
        </w:rPr>
        <w:t>职能部门全面参与专项资金事前、事中和事后全过程的监管。</w:t>
      </w:r>
      <w:r>
        <w:rPr>
          <w:spacing w:val="-3"/>
        </w:rPr>
        <w:t>在监督环节上，实行关口前移，从事后监督管理转向事前审核，</w:t>
      </w:r>
    </w:p>
    <w:p w14:paraId="48825292">
      <w:pPr>
        <w:spacing w:line="308" w:lineRule="auto"/>
        <w:sectPr>
          <w:footerReference r:id="rId6" w:type="default"/>
          <w:pgSz w:w="11906" w:h="16839"/>
          <w:pgMar w:top="1431" w:right="1469" w:bottom="1378" w:left="1785" w:header="0" w:footer="1212" w:gutter="0"/>
          <w:cols w:space="720" w:num="1"/>
        </w:sectPr>
      </w:pPr>
    </w:p>
    <w:p w14:paraId="7FB6C5EB">
      <w:pPr>
        <w:pStyle w:val="2"/>
        <w:spacing w:before="184" w:line="333" w:lineRule="auto"/>
        <w:ind w:left="42" w:right="250" w:hanging="7"/>
      </w:pPr>
      <w:r>
        <w:rPr>
          <w:spacing w:val="6"/>
        </w:rPr>
        <w:t>事中监督和事后检查稽核相结合的监督制度</w:t>
      </w:r>
      <w:r>
        <w:rPr>
          <w:spacing w:val="5"/>
        </w:rPr>
        <w:t>上来，形成多环节</w:t>
      </w:r>
      <w:r>
        <w:rPr>
          <w:spacing w:val="8"/>
        </w:rPr>
        <w:t>全过程的监督管理格局，尽量早发现问题，早解决问题。</w:t>
      </w:r>
    </w:p>
    <w:p w14:paraId="5EBC016E">
      <w:pPr>
        <w:spacing w:line="231" w:lineRule="auto"/>
        <w:ind w:left="692"/>
        <w:rPr>
          <w:rFonts w:ascii="楷体" w:hAnsi="楷体" w:eastAsia="楷体" w:cs="楷体"/>
          <w:sz w:val="31"/>
          <w:szCs w:val="31"/>
        </w:rPr>
      </w:pPr>
      <w:r>
        <w:rPr>
          <w:rFonts w:ascii="楷体" w:hAnsi="楷体" w:eastAsia="楷体" w:cs="楷体"/>
          <w:b/>
          <w:bCs/>
          <w:spacing w:val="4"/>
          <w:sz w:val="31"/>
          <w:szCs w:val="31"/>
        </w:rPr>
        <w:t>（二）存在的问题及原因分析</w:t>
      </w:r>
    </w:p>
    <w:p w14:paraId="5E8B3725">
      <w:pPr>
        <w:pStyle w:val="2"/>
        <w:spacing w:before="204" w:line="291" w:lineRule="auto"/>
        <w:ind w:left="36" w:right="137" w:firstLine="655"/>
        <w:outlineLvl w:val="0"/>
      </w:pPr>
      <w:r>
        <w:rPr>
          <w:rFonts w:ascii="Times New Roman" w:hAnsi="Times New Roman" w:eastAsia="Times New Roman" w:cs="Times New Roman"/>
          <w:spacing w:val="7"/>
        </w:rPr>
        <w:t>1.</w:t>
      </w:r>
      <w:r>
        <w:rPr>
          <w:spacing w:val="7"/>
        </w:rPr>
        <w:t>相关绩效管理方面专业知识的系统性学习有待加强。各</w:t>
      </w:r>
      <w:r>
        <w:rPr>
          <w:spacing w:val="-2"/>
        </w:rPr>
        <w:t>项指标的设置要进一步优化、完善，主要在细化、量化上改进。</w:t>
      </w:r>
    </w:p>
    <w:p w14:paraId="05F28F69">
      <w:pPr>
        <w:pStyle w:val="2"/>
        <w:spacing w:before="223" w:line="356" w:lineRule="auto"/>
        <w:ind w:left="94" w:hanging="57"/>
      </w:pPr>
      <w:r>
        <w:rPr>
          <w:spacing w:val="3"/>
        </w:rPr>
        <w:t>在绩效自评过程中，</w:t>
      </w:r>
      <w:r>
        <w:rPr>
          <w:snapToGrid w:val="0"/>
          <w:color w:val="000000"/>
          <w:spacing w:val="3"/>
          <w:sz w:val="31"/>
          <w:lang w:val="en-US" w:eastAsia="en-US"/>
        </w:rPr>
        <w:t>由于部分人员</w:t>
      </w:r>
      <w:r>
        <w:rPr>
          <w:spacing w:val="3"/>
        </w:rPr>
        <w:t>缺乏相关绩效管理专业知识，</w:t>
      </w:r>
      <w:r>
        <w:rPr>
          <w:spacing w:val="6"/>
        </w:rPr>
        <w:t>自评价工作还存在自我审定的局限性，影响评价质量。</w:t>
      </w:r>
    </w:p>
    <w:p w14:paraId="61BF604E">
      <w:pPr>
        <w:pStyle w:val="2"/>
        <w:spacing w:before="5" w:line="291" w:lineRule="auto"/>
        <w:ind w:left="34" w:right="309" w:firstLine="627"/>
        <w:outlineLvl w:val="0"/>
      </w:pPr>
      <w:r>
        <w:rPr>
          <w:rFonts w:ascii="Times New Roman" w:hAnsi="Times New Roman" w:eastAsia="Times New Roman" w:cs="Times New Roman"/>
          <w:spacing w:val="4"/>
        </w:rPr>
        <w:t>2.</w:t>
      </w:r>
      <w:r>
        <w:rPr>
          <w:rFonts w:ascii="Times New Roman" w:hAnsi="Times New Roman" w:eastAsia="Times New Roman" w:cs="Times New Roman"/>
          <w:spacing w:val="-15"/>
        </w:rPr>
        <w:t xml:space="preserve"> </w:t>
      </w:r>
      <w:r>
        <w:rPr>
          <w:spacing w:val="4"/>
        </w:rPr>
        <w:t>因轮岗、调动等因素使我单位绩效工作人员流动频繁，</w:t>
      </w:r>
      <w:r>
        <w:rPr>
          <w:spacing w:val="7"/>
        </w:rPr>
        <w:t>造成工作衔接不到位的情况。</w:t>
      </w:r>
    </w:p>
    <w:p w14:paraId="34028E8A">
      <w:pPr>
        <w:spacing w:before="190" w:line="227" w:lineRule="auto"/>
        <w:ind w:left="677"/>
        <w:rPr>
          <w:rFonts w:ascii="黑体" w:hAnsi="黑体" w:eastAsia="黑体" w:cs="黑体"/>
          <w:sz w:val="31"/>
          <w:szCs w:val="31"/>
        </w:rPr>
      </w:pPr>
      <w:r>
        <w:rPr>
          <w:rFonts w:ascii="黑体" w:hAnsi="黑体" w:eastAsia="黑体" w:cs="黑体"/>
          <w:spacing w:val="4"/>
          <w:sz w:val="31"/>
          <w:szCs w:val="31"/>
        </w:rPr>
        <w:t>六</w:t>
      </w:r>
      <w:r>
        <w:rPr>
          <w:rFonts w:ascii="Times New Roman" w:hAnsi="Times New Roman" w:eastAsia="Times New Roman" w:cs="Times New Roman"/>
          <w:spacing w:val="4"/>
          <w:sz w:val="31"/>
          <w:szCs w:val="31"/>
        </w:rPr>
        <w:t>.</w:t>
      </w:r>
      <w:r>
        <w:rPr>
          <w:rFonts w:ascii="黑体" w:hAnsi="黑体" w:eastAsia="黑体" w:cs="黑体"/>
          <w:spacing w:val="4"/>
          <w:sz w:val="31"/>
          <w:szCs w:val="31"/>
        </w:rPr>
        <w:t>有关建议</w:t>
      </w:r>
    </w:p>
    <w:p w14:paraId="3F4C0A6D">
      <w:pPr>
        <w:pStyle w:val="2"/>
        <w:spacing w:before="211" w:line="291" w:lineRule="auto"/>
        <w:ind w:left="35" w:right="248" w:firstLine="657"/>
        <w:outlineLvl w:val="0"/>
      </w:pPr>
      <w:r>
        <w:rPr>
          <w:rFonts w:ascii="Times New Roman" w:hAnsi="Times New Roman" w:eastAsia="Times New Roman" w:cs="Times New Roman"/>
          <w:spacing w:val="6"/>
        </w:rPr>
        <w:t>1.</w:t>
      </w:r>
      <w:r>
        <w:rPr>
          <w:rFonts w:ascii="Times New Roman" w:hAnsi="Times New Roman" w:eastAsia="Times New Roman" w:cs="Times New Roman"/>
          <w:spacing w:val="-39"/>
        </w:rPr>
        <w:t xml:space="preserve"> </w:t>
      </w:r>
      <w:r>
        <w:rPr>
          <w:spacing w:val="6"/>
        </w:rPr>
        <w:t>多进行有关绩效管理工作方面的培训。积极组织第三方开展绩效管理工作培训，进一步夯实业务基础，</w:t>
      </w:r>
      <w:r>
        <w:rPr>
          <w:spacing w:val="5"/>
        </w:rPr>
        <w:t>提高我单位绩</w:t>
      </w:r>
    </w:p>
    <w:p w14:paraId="477D48D1">
      <w:pPr>
        <w:pStyle w:val="2"/>
        <w:spacing w:before="220" w:line="229" w:lineRule="auto"/>
        <w:ind w:left="40"/>
      </w:pPr>
      <w:r>
        <w:rPr>
          <w:spacing w:val="3"/>
        </w:rPr>
        <w:t>效人员水平。</w:t>
      </w:r>
    </w:p>
    <w:p w14:paraId="40B0DD6F">
      <w:pPr>
        <w:pStyle w:val="2"/>
        <w:spacing w:before="218" w:line="291" w:lineRule="auto"/>
        <w:ind w:left="35" w:right="250" w:firstLine="626"/>
        <w:outlineLvl w:val="0"/>
      </w:pPr>
      <w:r>
        <w:rPr>
          <w:rFonts w:ascii="Times New Roman" w:hAnsi="Times New Roman" w:eastAsia="Times New Roman" w:cs="Times New Roman"/>
          <w:spacing w:val="8"/>
        </w:rPr>
        <w:t>2.</w:t>
      </w:r>
      <w:r>
        <w:rPr>
          <w:spacing w:val="8"/>
        </w:rPr>
        <w:t>专门设定对绩效工作人员定职、定岗、定责等相关制度</w:t>
      </w:r>
      <w:r>
        <w:rPr>
          <w:spacing w:val="6"/>
        </w:rPr>
        <w:t>措施，进一步提升我单位绩效管理工作业务</w:t>
      </w:r>
      <w:r>
        <w:rPr>
          <w:spacing w:val="5"/>
        </w:rPr>
        <w:t>水平，扎实做好绩</w:t>
      </w:r>
    </w:p>
    <w:p w14:paraId="61027FAC">
      <w:pPr>
        <w:pStyle w:val="2"/>
        <w:spacing w:before="220" w:line="226" w:lineRule="auto"/>
        <w:ind w:left="40"/>
      </w:pPr>
      <w:r>
        <w:rPr>
          <w:spacing w:val="3"/>
        </w:rPr>
        <w:t>效管理工作。</w:t>
      </w:r>
    </w:p>
    <w:p w14:paraId="711CF42D">
      <w:pPr>
        <w:pStyle w:val="2"/>
        <w:spacing w:before="221" w:line="292" w:lineRule="auto"/>
        <w:ind w:left="35" w:right="248" w:firstLine="632"/>
        <w:outlineLvl w:val="0"/>
      </w:pPr>
      <w:r>
        <w:rPr>
          <w:rFonts w:ascii="Times New Roman" w:hAnsi="Times New Roman" w:eastAsia="Times New Roman" w:cs="Times New Roman"/>
          <w:spacing w:val="8"/>
        </w:rPr>
        <w:t>3.</w:t>
      </w:r>
      <w:r>
        <w:rPr>
          <w:spacing w:val="8"/>
        </w:rPr>
        <w:t>进一步规范项目建设的程序。项目前期做好可行性研究</w:t>
      </w:r>
      <w:r>
        <w:rPr>
          <w:spacing w:val="6"/>
        </w:rPr>
        <w:t>报告，更加细化实施方案，严格执行资金管理办</w:t>
      </w:r>
      <w:r>
        <w:rPr>
          <w:spacing w:val="5"/>
        </w:rPr>
        <w:t>法和财政资金</w:t>
      </w:r>
    </w:p>
    <w:p w14:paraId="4913FE57">
      <w:pPr>
        <w:pStyle w:val="2"/>
        <w:spacing w:before="219" w:line="357" w:lineRule="auto"/>
        <w:ind w:left="37" w:right="250" w:firstLine="14"/>
      </w:pPr>
      <w:r>
        <w:rPr>
          <w:spacing w:val="5"/>
        </w:rPr>
        <w:t>管理制度，严格按照项目实施方案、招投标管理办法等稳步推</w:t>
      </w:r>
      <w:r>
        <w:rPr>
          <w:spacing w:val="8"/>
        </w:rPr>
        <w:t>进工作，各部门单位根据自己项目的特点进行总结。</w:t>
      </w:r>
    </w:p>
    <w:p w14:paraId="4CDFA985">
      <w:pPr>
        <w:pStyle w:val="2"/>
        <w:spacing w:before="2" w:line="292" w:lineRule="auto"/>
        <w:ind w:left="37" w:right="250" w:firstLine="622"/>
        <w:outlineLvl w:val="0"/>
      </w:pPr>
      <w:r>
        <w:rPr>
          <w:rFonts w:ascii="Times New Roman" w:hAnsi="Times New Roman" w:eastAsia="Times New Roman" w:cs="Times New Roman"/>
          <w:spacing w:val="8"/>
        </w:rPr>
        <w:t>4.</w:t>
      </w:r>
      <w:r>
        <w:rPr>
          <w:spacing w:val="8"/>
        </w:rPr>
        <w:t>进一步完善项目评价过程中有关数据和资料的收集、整</w:t>
      </w:r>
      <w:r>
        <w:rPr>
          <w:spacing w:val="5"/>
        </w:rPr>
        <w:t>理、审核及分析。项目启动时同步做好档案的归纳与整理，及</w:t>
      </w:r>
    </w:p>
    <w:p w14:paraId="15110EBD">
      <w:pPr>
        <w:pStyle w:val="2"/>
        <w:spacing w:before="219" w:line="226" w:lineRule="auto"/>
        <w:ind w:left="57"/>
        <w:rPr>
          <w:sz w:val="35"/>
          <w:szCs w:val="35"/>
        </w:rPr>
      </w:pPr>
      <w:r>
        <w:rPr>
          <w:spacing w:val="5"/>
        </w:rPr>
        <w:t>时整理、收集、汇总，健全档案资料。项目后续管理有待进一</w:t>
      </w:r>
      <w:r>
        <w:rPr>
          <w:spacing w:val="4"/>
        </w:rPr>
        <w:t>步加强和跟踪</w:t>
      </w:r>
      <w:r>
        <w:rPr>
          <w:spacing w:val="4"/>
          <w:sz w:val="35"/>
          <w:szCs w:val="35"/>
        </w:rPr>
        <w:t>。</w:t>
      </w:r>
    </w:p>
    <w:p w14:paraId="2FE6B4AC">
      <w:pPr>
        <w:pStyle w:val="2"/>
        <w:spacing w:before="206" w:line="291" w:lineRule="auto"/>
        <w:ind w:left="40" w:firstLine="629"/>
        <w:outlineLvl w:val="0"/>
      </w:pPr>
      <w:r>
        <w:rPr>
          <w:rFonts w:ascii="Times New Roman" w:hAnsi="Times New Roman" w:eastAsia="Times New Roman" w:cs="Times New Roman"/>
          <w:spacing w:val="8"/>
        </w:rPr>
        <w:t>5.</w:t>
      </w:r>
      <w:r>
        <w:rPr>
          <w:spacing w:val="8"/>
        </w:rPr>
        <w:t>进一步加强对绩效管理工作的组织领导，提高对预算绩</w:t>
      </w:r>
      <w:r>
        <w:rPr>
          <w:spacing w:val="5"/>
        </w:rPr>
        <w:t>效管理工作重要性的认识，总结经验查找问题，抓紧研究制定</w:t>
      </w:r>
    </w:p>
    <w:p w14:paraId="7F8A7BA3">
      <w:pPr>
        <w:pStyle w:val="2"/>
        <w:spacing w:before="218" w:line="353" w:lineRule="auto"/>
        <w:ind w:left="37" w:right="2" w:firstLine="1"/>
        <w:jc w:val="both"/>
      </w:pPr>
      <w:r>
        <w:rPr>
          <w:spacing w:val="5"/>
        </w:rPr>
        <w:t>更全面更完善的绩效评价管理办法。结合食品安全考核建立绩效工作考核制度，加大全局对全面实施预算绩效管理和绩效管</w:t>
      </w:r>
      <w:r>
        <w:rPr>
          <w:spacing w:val="6"/>
        </w:rPr>
        <w:t>理工作的学习力度，让</w:t>
      </w:r>
      <w:r>
        <w:rPr>
          <w:rFonts w:ascii="Times New Roman" w:hAnsi="Times New Roman" w:eastAsia="Times New Roman" w:cs="Times New Roman"/>
          <w:spacing w:val="6"/>
        </w:rPr>
        <w:t>“</w:t>
      </w:r>
      <w:r>
        <w:rPr>
          <w:spacing w:val="6"/>
        </w:rPr>
        <w:t>花钱必问效，无效必问责</w:t>
      </w:r>
      <w:r>
        <w:rPr>
          <w:rFonts w:ascii="Times New Roman" w:hAnsi="Times New Roman" w:eastAsia="Times New Roman" w:cs="Times New Roman"/>
          <w:spacing w:val="6"/>
        </w:rPr>
        <w:t>”</w:t>
      </w:r>
      <w:r>
        <w:rPr>
          <w:spacing w:val="6"/>
        </w:rPr>
        <w:t>的理念深入</w:t>
      </w:r>
      <w:r>
        <w:rPr>
          <w:spacing w:val="5"/>
        </w:rPr>
        <w:t>工作每个环节。</w:t>
      </w:r>
      <w:bookmarkStart w:id="0" w:name="_GoBack"/>
      <w:bookmarkEnd w:id="0"/>
    </w:p>
    <w:p w14:paraId="20748898">
      <w:pPr>
        <w:spacing w:line="226" w:lineRule="auto"/>
        <w:ind w:left="666"/>
        <w:rPr>
          <w:rFonts w:ascii="黑体" w:hAnsi="黑体" w:eastAsia="黑体" w:cs="黑体"/>
          <w:sz w:val="31"/>
          <w:szCs w:val="31"/>
        </w:rPr>
      </w:pPr>
      <w:r>
        <w:rPr>
          <w:rFonts w:ascii="黑体" w:hAnsi="黑体" w:eastAsia="黑体" w:cs="黑体"/>
          <w:spacing w:val="8"/>
          <w:sz w:val="31"/>
          <w:szCs w:val="31"/>
        </w:rPr>
        <w:t>七</w:t>
      </w:r>
      <w:r>
        <w:rPr>
          <w:rFonts w:ascii="Times New Roman" w:hAnsi="Times New Roman" w:eastAsia="Times New Roman" w:cs="Times New Roman"/>
          <w:b/>
          <w:bCs/>
          <w:spacing w:val="8"/>
          <w:sz w:val="31"/>
          <w:szCs w:val="31"/>
        </w:rPr>
        <w:t>.</w:t>
      </w:r>
      <w:r>
        <w:rPr>
          <w:rFonts w:ascii="黑体" w:hAnsi="黑体" w:eastAsia="黑体" w:cs="黑体"/>
          <w:spacing w:val="8"/>
          <w:sz w:val="31"/>
          <w:szCs w:val="31"/>
        </w:rPr>
        <w:t>其他需要说明的问题</w:t>
      </w:r>
    </w:p>
    <w:p w14:paraId="2D6B6EB2">
      <w:pPr>
        <w:pStyle w:val="2"/>
        <w:spacing w:before="204" w:line="227" w:lineRule="auto"/>
        <w:ind w:left="339"/>
        <w:outlineLvl w:val="0"/>
        <w:rPr>
          <w:rFonts w:hint="eastAsia" w:eastAsia="仿宋"/>
          <w:spacing w:val="13"/>
          <w:lang w:val="en-US" w:eastAsia="zh-CN"/>
        </w:rPr>
      </w:pPr>
      <w:r>
        <w:rPr>
          <w:spacing w:val="8"/>
        </w:rPr>
        <w:t>本项目无其他需说明的问题</w:t>
      </w:r>
      <w:r>
        <w:rPr>
          <w:rFonts w:hint="eastAsia"/>
          <w:spacing w:val="8"/>
          <w:lang w:eastAsia="zh-CN"/>
        </w:rPr>
        <w:t>。</w:t>
      </w:r>
    </w:p>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5F85E">
    <w:pPr>
      <w:spacing w:line="168" w:lineRule="auto"/>
      <w:ind w:left="4258"/>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D9071">
    <w:pPr>
      <w:spacing w:line="169" w:lineRule="auto"/>
      <w:ind w:left="4212"/>
      <w:rPr>
        <w:rFonts w:ascii="Calibri" w:hAnsi="Calibri" w:eastAsia="Calibri" w:cs="Calibri"/>
        <w:sz w:val="18"/>
        <w:szCs w:val="18"/>
      </w:rPr>
    </w:pPr>
    <w:r>
      <w:rPr>
        <w:rFonts w:ascii="Calibri" w:hAnsi="Calibri" w:eastAsia="Calibri" w:cs="Calibri"/>
        <w:spacing w:val="-8"/>
        <w:sz w:val="18"/>
        <w:szCs w:val="18"/>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F0BF0">
    <w:pPr>
      <w:spacing w:line="169" w:lineRule="auto"/>
      <w:ind w:left="4252"/>
      <w:rPr>
        <w:rFonts w:ascii="Calibri" w:hAnsi="Calibri" w:eastAsia="Calibri" w:cs="Calibri"/>
        <w:sz w:val="18"/>
        <w:szCs w:val="18"/>
      </w:rPr>
    </w:pPr>
    <w:r>
      <w:rPr>
        <w:rFonts w:ascii="Calibri" w:hAnsi="Calibri" w:eastAsia="Calibri" w:cs="Calibri"/>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AD2E53"/>
    <w:multiLevelType w:val="singleLevel"/>
    <w:tmpl w:val="98AD2E53"/>
    <w:lvl w:ilvl="0" w:tentative="0">
      <w:start w:val="1"/>
      <w:numFmt w:val="decimal"/>
      <w:lvlText w:val="%1."/>
      <w:lvlJc w:val="left"/>
      <w:pPr>
        <w:tabs>
          <w:tab w:val="left" w:pos="312"/>
        </w:tabs>
      </w:pPr>
    </w:lvl>
  </w:abstractNum>
  <w:abstractNum w:abstractNumId="1">
    <w:nsid w:val="EFEAF41E"/>
    <w:multiLevelType w:val="singleLevel"/>
    <w:tmpl w:val="EFEAF41E"/>
    <w:lvl w:ilvl="0" w:tentative="0">
      <w:start w:val="4"/>
      <w:numFmt w:val="decimal"/>
      <w:lvlText w:val="%1."/>
      <w:lvlJc w:val="left"/>
      <w:pPr>
        <w:tabs>
          <w:tab w:val="left" w:pos="312"/>
        </w:tabs>
      </w:pPr>
    </w:lvl>
  </w:abstractNum>
  <w:abstractNum w:abstractNumId="2">
    <w:nsid w:val="2AB12E24"/>
    <w:multiLevelType w:val="singleLevel"/>
    <w:tmpl w:val="2AB12E24"/>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2730E"/>
    <w:rsid w:val="0612730E"/>
    <w:rsid w:val="25B3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7762</Words>
  <Characters>7988</Characters>
  <Lines>0</Lines>
  <Paragraphs>0</Paragraphs>
  <TotalTime>0</TotalTime>
  <ScaleCrop>false</ScaleCrop>
  <LinksUpToDate>false</LinksUpToDate>
  <CharactersWithSpaces>8302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2025-10-31T08:56:00Z</dcterms:created>
  <dc:creator>忆</dc:creator>
  <cp:lastModifiedBy>周丽君</cp:lastModifiedBy>
  <dcterms:modified xsi:type="dcterms:W3CDTF">2025-11-03T03:12:52Z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4DFB0668723C40CBB8B0140545A48B4A_11</vt:lpwstr>
  </property>
  <property fmtid="{D5CDD505-2E9C-101B-9397-08002B2CF9AE}" pid="4" name="KSOTemplateDocerSaveRecord">
    <vt:lpwstr>eyJoZGlkIjoiMjEwMjVmNmU3OTQwZDBjNjI0ZTM3MTBmNDI0OGIzYzIiLCJ1c2VySWQiOiIyMDM3MTI1NTkifQ==</vt:lpwstr>
  </property>
</Properties>
</file>