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center"/>
        <w:rPr>
          <w:rFonts w:ascii="Times New Roman" w:eastAsia="华文中宋" w:hAnsi="Times New Roman" w:cs="Times New Roman" w:hint="default"/>
          <w:b/>
          <w:kern w:val="0"/>
          <w:sz w:val="52"/>
          <w:szCs w:val="52"/>
        </w:rPr>
      </w:pPr>
    </w:p>
    <w:p>
      <w:pPr>
        <w:spacing w:line="540" w:lineRule="exact"/>
        <w:rPr>
          <w:rFonts w:ascii="Times New Roman" w:eastAsia="华文中宋" w:hAnsi="Times New Roman" w:cs="Times New Roman" w:hint="default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Times New Roman" w:eastAsia="华文中宋" w:hAnsi="Times New Roman" w:cs="Times New Roman" w:hint="default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Times New Roman" w:eastAsia="华文中宋" w:hAnsi="Times New Roman" w:cs="Times New Roman" w:hint="default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Times New Roman" w:eastAsia="方正小标宋_GBK" w:hAnsi="Times New Roman" w:cs="Times New Roman" w:hint="default"/>
          <w:kern w:val="0"/>
          <w:sz w:val="48"/>
          <w:szCs w:val="48"/>
        </w:rPr>
      </w:pPr>
      <w:r>
        <w:rPr>
          <w:rFonts w:eastAsia="方正小标宋_GBK" w:cs="Times New Roman" w:hint="eastAsia"/>
          <w:kern w:val="0"/>
          <w:sz w:val="48"/>
          <w:szCs w:val="48"/>
          <w:lang w:eastAsia="zh-CN"/>
        </w:rPr>
        <w:t xml:space="preserve">2023年中央林业草原生态保护恢复资金（生态护林员补助）</w:t>
      </w:r>
      <w:r>
        <w:rPr>
          <w:rFonts w:ascii="Times New Roman" w:eastAsia="方正小标宋_GBK" w:hAnsi="Times New Roman" w:cs="Times New Roman" w:hint="default"/>
          <w:kern w:val="0"/>
          <w:sz w:val="48"/>
          <w:szCs w:val="48"/>
        </w:rPr>
        <w:t xml:space="preserve">项目支出绩效评价</w:t>
      </w:r>
    </w:p>
    <w:p>
      <w:pPr>
        <w:spacing w:line="540" w:lineRule="exact"/>
        <w:jc w:val="center"/>
        <w:rPr>
          <w:rFonts w:ascii="Times New Roman" w:eastAsia="方正小标宋_GBK" w:hAnsi="Times New Roman" w:cs="Times New Roman" w:hint="default"/>
          <w:kern w:val="0"/>
          <w:sz w:val="48"/>
          <w:szCs w:val="48"/>
        </w:rPr>
      </w:pPr>
      <w:r>
        <w:rPr>
          <w:rFonts w:ascii="Times New Roman" w:eastAsia="方正小标宋_GBK" w:hAnsi="Times New Roman" w:cs="Times New Roman" w:hint="default"/>
          <w:kern w:val="0"/>
          <w:sz w:val="48"/>
          <w:szCs w:val="48"/>
        </w:rPr>
        <w:t xml:space="preserve">报告</w:t>
      </w:r>
    </w:p>
    <w:p>
      <w:pPr>
        <w:spacing w:line="540" w:lineRule="exact"/>
        <w:jc w:val="center"/>
        <w:rPr>
          <w:rFonts w:ascii="Times New Roman" w:eastAsia="华文中宋" w:hAnsi="Times New Roman" w:cs="Times New Roman" w:hint="default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kern w:val="0"/>
          <w:sz w:val="36"/>
          <w:szCs w:val="36"/>
        </w:rPr>
      </w:pP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（202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  <w:lang w:val="en-US" w:eastAsia="zh-CN"/>
        </w:rPr>
        <w:t xml:space="preserve">4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kern w:val="0"/>
          <w:sz w:val="30"/>
          <w:szCs w:val="30"/>
        </w:rPr>
      </w:pPr>
    </w:p>
    <w:p>
      <w:pPr>
        <w:pStyle w:val="Title"/>
        <w:rPr>
          <w:rFonts w:ascii="Times New Roman" w:hAnsi="Times New Roman" w:cs="Times New Roman" w:hint="default"/>
        </w:rPr>
      </w:pP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kern w:val="0"/>
          <w:sz w:val="30"/>
          <w:szCs w:val="30"/>
        </w:rPr>
      </w:pPr>
    </w:p>
    <w:p>
      <w:pPr>
        <w:spacing w:line="540" w:lineRule="exact"/>
        <w:rPr>
          <w:rFonts w:ascii="Times New Roman" w:eastAsia="仿宋_GB2312" w:hAnsi="Times New Roman" w:cs="Times New Roman" w:hint="default"/>
          <w:kern w:val="0"/>
          <w:sz w:val="30"/>
          <w:szCs w:val="30"/>
        </w:rPr>
      </w:pP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default"/>
          <w:kern w:val="0"/>
          <w:sz w:val="36"/>
          <w:szCs w:val="36"/>
        </w:rPr>
      </w:pP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项目名称：2023年中央林业草原生态保护恢复资金（生态护林员补助）</w:t>
      </w: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default"/>
          <w:kern w:val="0"/>
          <w:sz w:val="36"/>
          <w:szCs w:val="36"/>
          <w:lang w:val="en-US" w:eastAsia="zh-CN"/>
        </w:rPr>
      </w:pP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实施单位（公章）：</w:t>
      </w:r>
      <w:r>
        <w:rPr>
          <w:rFonts w:eastAsia="仿宋_GB2312" w:cs="Times New Roman" w:hint="eastAsia"/>
          <w:kern w:val="0"/>
          <w:sz w:val="36"/>
          <w:szCs w:val="36"/>
          <w:lang w:val="en-US" w:eastAsia="zh-CN"/>
        </w:rPr>
        <w:t xml:space="preserve">托里县自然资源局</w:t>
      </w: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default"/>
          <w:kern w:val="0"/>
          <w:sz w:val="36"/>
          <w:szCs w:val="36"/>
          <w:lang w:val="en-US" w:eastAsia="zh-CN"/>
        </w:rPr>
      </w:pP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主管部门（公章）：</w:t>
      </w:r>
      <w:r>
        <w:rPr>
          <w:rFonts w:eastAsia="仿宋_GB2312" w:cs="Times New Roman" w:hint="eastAsia"/>
          <w:kern w:val="0"/>
          <w:sz w:val="36"/>
          <w:szCs w:val="36"/>
          <w:lang w:val="en-US" w:eastAsia="zh-CN"/>
        </w:rPr>
        <w:t xml:space="preserve">托里县自然资源局</w:t>
      </w: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default"/>
          <w:kern w:val="0"/>
          <w:sz w:val="36"/>
          <w:szCs w:val="36"/>
          <w:lang w:val="en-US" w:eastAsia="zh-CN"/>
        </w:rPr>
      </w:pP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项目负责人（签章）：</w:t>
      </w:r>
      <w:r>
        <w:rPr>
          <w:rFonts w:eastAsia="仿宋_GB2312" w:cs="Times New Roman" w:hint="eastAsia"/>
          <w:kern w:val="0"/>
          <w:sz w:val="36"/>
          <w:szCs w:val="36"/>
          <w:lang w:val="en-US" w:eastAsia="zh-CN"/>
        </w:rPr>
        <w:t xml:space="preserve">木合塔尔</w:t>
      </w: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default"/>
          <w:kern w:val="0"/>
          <w:sz w:val="36"/>
          <w:szCs w:val="36"/>
        </w:rPr>
      </w:pP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填报时间：</w:t>
      </w:r>
      <w:r>
        <w:rPr>
          <w:rFonts w:eastAsia="仿宋_GB2312" w:cs="Times New Roman" w:hint="eastAsia"/>
          <w:kern w:val="0"/>
          <w:sz w:val="36"/>
          <w:szCs w:val="36"/>
          <w:lang w:val="en-US" w:eastAsia="zh-CN"/>
        </w:rPr>
        <w:t xml:space="preserve">2025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年</w:t>
      </w:r>
      <w:r>
        <w:rPr>
          <w:rFonts w:eastAsia="仿宋_GB2312" w:cs="Times New Roman" w:hint="eastAsia"/>
          <w:kern w:val="0"/>
          <w:sz w:val="36"/>
          <w:szCs w:val="36"/>
          <w:lang w:val="en-US" w:eastAsia="zh-CN"/>
        </w:rPr>
        <w:t xml:space="preserve">3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月</w:t>
      </w:r>
      <w:r>
        <w:rPr>
          <w:rFonts w:eastAsia="仿宋_GB2312" w:cs="Times New Roman" w:hint="eastAsia"/>
          <w:kern w:val="0"/>
          <w:sz w:val="36"/>
          <w:szCs w:val="36"/>
          <w:lang w:val="en-US" w:eastAsia="zh-CN"/>
        </w:rPr>
        <w:t xml:space="preserve">1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</w:rPr>
        <w:t xml:space="preserve">日</w:t>
      </w:r>
    </w:p>
    <w:p>
      <w:pPr>
        <w:spacing w:line="560" w:lineRule="exact"/>
        <w:rPr>
          <w:rFonts w:ascii="Times New Roman" w:eastAsia="黑体" w:hAnsi="Times New Roman" w:cs="Times New Roman" w:hint="default"/>
          <w:bCs/>
          <w:sz w:val="32"/>
          <w:szCs w:val="32"/>
        </w:rPr>
        <w:sectPr>
          <w:pgSz w:w="11906" w:h="16838" w:orient="portrait"/>
          <w:pgMar w:top="1440" w:right="1558" w:bottom="1440" w:left="1800" w:header="851" w:footer="992" w:gutter="0"/>
          <w:pgBorders/>
          <w:cols w:num="1" w:space="425">
            <w:col w:w="8548" w:space="425"/>
          </w:cols>
          <w:docGrid w:type="lines" w:linePitch="312" w:charSpace="0"/>
        </w:sectPr>
      </w:pPr>
    </w:p>
    <w:p>
      <w:pPr>
        <w:spacing w:line="560" w:lineRule="exact"/>
        <w:ind w:firstLine="640" w:firstLineChars="200"/>
        <w:rPr>
          <w:rFonts w:ascii="Times New Roman" w:eastAsia="黑体" w:hAnsi="Times New Roman" w:cs="Times New Roman" w:hint="default"/>
          <w:bCs/>
          <w:sz w:val="32"/>
          <w:szCs w:val="32"/>
        </w:rPr>
      </w:pPr>
      <w:r>
        <w:rPr>
          <w:rFonts w:ascii="Times New Roman" w:eastAsia="黑体" w:hAnsi="Times New Roman" w:cs="Times New Roman" w:hint="default"/>
          <w:bCs/>
          <w:sz w:val="32"/>
          <w:szCs w:val="32"/>
        </w:rPr>
        <w:t xml:space="preserve">一、基本情况</w:t>
      </w:r>
    </w:p>
    <w:p>
      <w:p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sz w:val="32"/>
          <w:szCs w:val="32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</w:rPr>
        <w:t xml:space="preserve">（一）项目概况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</w:rPr>
        <w:t xml:space="preserve">1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</w:rPr>
        <w:t xml:space="preserve">项目背景</w:t>
      </w:r>
    </w:p>
    <w:p>
      <w:pPr>
        <w:pStyle w:val="Heading4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21" w:lineRule="atLeast"/>
        <w:ind w:left="0" w:right="0" w:firstLine="640" w:firstLineChars="200"/>
        <w:rPr>
          <w:rFonts w:ascii="Times New Roman" w:eastAsia="仿宋_GB2312" w:hAnsi="Times New Roman" w:cs="Times New Roman" w:hint="default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ascii="Times New Roman" w:eastAsia="仿宋_GB2312" w:hAnsi="Times New Roman" w:cs="Times New Roman" w:hint="eastAsia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 xml:space="preserve">根据塔地财建【2022】114号《关于提前下达2023年中央林业草原生态保护恢复资金的通知》文件要求，开展</w:t>
      </w:r>
      <w:r>
        <w:rPr>
          <w:rFonts w:ascii="Times New Roman" w:eastAsia="仿宋_GB2312" w:hAnsi="Times New Roman" w:cs="Times New Roman" w:hint="default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 xml:space="preserve">2023年中央林业草原生态保护恢复资金（生态护林员补助）</w:t>
      </w:r>
      <w:r>
        <w:rPr>
          <w:rFonts w:ascii="Times New Roman" w:eastAsia="仿宋_GB2312" w:hAnsi="Times New Roman" w:cs="Times New Roman" w:hint="eastAsia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 xml:space="preserve">项目，项目资金</w:t>
      </w:r>
      <w:r>
        <w:rPr>
          <w:rFonts w:eastAsia="仿宋_GB2312" w:cs="Times New Roman" w:hint="eastAsia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 xml:space="preserve">479.25万元</w:t>
      </w:r>
      <w:r>
        <w:rPr>
          <w:rFonts w:ascii="宋体" w:eastAsia="仿宋_GB2312" w:hAnsi="宋体" w:cs="Times New Roman" w:hint="eastAsia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 xml:space="preserve">，生态护林员日常管护工作开展由县林业和草原局按照《国家级公益林管理办法》及《新疆维吾尔自治区国家级公益林管护质量检查办法》进行统一监督管理，实现社会人数就业稳定，推动我县脱贫攻坚工作，</w:t>
      </w:r>
      <w:r>
        <w:rPr>
          <w:rFonts w:eastAsia="仿宋_GB2312" w:cs="Times New Roman" w:hint="eastAsia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 xml:space="preserve">造</w:t>
      </w:r>
      <w:r>
        <w:rPr>
          <w:rFonts w:ascii="宋体" w:eastAsia="仿宋_GB2312" w:hAnsi="宋体" w:cs="Times New Roman" w:hint="eastAsia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 xml:space="preserve">就“农民得实惠、生态得保护”的双赢之路。</w:t>
      </w:r>
    </w:p>
    <w:p>
      <w:pPr>
        <w:pStyle w:val="Title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ascii="Times New Roman" w:eastAsia="仿宋_GB2312" w:hAnsi="Times New Roman" w:cs="Times New Roman" w:hint="default"/>
          <w:kern w:val="2"/>
        </w:rPr>
      </w:pPr>
      <w:r>
        <w:rPr>
          <w:rFonts w:ascii="Times New Roman" w:eastAsia="仿宋_GB2312" w:hAnsi="Times New Roman" w:cs="Times New Roman" w:hint="default"/>
          <w:kern w:val="2"/>
          <w:lang w:val="en-US" w:eastAsia="zh-CN"/>
        </w:rPr>
        <w:t xml:space="preserve">2.</w:t>
      </w:r>
      <w:r>
        <w:rPr>
          <w:rFonts w:ascii="Times New Roman" w:eastAsia="仿宋_GB2312" w:hAnsi="Times New Roman" w:cs="Times New Roman" w:hint="default"/>
          <w:kern w:val="2"/>
        </w:rPr>
        <w:t xml:space="preserve">项目主要内容：</w:t>
      </w:r>
    </w:p>
    <w:p>
      <w:pPr>
        <w:ind w:firstLine="600" w:firstLineChars="200"/>
        <w:rPr>
          <w:rFonts w:ascii="Times New Roman" w:eastAsia="仿宋_GB2312" w:hAnsi="Times New Roman" w:cs="Times New Roman" w:hint="default"/>
          <w:b w:val="0"/>
          <w:bCs w:val="0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ascii="Times New Roman" w:eastAsia="仿宋_GB2312" w:hAnsi="Times New Roman" w:cs="Times New Roman" w:hint="default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 xml:space="preserve">项目主要内容：</w:t>
      </w:r>
      <w:r>
        <w:rPr>
          <w:rFonts w:eastAsia="仿宋_GB2312" w:cs="Times New Roman" w:hint="eastAsia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 xml:space="preserve">项目资金479.25万元，用于2024年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完成625名续聘生态护林员工资及社保，开展岗前培训2次。实现社会人数就业稳定，推动我县脱贫攻坚工作，</w:t>
      </w:r>
      <w:r>
        <w:rPr>
          <w:rFonts w:eastAsia="仿宋_GB2312" w:cs="Times New Roman" w:hint="eastAsia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 xml:space="preserve">造</w:t>
      </w:r>
      <w:r>
        <w:rPr>
          <w:rFonts w:ascii="宋体" w:eastAsia="仿宋_GB2312" w:hAnsi="宋体" w:cs="Times New Roman" w:hint="eastAsia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 xml:space="preserve">就“农民得实惠、生态得保护”的双赢之路。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eastAsia="仿宋_GB2312" w:cs="Times New Roman" w:hint="default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default"/>
          <w:sz w:val="32"/>
          <w:szCs w:val="32"/>
          <w:highlight w:val="none"/>
          <w:lang w:val="en-US" w:eastAsia="zh-CN"/>
        </w:rPr>
        <w:t xml:space="preserve">项目实施情况：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本项目于2024年1月开始实施，2023年中央林业草原生态保护恢复资金（生态护林员补助）项目资金479.25万元，截止2024年12月31日已完成资金支付479.25万元，完成支付625名续聘生态护林员的工资及社保。增强自然生态环境管护效果，造就“农民得实惠、生态得保护”的双赢之路。对生态护林员开展的管护工作满意99.3%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green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</w:rPr>
        <w:t xml:space="preserve">3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</w:rPr>
        <w:t xml:space="preserve">资金投入和使用情况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（1）资金投入情况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FF0000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该项目年初预算数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479.25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万元，全年预算数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479.25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万元，该项目资金已全部落实到位，资金来源为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财政拨款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（2）资金使用情况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该项目年初预算数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479.25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万元，全年预算数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479.25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万元，全年执行数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479.25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万元，预算执行率为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%，主要用于：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支付625名续聘生态护林员的工资及社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保。</w:t>
      </w:r>
    </w:p>
    <w:p>
      <w:p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  <w:t xml:space="preserve">（二）项目绩效目标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1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总体目标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2023年中央林业草原生态保护恢复资金（生态护林员补助）项目资金：479.25万元，用于支付625名续聘生态护林员的工资及社保。增强自然生态环境管护效果，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造就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“农民得实惠、生态得保护”的双赢之路。对生态护林员开展的管护工作满意95%以上。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FF0000"/>
          <w:sz w:val="30"/>
          <w:szCs w:val="30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2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阶段性目标</w:t>
      </w:r>
    </w:p>
    <w:p>
      <w:pPr>
        <w:shd w:val="clear" w:color="auto" w:fill="auto"/>
        <w:tabs>
          <w:tab w:val="left" w:pos="658"/>
        </w:tabs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ab/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合理合规利用项目资金，及时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开展岗前培训2次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，保障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按月发放生态护林员的工资及社保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，通过开展项目提升生态护林员满意度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。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有效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增强自然生态环境管护效果，稳定就业人数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，积极推动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“农民得实惠、生态得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保护”的双赢之路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。提升护林员满意度。</w:t>
      </w:r>
    </w:p>
    <w:p>
      <w:pPr>
        <w:spacing w:line="560" w:lineRule="exact"/>
        <w:ind w:firstLine="640" w:firstLineChars="200"/>
        <w:rPr>
          <w:rFonts w:ascii="Times New Roman" w:eastAsia="黑体" w:hAnsi="Times New Roman" w:cs="Times New Roman" w:hint="default"/>
          <w:sz w:val="32"/>
          <w:szCs w:val="32"/>
        </w:rPr>
      </w:pPr>
      <w:r>
        <w:rPr>
          <w:rFonts w:ascii="Times New Roman" w:eastAsia="黑体" w:hAnsi="Times New Roman" w:cs="Times New Roman" w:hint="default"/>
          <w:sz w:val="32"/>
          <w:szCs w:val="32"/>
        </w:rPr>
        <w:t xml:space="preserve">二、绩效评价工作开展情况</w:t>
      </w:r>
    </w:p>
    <w:p>
      <w:p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sz w:val="32"/>
          <w:szCs w:val="32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</w:rPr>
        <w:t xml:space="preserve">（一）绩效评价目的、对象和范围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  <w:t xml:space="preserve">1.绩效评价完整性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在评价指标体系的构建上，充分考虑了项目的性质、目标以及预期成果，选取了具有代表性和可衡量性的关键指标，涵盖了社会效益等多个维度，力求全方位反映项目的绩效状况。同时，对于每个指标的评价标准和数据来源均进行了明确说明，确保评价结果的客观性和可追溯性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2.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绩效评价的目的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（1）评估项目实施效果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通过对项目预算执行情况及各项绩效目标达成程度的系统性分析，全面、客观地评估项目在预定周期内的实施效果，包括社会效益以及可持续性等多维度指标，为项目后续的改进与优化提供科学依据。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（2）提升资源利用效率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（3）强化项目管理责任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（4）为决策提供支持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（5）促进项目持续改进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方正仿宋_GBK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  <w:t xml:space="preserve">3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绩效评价的对象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本项目预算绩效评价报告的评价对象是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eastAsia="zh-CN"/>
        </w:rPr>
        <w:t xml:space="preserve">2023年中央林业草原生态保护恢复资金（生态护林员补助）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及其预算执行情况。该项目由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托里县自然资源局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负责实施，旨在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</w:rPr>
        <w:t xml:space="preserve">续聘生态护林员625名，开展岗前培训2次，进行统一监督管理，实现社会人数就业稳定，推动我县脱贫攻坚工作，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造就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</w:rPr>
        <w:t xml:space="preserve">“农民得实惠、生态得保护”的双赢之路，增强自然生态环境管护效果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。项目预算涵盖从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2024年1月1日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至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2024年12月31日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的全部资金投入与支出，涉及资金总额为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479.25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  <w:t xml:space="preserve">万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元。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  <w:t xml:space="preserve">4.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绩效评价的范围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</w:p>
    <w:p>
      <w:pPr>
        <w:pStyle w:val="Title"/>
        <w:widowControl w:val="0"/>
        <w:numPr>
          <w:ilvl w:val="0"/>
          <w:numId w:val="3"/>
        </w:numPr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项目预算编制与执行：全面审视项目预算的编制依据、合理性、科学性以及实际执行情况，包括预算调整的原因和效果。</w:t>
      </w:r>
    </w:p>
    <w:p>
      <w:pPr>
        <w:pStyle w:val="Title"/>
        <w:widowControl w:val="0"/>
        <w:numPr>
          <w:ilvl w:val="0"/>
          <w:numId w:val="3"/>
        </w:numPr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资金管理：深入分析项目资金的分配、使用和监管情况，确保资金使用的合规性、高效性和透明度。</w:t>
      </w:r>
    </w:p>
    <w:p>
      <w:pPr>
        <w:pStyle w:val="Title"/>
        <w:widowControl w:val="0"/>
        <w:numPr>
          <w:ilvl w:val="0"/>
          <w:numId w:val="3"/>
        </w:numPr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项目实施进度与产出：评估项目是否按照既定计划顺利推进，各项任务是否按时完成，以及项目产出的数量、质量和时效性是否符合预期。</w:t>
      </w:r>
    </w:p>
    <w:p>
      <w:pPr>
        <w:pStyle w:val="Title"/>
        <w:widowControl w:val="0"/>
        <w:numPr>
          <w:ilvl w:val="0"/>
          <w:numId w:val="3"/>
        </w:numPr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社会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  <w:t xml:space="preserve">、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生态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  <w:t xml:space="preserve">等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影响：考察项目对社会方面的综合影响。</w:t>
      </w:r>
    </w:p>
    <w:p>
      <w:pPr>
        <w:spacing w:line="560" w:lineRule="exact"/>
        <w:ind w:firstLine="640" w:firstLineChars="200"/>
        <w:rPr>
          <w:rFonts w:ascii="Times New Roman" w:hAnsi="Times New Roman" w:cs="Times New Roman" w:hint="default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  <w:t xml:space="preserve">（二）绩效评价原则、评价指标体系（详情见表1）、评价方法、评价标准。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1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绩效评价原则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z w:val="32"/>
          <w:szCs w:val="32"/>
          <w:highlight w:val="none"/>
        </w:rPr>
        <w:t xml:space="preserve">本次项目绩效评价遵循以下基本原则：</w:t>
      </w:r>
    </w:p>
    <w:p>
      <w:pPr>
        <w:pStyle w:val="Title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（1）科学公正。绩效评价应当运用科学合理的方法，按照规范的程序，对项目绩效进行客观、公正的反映。</w:t>
      </w:r>
    </w:p>
    <w:p>
      <w:pPr>
        <w:pStyle w:val="Title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Title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</w:p>
    <w:p>
      <w:pPr>
        <w:pStyle w:val="Title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（4）公开透明。绩效评价结果应依法依规公开，并自觉接受社会监督。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2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评价指标体系</w:t>
      </w:r>
    </w:p>
    <w:p>
      <w:pPr>
        <w:spacing w:line="560" w:lineRule="exact"/>
        <w:ind w:firstLine="640" w:firstLineChars="200"/>
        <w:rPr>
          <w:rFonts w:ascii="Times New Roman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绩效评价框架是开展绩效评价的核心。绩效评价框架包括评价准则、关键评价问题、评价指标、数据来源、数据收集方法等。指标体系建立过程如下：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（1）确定评价指标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（2）确定权重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FF0000"/>
          <w:spacing w:val="17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（3）确定指标标准值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</w:p>
    <w:p>
      <w:pPr>
        <w:pStyle w:val="Title"/>
        <w:spacing w:before="0" w:after="0" w:line="560" w:lineRule="exact"/>
        <w:ind w:firstLine="640" w:firstLineChars="200"/>
        <w:jc w:val="both"/>
        <w:rPr>
          <w:rFonts w:ascii="Times New Roman" w:eastAsia="仿宋_GB2312" w:hAnsi="Times New Roman" w:cs="Times New Roman" w:hint="default"/>
          <w:b w:val="0"/>
          <w:bCs w:val="0"/>
          <w:color w:val="000000"/>
          <w:spacing w:val="17"/>
          <w:kern w:val="2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000000"/>
          <w:spacing w:val="17"/>
          <w:kern w:val="2"/>
          <w:highlight w:val="none"/>
        </w:rPr>
        <w:t xml:space="preserve">绩效评价总分值100分，根据综合评分结果，90（含）-100分为优、80（含）-90分为良、60（含）-80分为中、60分以下为差。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000000"/>
          <w:spacing w:val="17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000000"/>
          <w:spacing w:val="17"/>
          <w:highlight w:val="none"/>
        </w:rPr>
        <w:t xml:space="preserve">具体评价指标体系详情见附件1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3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绩效评价方法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绩效评价从项目决策、项目过程、项目产出、项目效益四个维度进行评价。评价对象为项目目标实施情况，  评价核心为资金的支出完成情况和项目的产出效益。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本次评价指标中，既有定性指标又有定量指标，各类指标因考核内容不同和客观标准不同存在较大差异，因此核定具体指标时采用了不同方法，具体评价方法如下：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（一）成本效益分析法。</w:t>
      </w:r>
      <w:r>
        <w:rPr>
          <w:rFonts w:eastAsia="仿宋_GB2312" w:cs="Times New Roman" w:hint="eastAsia"/>
          <w:color w:val="000000"/>
          <w:spacing w:val="17"/>
          <w:sz w:val="32"/>
          <w:szCs w:val="32"/>
          <w:highlight w:val="none"/>
          <w:lang w:val="en-US" w:eastAsia="zh-CN"/>
        </w:rPr>
        <w:t xml:space="preserve">通过比较项目或决策的成本与效益来评估项目可行性，将各项成本和效益用指标表示出来，从而实现项目资金的有效配置。</w:t>
      </w: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 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4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评价标准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绩效评价标准通常包括计划标准、行业标准、历史标准等，用于对绩效指标完成情况进行比较、分析、评价。本次评价主要采用了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计划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标准。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yellow"/>
          <w:lang w:val="en-US"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  <w:t xml:space="preserve">1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  <w:t xml:space="preserve">）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计划标准。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通过对绩效指标完成情况以预先制定目标、计划、预算、定额等作为评价标准，量化对目标值进行比较、分析、评价，对完成绩效目标进行考核，方便快捷得到真实有效的评价结果。</w:t>
      </w:r>
    </w:p>
    <w:p>
      <w:pPr>
        <w:pStyle w:val="Title"/>
        <w:numPr>
          <w:ilvl w:val="0"/>
          <w:numId w:val="6"/>
        </w:numPr>
        <w:spacing w:before="0" w:after="0" w:line="560" w:lineRule="exact"/>
        <w:ind w:firstLine="640" w:firstLineChars="200"/>
        <w:jc w:val="both"/>
        <w:rPr>
          <w:rFonts w:ascii="Times New Roman" w:eastAsia="楷体" w:hAnsi="Times New Roman" w:cs="Times New Roman" w:hint="default"/>
          <w:color w:val="000000"/>
          <w:spacing w:val="17"/>
          <w:highlight w:val="none"/>
        </w:rPr>
      </w:pPr>
      <w:r>
        <w:rPr>
          <w:rFonts w:ascii="Times New Roman" w:eastAsia="楷体" w:hAnsi="Times New Roman" w:cs="Times New Roman" w:hint="default"/>
          <w:color w:val="000000"/>
          <w:spacing w:val="17"/>
          <w:highlight w:val="none"/>
        </w:rPr>
        <w:t xml:space="preserve">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1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前期准备与规划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在项目绩效评价工作启动之初，成立了专门的评价工作小组，小组成员由财务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人员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2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）指标体系构建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依据项目的性质、目标以及预期成果，构建了科学合理的绩效评价指标体系。该指标体系涵盖了</w:t>
      </w: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项目决策、项目过程、项目产出、项目效益四个维度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，选取了具有代表性和可衡量性的关键指标，并为每个指标设定了明确的评价标准与权重，确保评价结果能够全面、准确地反映项目的绩效状况。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3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）数据收集与整理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4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）数据分析与评估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5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）报告撰写与反馈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6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）后续跟踪与改进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numPr>
          <w:ilvl w:val="0"/>
          <w:numId w:val="5"/>
        </w:numPr>
        <w:spacing w:line="560" w:lineRule="exact"/>
        <w:ind w:firstLine="640" w:firstLineChars="200"/>
        <w:rPr>
          <w:rFonts w:ascii="Times New Roman" w:eastAsia="黑体" w:hAnsi="Times New Roman" w:cs="Times New Roman" w:hint="default"/>
          <w:sz w:val="32"/>
          <w:szCs w:val="32"/>
        </w:rPr>
      </w:pPr>
      <w:r>
        <w:rPr>
          <w:rFonts w:ascii="Times New Roman" w:eastAsia="黑体" w:hAnsi="Times New Roman" w:cs="Times New Roman" w:hint="default"/>
          <w:sz w:val="32"/>
          <w:szCs w:val="32"/>
          <w:highlight w:val="none"/>
        </w:rPr>
        <w:t xml:space="preserve">综合评价情况及评价</w:t>
      </w:r>
      <w:r>
        <w:rPr>
          <w:rFonts w:ascii="Times New Roman" w:eastAsia="黑体" w:hAnsi="Times New Roman" w:cs="Times New Roman" w:hint="default"/>
          <w:sz w:val="32"/>
          <w:szCs w:val="32"/>
        </w:rPr>
        <w:t xml:space="preserve">结论（附相关评分表）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ascii="Times New Roman" w:eastAsia="楷体_GB2312" w:hAnsi="Times New Roman" w:cs="Times New Roman" w:hint="default"/>
          <w:lang w:val="en-US" w:eastAsia="zh-CN"/>
        </w:rPr>
      </w:pPr>
      <w:r>
        <w:rPr>
          <w:rFonts w:ascii="Times New Roman" w:eastAsia="楷体_GB2312" w:hAnsi="Times New Roman" w:cs="Times New Roman" w:hint="default"/>
          <w:lang w:eastAsia="zh-CN"/>
        </w:rPr>
        <w:t xml:space="preserve">（</w:t>
      </w:r>
      <w:r>
        <w:rPr>
          <w:rFonts w:ascii="Times New Roman" w:eastAsia="楷体_GB2312" w:hAnsi="Times New Roman" w:cs="Times New Roman" w:hint="default"/>
          <w:lang w:val="en-US" w:eastAsia="zh-CN"/>
        </w:rPr>
        <w:t xml:space="preserve">一</w:t>
      </w:r>
      <w:r>
        <w:rPr>
          <w:rFonts w:ascii="Times New Roman" w:eastAsia="楷体_GB2312" w:hAnsi="Times New Roman" w:cs="Times New Roman" w:hint="default"/>
          <w:lang w:eastAsia="zh-CN"/>
        </w:rPr>
        <w:t xml:space="preserve">）</w:t>
      </w:r>
      <w:r>
        <w:rPr>
          <w:rFonts w:ascii="Times New Roman" w:eastAsia="楷体_GB2312" w:hAnsi="Times New Roman" w:cs="Times New Roman" w:hint="default"/>
          <w:lang w:val="en-US" w:eastAsia="zh-CN"/>
        </w:rPr>
        <w:t xml:space="preserve">评价情况</w:t>
      </w:r>
    </w:p>
    <w:p>
      <w:pPr>
        <w:pStyle w:val="Normal(Web)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本项目的综合评价基于对项目各方面绩效的深入分析与评估。从项目目标的达成情况来看，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2023年中央林业草原生态保护恢复资金（生态护林员补助）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在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生态护林员续聘人数</w:t>
      </w:r>
      <w:r>
        <w:rPr>
          <w:rFonts w:eastAsia="仿宋_GB2312" w:cs="Times New Roman" w:hint="default"/>
          <w:color w:val="auto"/>
          <w:sz w:val="32"/>
          <w:szCs w:val="32"/>
          <w:highlight w:val="none"/>
          <w:lang w:eastAsia="zh-CN"/>
        </w:rPr>
        <w:t xml:space="preserve">、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实现稳定就业人数</w:t>
      </w:r>
      <w:r>
        <w:rPr>
          <w:rFonts w:eastAsia="仿宋_GB2312" w:cs="Times New Roman" w:hint="default"/>
          <w:color w:val="auto"/>
          <w:sz w:val="32"/>
          <w:szCs w:val="32"/>
          <w:highlight w:val="none"/>
          <w:lang w:eastAsia="zh-CN"/>
        </w:rPr>
        <w:t xml:space="preserve">等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方面表现出色，达到了预期的标准与要求。同时，项目也在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项目资金支付缓解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取得了显著的成效，如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保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障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续聘生态护林员工资发放及时率、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规范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生态护林员补助标准等。</w:t>
      </w:r>
    </w:p>
    <w:p>
      <w:pPr>
        <w:pStyle w:val="Normal(Web)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在项目管理方面，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托里县自然资源局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通过有效的规划、组织与协调，项目得以顺利实施，并在预算与时间上保持了良好的控制。</w:t>
      </w:r>
    </w:p>
    <w:p>
      <w:pPr>
        <w:pStyle w:val="Normal(Web)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从项目效益的角度来看，本项目不仅实现了预期的社会效益等方面产生了积极的影响。具体而言，实现稳定就业人数、增强自然生态环境管护效果等方面的提升，为项目的利益相关者带来了实实在在的利益。</w:t>
      </w:r>
    </w:p>
    <w:p>
      <w:pPr>
        <w:pStyle w:val="Normal(Web)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Times New Roman" w:hAnsi="Times New Roman" w:cs="Times New Roman" w:hint="default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综上所述，</w:t>
      </w:r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2023年中央林业草原生态保护恢复资金（生态护林员补助）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在绩效评价中表现出色，达到了项目的预期目标，并在多个方面取得了显著的成效。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ascii="Times New Roman" w:eastAsia="楷体_GB2312" w:hAnsi="Times New Roman" w:cs="Times New Roman" w:hint="default"/>
          <w:highlight w:val="none"/>
          <w:lang w:val="en-US" w:eastAsia="zh-CN"/>
        </w:rPr>
      </w:pPr>
      <w:r>
        <w:rPr>
          <w:rFonts w:ascii="Times New Roman" w:eastAsia="楷体_GB2312" w:hAnsi="Times New Roman" w:cs="Times New Roman" w:hint="default"/>
          <w:highlight w:val="none"/>
          <w:lang w:eastAsia="zh-CN"/>
        </w:rPr>
        <w:t xml:space="preserve">（</w:t>
      </w:r>
      <w:r>
        <w:rPr>
          <w:rFonts w:ascii="Times New Roman" w:eastAsia="楷体_GB2312" w:hAnsi="Times New Roman" w:cs="Times New Roman" w:hint="default"/>
          <w:highlight w:val="none"/>
          <w:lang w:val="en-US" w:eastAsia="zh-CN"/>
        </w:rPr>
        <w:t xml:space="preserve">二</w:t>
      </w:r>
      <w:r>
        <w:rPr>
          <w:rFonts w:ascii="Times New Roman" w:eastAsia="楷体_GB2312" w:hAnsi="Times New Roman" w:cs="Times New Roman" w:hint="default"/>
          <w:highlight w:val="none"/>
          <w:lang w:eastAsia="zh-CN"/>
        </w:rPr>
        <w:t xml:space="preserve">）</w:t>
      </w:r>
      <w:r>
        <w:rPr>
          <w:rFonts w:ascii="Times New Roman" w:eastAsia="楷体_GB2312" w:hAnsi="Times New Roman" w:cs="Times New Roman" w:hint="default"/>
          <w:highlight w:val="none"/>
          <w:lang w:val="en-US" w:eastAsia="zh-CN"/>
        </w:rPr>
        <w:t xml:space="preserve">评价结论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分，属于“优”。其中，项目决策类指标权重为20分，得分为 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分，得分率为 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%。项目过程类指标权重为20分，得分为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分，得分率为 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%。项目产出类指标权重为40分，得分为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40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分，得分率为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%。项目效益类指标权重为20分，得分为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分，得分率为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%。具体打分情况详见：附件1综合评分表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  <w:t xml:space="preserve">。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ascii="Times New Roman" w:eastAsia="仿宋_GB2312" w:hAnsi="Times New Roman" w:cs="Times New Roman" w:hint="default"/>
          <w:sz w:val="21"/>
          <w:szCs w:val="21"/>
          <w:highlight w:val="none"/>
        </w:rPr>
      </w:pPr>
      <w:r>
        <w:rPr>
          <w:rFonts w:ascii="Times New Roman" w:eastAsia="仿宋_GB2312" w:hAnsi="Times New Roman" w:cs="Times New Roman" w:hint="default"/>
          <w:sz w:val="21"/>
          <w:szCs w:val="21"/>
          <w:highlight w:val="none"/>
        </w:rPr>
        <w:t xml:space="preserve">表1综合评分表</w:t>
      </w:r>
    </w:p>
    <w:tbl>
      <w:tblPr>
        <w:tblStyle w:val="NormalTable"/>
        <w:tblW w:w="87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787"/>
        <w:gridCol w:w="1927"/>
        <w:gridCol w:w="2023"/>
        <w:gridCol w:w="2023"/>
      </w:tblGrid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  <w:tblHeader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  <w:t xml:space="preserve">一级指标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  <w:t xml:space="preserve">权重分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  <w:t xml:space="preserve">得分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得分率</w:t>
            </w:r>
          </w:p>
        </w:tc>
      </w:tr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  <w:t xml:space="preserve">项目决策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100%</w:t>
            </w:r>
          </w:p>
        </w:tc>
      </w:tr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  <w:t xml:space="preserve">项目过程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100%</w:t>
            </w:r>
          </w:p>
        </w:tc>
      </w:tr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  <w:t xml:space="preserve">项目产出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40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40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100%</w:t>
            </w:r>
          </w:p>
        </w:tc>
      </w:tr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  <w:t xml:space="preserve">项目效益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100%</w:t>
            </w:r>
          </w:p>
        </w:tc>
      </w:tr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  <w:t xml:space="preserve">合计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100%</w:t>
            </w:r>
          </w:p>
        </w:tc>
      </w:tr>
    </w:tbl>
    <w:p>
      <w:pPr>
        <w:spacing w:line="560" w:lineRule="exact"/>
        <w:ind w:firstLine="640" w:firstLineChars="200"/>
        <w:rPr>
          <w:rFonts w:ascii="Times New Roman" w:eastAsia="黑体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黑体" w:hAnsi="Times New Roman" w:cs="Times New Roman" w:hint="default"/>
          <w:sz w:val="32"/>
          <w:szCs w:val="32"/>
          <w:highlight w:val="none"/>
        </w:rPr>
        <w:t xml:space="preserve">四、绩效评价指标分析</w:t>
      </w:r>
    </w:p>
    <w:p>
      <w:pPr>
        <w:pStyle w:val="Title"/>
        <w:spacing w:before="0" w:after="0" w:line="560" w:lineRule="exact"/>
        <w:ind w:firstLine="640" w:firstLineChars="200"/>
        <w:jc w:val="both"/>
        <w:rPr>
          <w:rFonts w:ascii="Times New Roman" w:eastAsia="楷体_GB2312" w:hAnsi="Times New Roman" w:cs="Times New Roman" w:hint="default"/>
          <w:highlight w:val="none"/>
        </w:rPr>
      </w:pPr>
      <w:r>
        <w:rPr>
          <w:rFonts w:ascii="Times New Roman" w:eastAsia="楷体_GB2312" w:hAnsi="Times New Roman" w:cs="Times New Roman" w:hint="default"/>
          <w:highlight w:val="none"/>
        </w:rPr>
        <w:t xml:space="preserve">（一）项目决策情况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项目决策类指标包括项目立项、绩效目标和资金投入三方面的内容，由6个三级指标构成，权重分值为20分，实际得分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分，得分率为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1.项目立项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（1）立项依据充分性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（2）立项程序规范性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项目申请、设立过程符合相关要求，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严格按照审批流程准备符合要求的文件、材料；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2.绩效目标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（1）绩效目标合理性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/>
        </w:rPr>
        <w:t xml:space="preserve">年初结合实际工作内容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设定绩效目标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/>
        </w:rPr>
        <w:t xml:space="preserve">，绩效目标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（2）绩效指标明确性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3.资金投入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（1）预算编制科学性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在预算编制过程中，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还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（2）资金分配合理性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pStyle w:val="Title"/>
        <w:numPr>
          <w:ilvl w:val="0"/>
          <w:numId w:val="7"/>
        </w:numPr>
        <w:spacing w:before="0" w:after="0" w:line="560" w:lineRule="exact"/>
        <w:ind w:firstLine="640" w:firstLineChars="200"/>
        <w:jc w:val="both"/>
        <w:rPr>
          <w:rFonts w:ascii="Times New Roman" w:eastAsia="楷体" w:hAnsi="Times New Roman" w:cs="Times New Roman" w:hint="default"/>
          <w:highlight w:val="none"/>
        </w:rPr>
      </w:pPr>
      <w:r>
        <w:rPr>
          <w:rFonts w:ascii="Times New Roman" w:eastAsia="楷体" w:hAnsi="Times New Roman" w:cs="Times New Roman" w:hint="default"/>
          <w:highlight w:val="none"/>
        </w:rPr>
        <w:t xml:space="preserve">项目过程情况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项目过程类指标包括资金管理和组织实施两方面的内容，由5个三级指标构成，权重分值为20分，实际得分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分，得分率为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1.资金管理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（1）资金到位率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本项目总投资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479.25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万元，财政资金及时足额到位，到位率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%，预算资金按计划进度执行。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（2）预算执行率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预算编制较为详细，项目资金支出总体能够按照预算执行，预算资金支出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479.25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万元，预算执行率为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（3）资金使用合规性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2.组织实施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（1）管理制度健全性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在制度设计上，我们注重了制度的科学性与可操作性，确保制度能够切实指导项目的执行与管理。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（2）制度执行有效性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本项目在执行过程中，管理制度得到了全面、有效的落实，为确保项目的顺利实施与目标实现提供了坚实的保障。项目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单位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重视制度执行的重要性，通过明确责任分工、制定详细执行计划、加强监督考核等措施，确保了各项管理制度能够得到有效执行。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pStyle w:val="BodyTextFirstIndent"/>
        <w:numPr>
          <w:ilvl w:val="0"/>
          <w:numId w:val="7"/>
        </w:numPr>
        <w:spacing w:line="560" w:lineRule="exact"/>
        <w:ind w:firstLine="643"/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  <w:t xml:space="preserve">项目产出</w:t>
      </w: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项目产出类指标包括产出数量、产出质量、产出时效、产出成本四方面的内容，由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6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个三级指标构成，权重分为40分，实际得分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40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分，得分率为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%。具体产出指标完成情况如下：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begin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instrText xml:space="preserve"> = 1 \* GB3 </w:instrTex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separate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①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end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数量指标：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指标1：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生态护林员续聘人数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，指标值：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&gt;=625名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 ，实际完成值：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=625名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 ，指标完成率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%，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该指标不存在偏差。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指标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2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开展岗前培训次数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，指标值：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&gt;=2次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 ，实际完成值：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=2次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 ，指标完成率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%，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该指标不存在偏差。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fldChar w:fldCharType="begin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instrText xml:space="preserve"> = 2 \* GB3 </w:instrTex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②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fldChar w:fldCharType="end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质量指标：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指标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3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资金使用合格率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，指标值：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&gt;=95%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 ，实际完成值：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=100%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 ，指标完成率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%，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该指标不存在偏差。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fldChar w:fldCharType="begin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instrText xml:space="preserve"> = 3 \* GB3 </w:instrTex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③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fldChar w:fldCharType="end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时效指标：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指标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4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续聘生态护林员工资发放及时率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，指标值：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=100%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，实际完成值：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=100%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 ，指标完成率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%，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该指标不存在偏差。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指标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5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续聘生态护林员完成时间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，指标值：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2024年12月25日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，实际完成值：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2024年12月25日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 ，指标完成率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%，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该指标不存在偏差。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fldChar w:fldCharType="begin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instrText xml:space="preserve"> = 4 \* GB3 </w:instrTex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④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fldChar w:fldCharType="end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成本指标：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指标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6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生态护林员补助标准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，指标值：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&lt;=1万元/人·年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，实际完成值：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=1万元/人·年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 ，指标完成率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%，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该指标不存在偏差。</w:t>
      </w:r>
    </w:p>
    <w:p>
      <w:pPr>
        <w:pStyle w:val="BodyTextFirstIndent"/>
        <w:numPr>
          <w:ilvl w:val="0"/>
          <w:numId w:val="7"/>
        </w:numPr>
        <w:spacing w:line="560" w:lineRule="exact"/>
        <w:ind w:firstLine="643"/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项目效益情况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项目效益类指标包括项目实施效益和满意度两方面的内容，由</w:t>
      </w:r>
      <w:r>
        <w:rPr>
          <w:rFonts w:eastAsia="仿宋_GB2312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3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个三级指标构成，权重分为20分，实际得分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20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分，得分率为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100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%。具体效益指标及满意度指标完成情况如下：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1.实施效益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①社会效益指标：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指标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1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：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实现稳定就业人数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，指标值：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&gt;=625人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，实际完成值：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=625人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 ，指标完成率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100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%，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该指标不存在偏差。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instrText xml:space="preserve"> = 2 \* GB3 </w:instrTex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②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生态效益指标：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指标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2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：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增强自然生态环境管护效果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，指标值：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有效增强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，实际完成值：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效果显著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 ，指标完成率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100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%，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该指标不存在偏差。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2.满意度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指标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3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：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农民群众对生态护林员开展的管护工作满意度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，指标值：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&gt;=95%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，实际完成值：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效果显著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 ，指标完成率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=99.3%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，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该指标不存在偏差。</w:t>
      </w:r>
    </w:p>
    <w:p>
      <w:p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  <w:lang w:val="en-US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（五）</w:t>
      </w: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  <w:lang w:val="en-US"/>
        </w:rPr>
        <w:t xml:space="preserve">预算执行进度与绩效指标总体完成率偏差</w:t>
      </w:r>
    </w:p>
    <w:p>
      <w:pPr>
        <w:pStyle w:val="闻政-正文段落文字"/>
        <w:spacing w:line="560" w:lineRule="exact"/>
        <w:ind w:firstLine="640"/>
        <w:rPr>
          <w:rFonts w:ascii="Times New Roman" w:eastAsia="方正仿宋_GBK" w:hAnsi="Times New Roman" w:cs="Times New Roman" w:hint="default"/>
          <w:sz w:val="32"/>
          <w:szCs w:val="32"/>
          <w:highlight w:val="none"/>
        </w:rPr>
      </w:pPr>
      <w:r>
        <w:rPr>
          <w:rFonts w:eastAsia="方正仿宋_GBK" w:cs="Times New Roman" w:hint="eastAsia"/>
          <w:sz w:val="32"/>
          <w:szCs w:val="32"/>
          <w:highlight w:val="none"/>
          <w:lang w:val="en-US" w:eastAsia="zh-CN"/>
        </w:rPr>
        <w:t xml:space="preserve">2023年中央林业草原生态保护恢复资金（生态护林员补助）</w:t>
      </w:r>
      <w:r>
        <w:rPr>
          <w:rFonts w:ascii="Times New Roman" w:eastAsia="方正仿宋_GBK" w:hAnsi="Times New Roman" w:cs="Times New Roman" w:hint="default"/>
          <w:sz w:val="32"/>
          <w:szCs w:val="32"/>
          <w:highlight w:val="none"/>
        </w:rPr>
        <w:t xml:space="preserve">项目年初预算</w:t>
      </w:r>
      <w:r>
        <w:rPr>
          <w:rFonts w:eastAsia="方正仿宋_GBK" w:cs="Times New Roman" w:hint="eastAsia"/>
          <w:sz w:val="32"/>
          <w:szCs w:val="32"/>
          <w:highlight w:val="none"/>
          <w:lang w:val="en-US" w:eastAsia="zh-CN"/>
        </w:rPr>
        <w:t xml:space="preserve">479.25</w:t>
      </w:r>
      <w:r>
        <w:rPr>
          <w:rFonts w:ascii="Times New Roman" w:eastAsia="方正仿宋_GBK" w:hAnsi="Times New Roman" w:cs="Times New Roman" w:hint="default"/>
          <w:sz w:val="32"/>
          <w:szCs w:val="32"/>
          <w:highlight w:val="none"/>
        </w:rPr>
        <w:t xml:space="preserve">万元，全年预算</w:t>
      </w:r>
      <w:r>
        <w:rPr>
          <w:rFonts w:eastAsia="方正仿宋_GBK" w:cs="Times New Roman" w:hint="eastAsia"/>
          <w:sz w:val="32"/>
          <w:szCs w:val="32"/>
          <w:highlight w:val="none"/>
          <w:lang w:val="en-US" w:eastAsia="zh-CN"/>
        </w:rPr>
        <w:t xml:space="preserve">479.25</w:t>
      </w:r>
      <w:r>
        <w:rPr>
          <w:rFonts w:ascii="Times New Roman" w:eastAsia="方正仿宋_GBK" w:hAnsi="Times New Roman" w:cs="Times New Roman" w:hint="default"/>
          <w:sz w:val="32"/>
          <w:szCs w:val="32"/>
          <w:highlight w:val="none"/>
        </w:rPr>
        <w:t xml:space="preserve">万元，实际支出</w:t>
      </w:r>
      <w:r>
        <w:rPr>
          <w:rFonts w:eastAsia="方正仿宋_GBK" w:cs="Times New Roman" w:hint="eastAsia"/>
          <w:sz w:val="32"/>
          <w:szCs w:val="32"/>
          <w:highlight w:val="none"/>
          <w:lang w:val="en-US" w:eastAsia="zh-CN"/>
        </w:rPr>
        <w:t xml:space="preserve">479.25</w:t>
      </w:r>
      <w:r>
        <w:rPr>
          <w:rFonts w:ascii="Times New Roman" w:eastAsia="方正仿宋_GBK" w:hAnsi="Times New Roman" w:cs="Times New Roman" w:hint="default"/>
          <w:sz w:val="32"/>
          <w:szCs w:val="32"/>
          <w:highlight w:val="none"/>
        </w:rPr>
        <w:t xml:space="preserve">万元，预算执行率为</w:t>
      </w:r>
      <w:r>
        <w:rPr>
          <w:rFonts w:eastAsia="方正仿宋_GBK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方正仿宋_GBK" w:hAnsi="Times New Roman" w:cs="Times New Roman" w:hint="default"/>
          <w:sz w:val="32"/>
          <w:szCs w:val="32"/>
          <w:highlight w:val="none"/>
        </w:rPr>
        <w:t xml:space="preserve">%，项目绩效指标总体完成率为</w:t>
      </w:r>
      <w:r>
        <w:rPr>
          <w:rFonts w:eastAsia="方正仿宋_GBK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方正仿宋_GBK" w:hAnsi="Times New Roman" w:cs="Times New Roman" w:hint="default"/>
          <w:sz w:val="32"/>
          <w:szCs w:val="32"/>
          <w:highlight w:val="none"/>
        </w:rPr>
        <w:t xml:space="preserve">%，</w:t>
      </w:r>
      <w:r>
        <w:rPr>
          <w:rFonts w:ascii="Times New Roman" w:eastAsia="方正仿宋_GBK" w:hAnsi="Times New Roman" w:cs="Times New Roman" w:hint="default"/>
          <w:sz w:val="32"/>
          <w:szCs w:val="32"/>
          <w:highlight w:val="none"/>
        </w:rPr>
        <w:t xml:space="preserve">总体</w:t>
      </w:r>
      <w:r>
        <w:rPr>
          <w:rFonts w:ascii="Times New Roman" w:eastAsia="方正仿宋_GBK" w:hAnsi="Times New Roman" w:cs="Times New Roman" w:hint="default"/>
          <w:sz w:val="32"/>
          <w:szCs w:val="32"/>
          <w:highlight w:val="none"/>
        </w:rPr>
        <w:t xml:space="preserve">偏差率为</w:t>
      </w:r>
      <w:r>
        <w:rPr>
          <w:rFonts w:eastAsia="方正仿宋_GBK" w:cs="Times New Roman" w:hint="eastAsia"/>
          <w:sz w:val="32"/>
          <w:szCs w:val="32"/>
          <w:highlight w:val="none"/>
          <w:lang w:val="en-US" w:eastAsia="zh-CN"/>
        </w:rPr>
        <w:t xml:space="preserve">0</w:t>
      </w:r>
      <w:r>
        <w:rPr>
          <w:rFonts w:ascii="Times New Roman" w:eastAsia="方正仿宋_GBK" w:hAnsi="Times New Roman" w:cs="Times New Roman" w:hint="default"/>
          <w:sz w:val="32"/>
          <w:szCs w:val="32"/>
          <w:highlight w:val="none"/>
        </w:rPr>
        <w:t xml:space="preserve">%</w:t>
      </w:r>
      <w:r>
        <w:rPr>
          <w:rFonts w:ascii="Times New Roman" w:hAnsi="Times New Roman" w:cs="Times New Roman" w:hint="eastAsia"/>
          <w:highlight w:val="none"/>
          <w:lang w:eastAsia="zh-CN"/>
        </w:rPr>
        <w:t xml:space="preserve">，</w:t>
      </w:r>
      <w:r>
        <w:rPr>
          <w:rFonts w:eastAsia="方正仿宋_GBK" w:cs="Times New Roman" w:hint="eastAsia"/>
          <w:sz w:val="32"/>
          <w:szCs w:val="32"/>
          <w:highlight w:val="none"/>
          <w:lang w:val="en-US" w:eastAsia="zh-CN"/>
        </w:rPr>
        <w:t xml:space="preserve">该项目不存在偏差</w:t>
      </w:r>
      <w:r>
        <w:rPr>
          <w:rFonts w:ascii="Times New Roman" w:eastAsia="方正仿宋_GBK" w:hAnsi="Times New Roman" w:cs="Times New Roman" w:hint="default"/>
          <w:sz w:val="32"/>
          <w:szCs w:val="32"/>
          <w:highlight w:val="none"/>
        </w:rPr>
        <w:t xml:space="preserve">。</w:t>
      </w:r>
    </w:p>
    <w:p>
      <w:pPr>
        <w:spacing w:line="560" w:lineRule="exact"/>
        <w:ind w:firstLine="640" w:firstLineChars="200"/>
        <w:rPr>
          <w:rStyle w:val="fontstyle01"/>
          <w:rFonts w:ascii="Times New Roman" w:hAnsi="Times New Roman" w:cs="Times New Roman" w:hint="default"/>
          <w:color w:val="auto"/>
          <w:highlight w:val="none"/>
        </w:rPr>
      </w:pPr>
      <w:r>
        <w:rPr>
          <w:rFonts w:eastAsia="黑体" w:cs="Times New Roman" w:hint="eastAsia"/>
          <w:sz w:val="32"/>
          <w:szCs w:val="32"/>
          <w:highlight w:val="none"/>
          <w:lang w:val="en-US" w:eastAsia="zh-CN"/>
        </w:rPr>
        <w:t xml:space="preserve">五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黑体" w:hAnsi="Times New Roman" w:cs="Times New Roman" w:hint="default"/>
          <w:sz w:val="32"/>
          <w:szCs w:val="32"/>
          <w:highlight w:val="none"/>
        </w:rPr>
        <w:t xml:space="preserve">主要经验及做法、存在的问题及原因分析</w:t>
      </w:r>
    </w:p>
    <w:p>
      <w:pPr>
        <w:spacing w:line="560" w:lineRule="exact"/>
        <w:ind w:firstLine="640" w:firstLineChars="200"/>
        <w:rPr>
          <w:rFonts w:ascii="Times New Roman" w:eastAsia="楷体" w:hAnsi="Times New Roman" w:cs="Times New Roman" w:hint="default"/>
          <w:b/>
          <w:spacing w:val="-4"/>
          <w:sz w:val="32"/>
          <w:szCs w:val="32"/>
          <w:highlight w:val="none"/>
        </w:rPr>
      </w:pPr>
      <w:r>
        <w:rPr>
          <w:rFonts w:ascii="Times New Roman" w:eastAsia="楷体" w:hAnsi="Times New Roman" w:cs="Times New Roman" w:hint="default"/>
          <w:b/>
          <w:spacing w:val="-4"/>
          <w:sz w:val="32"/>
          <w:szCs w:val="32"/>
          <w:highlight w:val="none"/>
        </w:rPr>
        <w:t xml:space="preserve">（一）主要经验及做法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>
      <w:pPr>
        <w:pStyle w:val="Title"/>
        <w:spacing w:before="0" w:after="0" w:line="560" w:lineRule="exact"/>
        <w:ind w:firstLine="640" w:firstLineChars="200"/>
        <w:jc w:val="left"/>
        <w:rPr>
          <w:rFonts w:ascii="Times New Roman" w:eastAsia="仿宋_GB2312" w:hAnsi="Times New Roman" w:cs="Times New Roman" w:hint="default"/>
          <w:b w:val="0"/>
          <w:bCs w:val="0"/>
          <w:kern w:val="2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kern w:val="2"/>
          <w:highlight w:val="none"/>
        </w:rPr>
        <w:t xml:space="preserve">严格坚持先做事、后验收、再拨付的原则，</w:t>
      </w:r>
      <w:r>
        <w:rPr>
          <w:rFonts w:ascii="Times New Roman" w:eastAsia="仿宋_GB2312" w:hAnsi="Times New Roman" w:cs="Times New Roman" w:hint="eastAsia"/>
          <w:b w:val="0"/>
          <w:bCs w:val="0"/>
          <w:kern w:val="2"/>
          <w:highlight w:val="none"/>
          <w:lang w:eastAsia="zh-CN"/>
        </w:rPr>
        <w:t xml:space="preserve">杜绝</w:t>
      </w:r>
      <w:r>
        <w:rPr>
          <w:rFonts w:ascii="Times New Roman" w:eastAsia="仿宋_GB2312" w:hAnsi="Times New Roman" w:cs="Times New Roman" w:hint="default"/>
          <w:b w:val="0"/>
          <w:bCs w:val="0"/>
          <w:kern w:val="2"/>
          <w:highlight w:val="none"/>
        </w:rPr>
        <w:t xml:space="preserve"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>
      <w:pPr>
        <w:keepNext/>
        <w:keepLines/>
        <w:numPr>
          <w:ilvl w:val="0"/>
          <w:numId w:val="4"/>
        </w:num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  <w:t xml:space="preserve">存在的问题及原因分析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1.相关绩效管理方面专业知识的系统性学习有待加强。各项指标的设置要进一步优化、完善，主要在细化、量化上改进。在绩效自评过程中，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由于部分人员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缺乏相关绩效管理专业知识，自评价工作还存在自我审定的局限性，影响评价质量。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2.因轮岗、调动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等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因素使我单位绩效工作人员流动频繁，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造成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工作衔接不到位的情况。</w:t>
      </w:r>
    </w:p>
    <w:p>
      <w:pPr>
        <w:spacing w:line="560" w:lineRule="exact"/>
        <w:ind w:firstLine="640" w:firstLineChars="200"/>
        <w:rPr>
          <w:rFonts w:ascii="Times New Roman" w:eastAsia="黑体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黑体" w:hAnsi="Times New Roman" w:cs="Times New Roman" w:hint="eastAsia"/>
          <w:sz w:val="32"/>
          <w:szCs w:val="32"/>
          <w:highlight w:val="none"/>
          <w:lang w:val="en-US" w:eastAsia="zh-CN"/>
        </w:rPr>
        <w:t xml:space="preserve">六</w:t>
      </w:r>
      <w:r>
        <w:rPr>
          <w:rFonts w:ascii="Times New Roman" w:eastAsia="黑体" w:hAnsi="Times New Roman" w:cs="Times New Roman" w:hint="default"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黑体" w:hAnsi="Times New Roman" w:cs="Times New Roman" w:hint="default"/>
          <w:sz w:val="32"/>
          <w:szCs w:val="32"/>
          <w:highlight w:val="none"/>
        </w:rPr>
        <w:t xml:space="preserve">有关建议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1.多进行有关绩效管理工作方面的培训。积极组织第三方开展绩效管理工作培训，进一步夯实业务基础，提高我单位绩效人员水平。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2.专门设定对绩效工作人员定职、定岗、定责等相关制度措施，进一步提升我单位绩效管理工作业务水平，扎实做好绩效管理工作。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hAnsi="Times New Roman" w:cs="Times New Roman" w:hint="default"/>
          <w:sz w:val="22"/>
          <w:szCs w:val="28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ascii="Times New Roman" w:eastAsia="仿宋_GB2312" w:hAnsi="Times New Roman" w:cs="Times New Roman" w:hint="default"/>
          <w:sz w:val="36"/>
          <w:szCs w:val="32"/>
          <w:highlight w:val="none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60" w:lineRule="exact"/>
        <w:ind w:firstLine="640" w:firstLineChars="200"/>
        <w:rPr>
          <w:rFonts w:ascii="Times New Roman" w:eastAsia="黑体" w:hAnsi="Times New Roman" w:cs="Times New Roman" w:hint="default"/>
          <w:sz w:val="32"/>
          <w:szCs w:val="32"/>
          <w:highlight w:val="none"/>
        </w:rPr>
      </w:pPr>
      <w:r>
        <w:rPr>
          <w:rFonts w:eastAsia="黑体" w:cs="Times New Roman" w:hint="eastAsia"/>
          <w:sz w:val="32"/>
          <w:szCs w:val="32"/>
          <w:highlight w:val="none"/>
          <w:lang w:val="en-US" w:eastAsia="zh-CN"/>
        </w:rPr>
        <w:t xml:space="preserve">七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黑体" w:hAnsi="Times New Roman" w:cs="Times New Roman" w:hint="default"/>
          <w:sz w:val="32"/>
          <w:szCs w:val="32"/>
          <w:highlight w:val="none"/>
        </w:rPr>
        <w:t xml:space="preserve">其他需要说</w:t>
      </w:r>
      <w:bookmarkStart w:id="1" w:name="page8"/>
      <w:bookmarkEnd w:id="1"/>
      <w:r>
        <w:rPr>
          <w:rFonts w:ascii="Times New Roman" w:eastAsia="黑体" w:hAnsi="Times New Roman" w:cs="Times New Roman" w:hint="default"/>
          <w:sz w:val="32"/>
          <w:szCs w:val="32"/>
          <w:highlight w:val="none"/>
        </w:rPr>
        <w:t xml:space="preserve">明的问题</w:t>
      </w:r>
    </w:p>
    <w:p>
      <w:pPr>
        <w:pStyle w:val="BodyTextFirstIndent2"/>
        <w:spacing w:after="0" w:line="560" w:lineRule="exact"/>
        <w:ind w:left="0" w:firstLine="640" w:leftChars="0"/>
        <w:rPr>
          <w:rFonts w:ascii="Times New Roman" w:eastAsia="黑体" w:hAnsi="Times New Roman" w:cs="Times New Roman" w:hint="eastAsia"/>
          <w:sz w:val="32"/>
          <w:szCs w:val="32"/>
          <w:lang w:val="en-US" w:eastAsia="zh-CN"/>
        </w:rPr>
        <w:sectPr>
          <w:footerReference w:type="default" r:id="rId3"/>
          <w:pgSz w:w="11906" w:h="16838" w:orient="portrait"/>
          <w:pgMar w:top="1440" w:right="1558" w:bottom="1440" w:left="1800" w:header="851" w:footer="992" w:gutter="0"/>
          <w:pgBorders/>
          <w:pgNumType w:start="1"/>
          <w:cols w:num="1" w:space="425">
            <w:col w:w="8548" w:space="425"/>
          </w:cols>
          <w:docGrid w:type="lines" w:linePitch="312" w:charSpace="0"/>
        </w:sect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本项目无其他需说明的问题。</w:t>
      </w:r>
    </w:p>
    <w:p>
      <w:pPr>
        <w:bidi w:val="0"/>
        <w:jc w:val="left"/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558" w:left="1440" w:header="851" w:footer="992" w:gutter="0"/>
      <w:pgBorders/>
      <w:cols w:num="1" w:space="425">
        <w:col w:w="1395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147468962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13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decimal"/>
      <w:suff w:val="nothing"/>
      <w:lvlText w:val="（%1）"/>
      <w:lvlJc w:val="left"/>
      <w:rPr/>
    </w:lvl>
  </w:abstractNum>
  <w:abstractNum w:abstractNumId="3">
    <w:multiLevelType w:val="singleLevel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multiLevelType w:val="singleLevel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multiLevelType w:val="singleLevel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20"/>
  <w:embedSystemFonts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MTdiOGM5NzlhN2JhOTc3OTljZTBmY2FhN2MzNTk3OD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 w:qFormat="1"/>
    <w:lsdException w:name="header" w:semiHidden="0" w:uiPriority="0" w:unhideWhenUsed="0" w:qFormat="1"/>
    <w:lsdException w:name="footer" w:semiHidden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 w:qFormat="1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1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 w:qFormat="1"/>
    <w:lsdException w:name="Body Text First Indent 2" w:semiHidden="0" w:uiPriority="0" w:unhideWhenUsed="0" w:qFormat="1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 w:qFormat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 w:qFormat="1"/>
    <w:lsdException w:name="Table Grid" w:uiPriority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libri Light" w:eastAsia="宋体" w:hAnsi="Calibri Light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semiHidden/>
    <w:unhideWhenUsed/>
    <w:qFormat/>
    <w:pPr>
      <w:spacing w:before="0" w:beforeAutospacing="1" w:after="0" w:afterAutospacing="1"/>
      <w:jc w:val="left"/>
    </w:pPr>
    <w:rPr>
      <w:rFonts w:ascii="宋体" w:eastAsia="宋体" w:hAnsi="宋体" w:cs="宋体" w:hint="eastAsia"/>
      <w:b/>
      <w:kern w:val="0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Comment Text"/>
    <w:basedOn w:val="Normal"/>
    <w:link w:val="批注文字字符"/>
    <w:qFormat/>
    <w:pPr>
      <w:jc w:val="left"/>
    </w:pPr>
    <w:rPr/>
  </w:style>
  <w:style w:type="paragraph" w:styleId="BodyText">
    <w:name w:val="Body Text"/>
    <w:basedOn w:val="Normal"/>
    <w:qFormat/>
    <w:pPr>
      <w:spacing w:after="120"/>
    </w:pPr>
    <w:rPr/>
  </w:style>
  <w:style w:type="paragraph" w:styleId="BodyTextIndent">
    <w:name w:val="Body Text Indent"/>
    <w:basedOn w:val="Normal"/>
    <w:qFormat/>
    <w:pPr>
      <w:spacing w:after="120"/>
      <w:ind w:left="420" w:leftChars="200"/>
    </w:pPr>
    <w:rPr>
      <w:rFonts w:ascii="Calibri" w:hAnsi="Calibri"/>
    </w:rPr>
  </w:style>
  <w:style w:type="paragraph" w:styleId="BalloonText">
    <w:name w:val="Balloon Text"/>
    <w:basedOn w:val="Normal"/>
    <w:link w:val="批注框文本字符"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Title">
    <w:name w:val="Title"/>
    <w:basedOn w:val="Normal"/>
    <w:next w:val="Normal"/>
    <w:uiPriority w:val="10"/>
    <w:qFormat/>
    <w:pPr>
      <w:widowControl/>
      <w:spacing w:before="240" w:after="60"/>
      <w:jc w:val="center"/>
      <w:outlineLvl w:val="0"/>
    </w:pPr>
    <w:rPr>
      <w:rFonts w:ascii="Calibri Light" w:eastAsia="宋体" w:hAnsi="Calibri Light" w:asciiTheme="majorHAnsi" w:eastAsiaTheme="majorEastAsia" w:hAnsiTheme="majorHAnsi"/>
      <w:b/>
      <w:bCs/>
      <w:kern w:val="28"/>
      <w:sz w:val="32"/>
      <w:szCs w:val="32"/>
    </w:rPr>
  </w:style>
  <w:style w:type="paragraph" w:styleId="CommentSubject">
    <w:name w:val="Comment Subject"/>
    <w:basedOn w:val="CommentText"/>
    <w:next w:val="CommentText"/>
    <w:link w:val="批注主题字符"/>
    <w:qFormat/>
    <w:rPr>
      <w:b/>
      <w:bCs/>
    </w:rPr>
  </w:style>
  <w:style w:type="paragraph" w:styleId="BodyTextFirstIndent">
    <w:name w:val="Body Text First Indent"/>
    <w:basedOn w:val="BodyText"/>
    <w:qFormat/>
    <w:pPr>
      <w:spacing w:after="0"/>
      <w:ind w:firstLine="200" w:firstLineChars="200"/>
    </w:pPr>
    <w:rPr/>
  </w:style>
  <w:style w:type="paragraph" w:styleId="BodyTextFirstIndent2">
    <w:name w:val="Body Text First Indent 2"/>
    <w:basedOn w:val="BodyTextIndent"/>
    <w:qFormat/>
    <w:pPr>
      <w:ind w:firstLine="420" w:firstLineChars="200"/>
    </w:pPr>
    <w:rPr/>
  </w:style>
  <w:style w:type="character" w:styleId="Strong">
    <w:name w:val="Strong"/>
    <w:basedOn w:val="DefaultParagraphFont"/>
    <w:qFormat/>
    <w:rPr>
      <w:b/>
      <w:bCs/>
    </w:rPr>
  </w:style>
  <w:style w:type="character" w:styleId="CommentReference">
    <w:name w:val="Comment Reference"/>
    <w:basedOn w:val="DefaultParagraphFont"/>
    <w:qFormat/>
    <w:rPr>
      <w:sz w:val="21"/>
      <w:szCs w:val="21"/>
    </w:rPr>
  </w:style>
  <w:style w:type="character" w:customStyle="1" w:styleId="fontstyle01">
    <w:name w:val="fontstyle01"/>
    <w:qFormat/>
    <w:rPr>
      <w:rFonts w:ascii="仿宋_GB2312" w:eastAsia="仿宋_GB2312" w:hAnsi="仿宋_GB2312" w:cs="仿宋_GB2312"/>
      <w:color w:val="000000"/>
      <w:sz w:val="32"/>
      <w:szCs w:val="32"/>
    </w:rPr>
  </w:style>
  <w:style w:type="paragraph" w:customStyle="1" w:styleId="闻政-正文段落文字">
    <w:name w:val="闻政-正文段落文字"/>
    <w:basedOn w:val="Normal"/>
    <w:uiPriority w:val="3"/>
    <w:qFormat/>
    <w:pPr>
      <w:spacing w:line="500" w:lineRule="exact"/>
      <w:ind w:firstLine="200"/>
    </w:pPr>
    <w:rPr>
      <w:kern w:val="0"/>
      <w:szCs w:val="28"/>
    </w:rPr>
  </w:style>
  <w:style w:type="character" w:customStyle="1" w:styleId="批注框文本字符">
    <w:name w:val="批注框文本 字符"/>
    <w:basedOn w:val="DefaultParagraphFont"/>
    <w:link w:val="BalloonText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页眉字符">
    <w:name w:val="页眉 字符"/>
    <w:basedOn w:val="DefaultParagraphFont"/>
    <w:link w:val="Header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批注文字字符">
    <w:name w:val="批注文字 字符"/>
    <w:basedOn w:val="DefaultParagraphFont"/>
    <w:link w:val="CommentText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批注主题字符">
    <w:name w:val="批注主题 字符"/>
    <w:basedOn w:val="批注文字字符"/>
    <w:link w:val="CommentSubject"/>
    <w:qFormat/>
    <w:rPr>
      <w:rFonts w:ascii="Times New Roman" w:eastAsia="宋体" w:hAnsi="Times New Roman" w:cs="Times New Roman"/>
      <w:b/>
      <w:bCs/>
      <w:kern w:val="2"/>
      <w:sz w:val="21"/>
      <w:szCs w:val="24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eyJoZGlkIjoiOGI4NjI5OTBmMDM1ODFlMDkzNDFlZTFiMWNhZWU5ZTMiLCJ1c2VySWQiOiI0NTU5OTM2MzMifQ==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21</TotalTime>
  <Pages>22</Pages>
  <Words>753</Words>
  <Characters>831</Characters>
  <Application>WPS Office_11.1.0.9021_F1E327BC-269C-435d-A152-05C5408002CA</Application>
  <DocSecurity>0</DocSecurity>
  <Lines>58</Lines>
  <Paragraphs>16</Paragraphs>
  <CharactersWithSpaces>831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审核人</dc:creator>
  <cp:lastModifiedBy>Administrator</cp:lastModifiedBy>
  <cp:revision>2</cp:revision>
  <dcterms:created xsi:type="dcterms:W3CDTF">2023-03-08T13:13:00Z</dcterms:created>
  <dcterms:modified xsi:type="dcterms:W3CDTF">2025-01-01T11:37:07Z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2052-11.1.0.9021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eyJoZGlkIjoiOGI4NjI5OTBmMDM1ODFlMDkzNDFlZTFiMWNhZWU5ZTMiLCJ1c2VySWQiOiI0NTU5OTM2MzMifQ_x003D__x003D_</vt:lpwstr>
  </property>
</Properties>
</file>