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18F1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7FD41BC">
      <w:pPr>
        <w:spacing w:line="540" w:lineRule="exact"/>
        <w:jc w:val="center"/>
        <w:rPr>
          <w:rFonts w:ascii="华文中宋" w:hAnsi="华文中宋" w:eastAsia="华文中宋" w:cs="宋体"/>
          <w:b/>
          <w:kern w:val="0"/>
          <w:sz w:val="52"/>
          <w:szCs w:val="52"/>
        </w:rPr>
      </w:pPr>
    </w:p>
    <w:p w14:paraId="2E9ABE6E">
      <w:pPr>
        <w:spacing w:line="540" w:lineRule="exact"/>
        <w:jc w:val="center"/>
        <w:rPr>
          <w:rFonts w:ascii="华文中宋" w:hAnsi="华文中宋" w:eastAsia="华文中宋" w:cs="宋体"/>
          <w:b/>
          <w:kern w:val="0"/>
          <w:sz w:val="52"/>
          <w:szCs w:val="52"/>
        </w:rPr>
      </w:pPr>
    </w:p>
    <w:p w14:paraId="78FD0E2E">
      <w:pPr>
        <w:spacing w:line="540" w:lineRule="exact"/>
        <w:jc w:val="center"/>
        <w:rPr>
          <w:rFonts w:ascii="华文中宋" w:hAnsi="华文中宋" w:eastAsia="华文中宋" w:cs="宋体"/>
          <w:b/>
          <w:kern w:val="0"/>
          <w:sz w:val="52"/>
          <w:szCs w:val="52"/>
        </w:rPr>
      </w:pPr>
    </w:p>
    <w:p w14:paraId="187B33CC">
      <w:pPr>
        <w:spacing w:line="540" w:lineRule="exact"/>
        <w:jc w:val="center"/>
        <w:rPr>
          <w:rFonts w:ascii="华文中宋" w:hAnsi="华文中宋" w:eastAsia="华文中宋" w:cs="宋体"/>
          <w:b/>
          <w:kern w:val="0"/>
          <w:sz w:val="52"/>
          <w:szCs w:val="52"/>
        </w:rPr>
      </w:pPr>
    </w:p>
    <w:p w14:paraId="71C65665">
      <w:pPr>
        <w:spacing w:line="540" w:lineRule="exact"/>
        <w:jc w:val="center"/>
        <w:rPr>
          <w:rFonts w:ascii="华文中宋" w:hAnsi="华文中宋" w:eastAsia="华文中宋" w:cs="宋体"/>
          <w:b/>
          <w:kern w:val="0"/>
          <w:sz w:val="52"/>
          <w:szCs w:val="52"/>
        </w:rPr>
      </w:pPr>
    </w:p>
    <w:p w14:paraId="7FF360F0">
      <w:pPr>
        <w:spacing w:line="540" w:lineRule="exact"/>
        <w:jc w:val="center"/>
        <w:rPr>
          <w:rFonts w:ascii="华文中宋" w:hAnsi="华文中宋" w:eastAsia="华文中宋" w:cs="宋体"/>
          <w:b/>
          <w:kern w:val="0"/>
          <w:sz w:val="52"/>
          <w:szCs w:val="52"/>
        </w:rPr>
      </w:pPr>
    </w:p>
    <w:p w14:paraId="690CAC7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47BCC9FA">
      <w:pPr>
        <w:spacing w:line="540" w:lineRule="exact"/>
        <w:jc w:val="center"/>
        <w:rPr>
          <w:rFonts w:ascii="华文中宋" w:hAnsi="华文中宋" w:eastAsia="华文中宋" w:cs="宋体"/>
          <w:b/>
          <w:kern w:val="0"/>
          <w:sz w:val="52"/>
          <w:szCs w:val="52"/>
        </w:rPr>
      </w:pPr>
    </w:p>
    <w:p w14:paraId="79FB9B1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F7D2F3D">
      <w:pPr>
        <w:spacing w:line="540" w:lineRule="exact"/>
        <w:jc w:val="center"/>
        <w:rPr>
          <w:rFonts w:hAnsi="宋体" w:eastAsia="仿宋_GB2312" w:cs="宋体"/>
          <w:kern w:val="0"/>
          <w:sz w:val="30"/>
          <w:szCs w:val="30"/>
        </w:rPr>
      </w:pPr>
    </w:p>
    <w:p w14:paraId="79A78A4B">
      <w:pPr>
        <w:spacing w:line="540" w:lineRule="exact"/>
        <w:jc w:val="center"/>
        <w:rPr>
          <w:rFonts w:hAnsi="宋体" w:eastAsia="仿宋_GB2312" w:cs="宋体"/>
          <w:kern w:val="0"/>
          <w:sz w:val="30"/>
          <w:szCs w:val="30"/>
        </w:rPr>
      </w:pPr>
    </w:p>
    <w:p w14:paraId="0EB1746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705BD0BA">
      <w:pPr>
        <w:spacing w:line="540" w:lineRule="exact"/>
        <w:jc w:val="center"/>
        <w:rPr>
          <w:rFonts w:hAnsi="宋体" w:eastAsia="仿宋_GB2312" w:cs="宋体"/>
          <w:kern w:val="0"/>
          <w:sz w:val="30"/>
          <w:szCs w:val="30"/>
        </w:rPr>
      </w:pPr>
    </w:p>
    <w:p w14:paraId="5F9F7D16">
      <w:pPr>
        <w:spacing w:line="540" w:lineRule="exact"/>
        <w:jc w:val="center"/>
        <w:rPr>
          <w:rFonts w:hAnsi="宋体" w:eastAsia="仿宋_GB2312" w:cs="宋体"/>
          <w:kern w:val="0"/>
          <w:sz w:val="30"/>
          <w:szCs w:val="30"/>
        </w:rPr>
      </w:pPr>
    </w:p>
    <w:p w14:paraId="33DDAFE4">
      <w:pPr>
        <w:spacing w:line="540" w:lineRule="exact"/>
        <w:jc w:val="center"/>
        <w:rPr>
          <w:rFonts w:hAnsi="宋体" w:eastAsia="仿宋_GB2312" w:cs="宋体"/>
          <w:kern w:val="0"/>
          <w:sz w:val="30"/>
          <w:szCs w:val="30"/>
        </w:rPr>
      </w:pPr>
    </w:p>
    <w:p w14:paraId="68F39CE9">
      <w:pPr>
        <w:spacing w:line="540" w:lineRule="exact"/>
        <w:rPr>
          <w:rFonts w:hAnsi="宋体" w:eastAsia="仿宋_GB2312" w:cs="宋体"/>
          <w:kern w:val="0"/>
          <w:sz w:val="30"/>
          <w:szCs w:val="30"/>
        </w:rPr>
      </w:pPr>
    </w:p>
    <w:p w14:paraId="39915199">
      <w:pPr>
        <w:spacing w:line="700" w:lineRule="exact"/>
        <w:jc w:val="center"/>
        <w:rPr>
          <w:rFonts w:hint="eastAsia" w:ascii="楷体_GB2312" w:hAnsi="楷体_GB2312" w:eastAsia="楷体_GB2312" w:cs="楷体_GB2312"/>
          <w:b w:val="0"/>
          <w:bCs w:val="0"/>
          <w:kern w:val="0"/>
          <w:sz w:val="36"/>
          <w:szCs w:val="36"/>
        </w:rPr>
      </w:pPr>
      <w:r>
        <w:rPr>
          <w:rFonts w:hint="eastAsia" w:hAnsi="宋体" w:eastAsia="仿宋_GB2312" w:cs="宋体"/>
          <w:b/>
          <w:bCs/>
          <w:kern w:val="0"/>
          <w:sz w:val="36"/>
          <w:szCs w:val="36"/>
        </w:rPr>
        <w:t>项目名称：</w:t>
      </w:r>
      <w:r>
        <w:rPr>
          <w:rStyle w:val="18"/>
          <w:rFonts w:hint="eastAsia" w:ascii="楷体_GB2312" w:hAnsi="楷体_GB2312" w:eastAsia="楷体_GB2312" w:cs="楷体_GB2312"/>
          <w:b w:val="0"/>
          <w:bCs w:val="0"/>
          <w:spacing w:val="-4"/>
          <w:sz w:val="36"/>
          <w:szCs w:val="36"/>
        </w:rPr>
        <w:t>托里县歌舞团节日文化活动项目</w:t>
      </w:r>
    </w:p>
    <w:p w14:paraId="49F761C6">
      <w:pPr>
        <w:spacing w:line="540" w:lineRule="exact"/>
        <w:jc w:val="center"/>
        <w:rPr>
          <w:rFonts w:ascii="楷体" w:hAnsi="楷体" w:eastAsia="楷体"/>
          <w:b/>
          <w:bCs/>
          <w:spacing w:val="-4"/>
          <w:sz w:val="32"/>
          <w:szCs w:val="32"/>
        </w:rPr>
      </w:pPr>
      <w:r>
        <w:rPr>
          <w:rFonts w:hint="eastAsia" w:hAnsi="宋体" w:eastAsia="仿宋_GB2312" w:cs="宋体"/>
          <w:b/>
          <w:bCs/>
          <w:kern w:val="0"/>
          <w:sz w:val="36"/>
          <w:szCs w:val="36"/>
        </w:rPr>
        <w:t>实施单位（公章）：</w:t>
      </w:r>
      <w:r>
        <w:rPr>
          <w:rStyle w:val="18"/>
          <w:rFonts w:hint="eastAsia" w:ascii="楷体_GB2312" w:hAnsi="楷体_GB2312" w:eastAsia="楷体_GB2312" w:cs="楷体_GB2312"/>
          <w:b w:val="0"/>
          <w:bCs w:val="0"/>
          <w:spacing w:val="-4"/>
          <w:sz w:val="36"/>
          <w:szCs w:val="36"/>
        </w:rPr>
        <w:t>托里县歌舞团</w:t>
      </w:r>
    </w:p>
    <w:p w14:paraId="1566C737">
      <w:pPr>
        <w:spacing w:line="540" w:lineRule="exact"/>
        <w:jc w:val="center"/>
        <w:rPr>
          <w:rFonts w:ascii="楷体" w:hAnsi="楷体" w:eastAsia="楷体"/>
          <w:b/>
          <w:bCs/>
          <w:spacing w:val="-4"/>
          <w:sz w:val="28"/>
          <w:szCs w:val="28"/>
        </w:rPr>
      </w:pPr>
      <w:r>
        <w:rPr>
          <w:rFonts w:hint="eastAsia" w:hAnsi="宋体" w:eastAsia="仿宋_GB2312" w:cs="宋体"/>
          <w:b/>
          <w:bCs/>
          <w:kern w:val="0"/>
          <w:sz w:val="36"/>
          <w:szCs w:val="36"/>
        </w:rPr>
        <w:t>主管部门（公章）：</w:t>
      </w:r>
      <w:r>
        <w:rPr>
          <w:rStyle w:val="18"/>
          <w:rFonts w:hint="eastAsia" w:ascii="楷体_GB2312" w:hAnsi="楷体_GB2312" w:eastAsia="楷体_GB2312" w:cs="楷体_GB2312"/>
          <w:b w:val="0"/>
          <w:bCs w:val="0"/>
          <w:spacing w:val="-4"/>
          <w:sz w:val="36"/>
          <w:szCs w:val="36"/>
        </w:rPr>
        <w:t>托里县歌舞团</w:t>
      </w:r>
    </w:p>
    <w:p w14:paraId="3C74B9FA">
      <w:pPr>
        <w:spacing w:line="540" w:lineRule="exact"/>
        <w:jc w:val="center"/>
        <w:rPr>
          <w:rFonts w:ascii="楷体" w:hAnsi="楷体" w:eastAsia="楷体"/>
          <w:b/>
          <w:bCs/>
          <w:spacing w:val="-4"/>
          <w:sz w:val="32"/>
          <w:szCs w:val="32"/>
        </w:rPr>
      </w:pPr>
      <w:r>
        <w:rPr>
          <w:rFonts w:hint="eastAsia" w:hAnsi="宋体" w:eastAsia="仿宋_GB2312" w:cs="宋体"/>
          <w:b/>
          <w:bCs/>
          <w:kern w:val="0"/>
          <w:sz w:val="36"/>
          <w:szCs w:val="36"/>
        </w:rPr>
        <w:t>项目负责人（签章）：</w:t>
      </w:r>
      <w:r>
        <w:rPr>
          <w:rStyle w:val="18"/>
          <w:rFonts w:hint="eastAsia" w:ascii="楷体_GB2312" w:hAnsi="楷体_GB2312" w:eastAsia="楷体_GB2312" w:cs="楷体_GB2312"/>
          <w:b w:val="0"/>
          <w:bCs w:val="0"/>
          <w:spacing w:val="-4"/>
          <w:sz w:val="36"/>
          <w:szCs w:val="36"/>
        </w:rPr>
        <w:t>阿得列提</w:t>
      </w:r>
    </w:p>
    <w:p w14:paraId="15CE3DEE">
      <w:pPr>
        <w:spacing w:line="540" w:lineRule="exact"/>
        <w:jc w:val="center"/>
        <w:rPr>
          <w:rStyle w:val="18"/>
          <w:rFonts w:ascii="楷体" w:hAnsi="楷体" w:eastAsia="楷体"/>
          <w:b/>
          <w:bCs/>
          <w:spacing w:val="-4"/>
          <w:sz w:val="32"/>
          <w:szCs w:val="32"/>
        </w:rPr>
      </w:pPr>
      <w:r>
        <w:rPr>
          <w:rFonts w:hint="eastAsia" w:hAnsi="宋体" w:eastAsia="仿宋_GB2312" w:cs="宋体"/>
          <w:b/>
          <w:bCs/>
          <w:kern w:val="0"/>
          <w:sz w:val="36"/>
          <w:szCs w:val="36"/>
        </w:rPr>
        <w:t>填报时间：</w:t>
      </w:r>
      <w:r>
        <w:rPr>
          <w:rStyle w:val="18"/>
          <w:rFonts w:hint="eastAsia" w:ascii="楷体_GB2312" w:hAnsi="楷体_GB2312" w:eastAsia="楷体_GB2312" w:cs="楷体_GB2312"/>
          <w:b w:val="0"/>
          <w:bCs w:val="0"/>
          <w:spacing w:val="-4"/>
          <w:sz w:val="36"/>
          <w:szCs w:val="36"/>
        </w:rPr>
        <w:t>2025年04月22日</w:t>
      </w:r>
    </w:p>
    <w:p w14:paraId="4025BC77">
      <w:pPr>
        <w:spacing w:line="700" w:lineRule="exact"/>
        <w:ind w:firstLine="708" w:firstLineChars="236"/>
        <w:jc w:val="left"/>
        <w:rPr>
          <w:rFonts w:hAnsi="宋体" w:eastAsia="仿宋_GB2312" w:cs="宋体"/>
          <w:kern w:val="0"/>
          <w:sz w:val="30"/>
          <w:szCs w:val="30"/>
        </w:rPr>
      </w:pPr>
    </w:p>
    <w:p w14:paraId="24AF6936">
      <w:pPr>
        <w:spacing w:line="540" w:lineRule="exact"/>
        <w:rPr>
          <w:rStyle w:val="18"/>
          <w:rFonts w:ascii="黑体" w:hAnsi="黑体" w:eastAsia="黑体"/>
          <w:b w:val="0"/>
          <w:spacing w:val="-4"/>
          <w:sz w:val="32"/>
          <w:szCs w:val="32"/>
        </w:rPr>
      </w:pPr>
    </w:p>
    <w:p w14:paraId="1B88F03D">
      <w:pPr>
        <w:spacing w:line="540" w:lineRule="exact"/>
        <w:rPr>
          <w:rStyle w:val="18"/>
          <w:rFonts w:ascii="黑体" w:hAnsi="黑体" w:eastAsia="黑体"/>
          <w:b w:val="0"/>
          <w:spacing w:val="-4"/>
          <w:sz w:val="32"/>
          <w:szCs w:val="32"/>
        </w:rPr>
      </w:pPr>
    </w:p>
    <w:p w14:paraId="65EE2F54">
      <w:pPr>
        <w:spacing w:line="540" w:lineRule="exact"/>
        <w:ind w:firstLine="567"/>
        <w:rPr>
          <w:rStyle w:val="18"/>
          <w:rFonts w:ascii="楷体" w:hAnsi="楷体" w:eastAsia="楷体"/>
          <w:spacing w:val="-4"/>
          <w:sz w:val="32"/>
          <w:szCs w:val="32"/>
        </w:rPr>
      </w:pPr>
      <w:r>
        <w:rPr>
          <w:rStyle w:val="18"/>
          <w:rFonts w:hint="eastAsia" w:ascii="黑体" w:hAnsi="黑体" w:eastAsia="黑体"/>
          <w:b w:val="0"/>
          <w:spacing w:val="-4"/>
          <w:sz w:val="32"/>
          <w:szCs w:val="32"/>
        </w:rPr>
        <w:t>一、</w:t>
      </w:r>
      <w:r>
        <w:rPr>
          <w:rStyle w:val="18"/>
          <w:rFonts w:hint="eastAsia" w:ascii="楷体" w:hAnsi="楷体" w:eastAsia="楷体"/>
          <w:spacing w:val="-4"/>
          <w:sz w:val="32"/>
          <w:szCs w:val="32"/>
        </w:rPr>
        <w:t>基本情况</w:t>
      </w:r>
    </w:p>
    <w:p w14:paraId="1C72927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p>
    <w:p w14:paraId="313F725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在文化活动中心开展春节联欢晚会文艺演出、诺如孜节大型文艺演出、阿肯阿依特斯文艺演出。通过政府搭台、群众参与，举办丰富多彩的文艺演出，解决各族群众看戏难的问题，让各族群众近距离观看文艺演出，近距离与演员互动，</w:t>
      </w:r>
      <w:r>
        <w:rPr>
          <w:rStyle w:val="18"/>
          <w:rFonts w:hint="eastAsia" w:ascii="楷体" w:hAnsi="楷体" w:eastAsia="楷体"/>
          <w:b w:val="0"/>
          <w:bCs w:val="0"/>
          <w:spacing w:val="-4"/>
          <w:sz w:val="32"/>
          <w:szCs w:val="32"/>
          <w:lang w:eastAsia="zh-CN"/>
        </w:rPr>
        <w:t>体会</w:t>
      </w:r>
      <w:r>
        <w:rPr>
          <w:rStyle w:val="18"/>
          <w:rFonts w:hint="eastAsia" w:ascii="楷体" w:hAnsi="楷体" w:eastAsia="楷体"/>
          <w:b w:val="0"/>
          <w:bCs w:val="0"/>
          <w:spacing w:val="-4"/>
          <w:sz w:val="32"/>
          <w:szCs w:val="32"/>
        </w:rPr>
        <w:t>到不同的感受，满足各族群众文化活动需要，提高文化文艺覆盖</w:t>
      </w:r>
      <w:r>
        <w:rPr>
          <w:rStyle w:val="18"/>
          <w:rFonts w:hint="eastAsia" w:ascii="楷体" w:hAnsi="楷体" w:eastAsia="楷体"/>
          <w:b w:val="0"/>
          <w:bCs w:val="0"/>
          <w:spacing w:val="-4"/>
          <w:sz w:val="32"/>
          <w:szCs w:val="32"/>
          <w:lang w:eastAsia="zh-CN"/>
        </w:rPr>
        <w:t>面和</w:t>
      </w:r>
      <w:r>
        <w:rPr>
          <w:rStyle w:val="18"/>
          <w:rFonts w:hint="eastAsia" w:ascii="楷体" w:hAnsi="楷体" w:eastAsia="楷体"/>
          <w:b w:val="0"/>
          <w:bCs w:val="0"/>
          <w:spacing w:val="-4"/>
          <w:sz w:val="32"/>
          <w:szCs w:val="32"/>
        </w:rPr>
        <w:t>影响力，促进民族文化交流，使传统节日得到传承。</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p>
    <w:p w14:paraId="1065EC1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主要内容：开展春节联欢晚会文艺演出、诺如孜节大型文艺演出、阿肯阿依特斯文艺演出。通过政府搭台、群众参与，举办丰富多彩的文艺演出，解决各族群众看戏难的问题，让各族群众近距离观看文艺演出，近距离与演员互动，体验到不同的感受，满足各族群众文化活动需要，项目总支出为15.00万元。</w:t>
      </w:r>
    </w:p>
    <w:p w14:paraId="5CF9463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实施情况：本项目于2024年1月开始实施，截至2024年12月，该项目已实施完成，各项任务指标全部完成。通过解决各族群众看戏难的问题，让各族群众近距离观看文艺演出，近距离与演员互动，体验到不同的感受，满足各族群众文化活动需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p>
    <w:p w14:paraId="64F64E2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该项目年初预算数15万元，全年预算数15万元，该项目资金已全部落实到位，资金来源为财政拨款。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p>
    <w:p w14:paraId="3873F5D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该项目年初预算数15万元，全年预算数15万元</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全年执行数15万元，预算执行率为100%，主要用于：用于4场次文化活动，演出场次经费不大于3.75万元，在托里县文化活动中心开展春节联欢晚会文艺演出、诺如孜节大型文艺演出、阿肯阿依特斯文艺、百日广场演出。通过政府搭台、群众参与，举办丰富多彩的文艺演出，解决各族群众看戏难的问题，让各族群众近距离观看文艺演出，近距离与演员互动，</w:t>
      </w:r>
      <w:r>
        <w:rPr>
          <w:rStyle w:val="18"/>
          <w:rFonts w:hint="eastAsia" w:ascii="楷体" w:hAnsi="楷体" w:eastAsia="楷体"/>
          <w:b w:val="0"/>
          <w:bCs w:val="0"/>
          <w:spacing w:val="-4"/>
          <w:sz w:val="32"/>
          <w:szCs w:val="32"/>
          <w:lang w:eastAsia="zh-CN"/>
        </w:rPr>
        <w:t>体会</w:t>
      </w:r>
      <w:r>
        <w:rPr>
          <w:rStyle w:val="18"/>
          <w:rFonts w:hint="eastAsia" w:ascii="楷体" w:hAnsi="楷体" w:eastAsia="楷体"/>
          <w:b w:val="0"/>
          <w:bCs w:val="0"/>
          <w:spacing w:val="-4"/>
          <w:sz w:val="32"/>
          <w:szCs w:val="32"/>
        </w:rPr>
        <w:t>到不同的感受，满足各族群众文化活动需要，提高文化文艺覆盖</w:t>
      </w:r>
      <w:r>
        <w:rPr>
          <w:rStyle w:val="18"/>
          <w:rFonts w:hint="eastAsia" w:ascii="楷体" w:hAnsi="楷体" w:eastAsia="楷体"/>
          <w:b w:val="0"/>
          <w:bCs w:val="0"/>
          <w:spacing w:val="-4"/>
          <w:sz w:val="32"/>
          <w:szCs w:val="32"/>
          <w:lang w:eastAsia="zh-CN"/>
        </w:rPr>
        <w:t>面和</w:t>
      </w:r>
      <w:r>
        <w:rPr>
          <w:rStyle w:val="18"/>
          <w:rFonts w:hint="eastAsia" w:ascii="楷体" w:hAnsi="楷体" w:eastAsia="楷体"/>
          <w:b w:val="0"/>
          <w:bCs w:val="0"/>
          <w:spacing w:val="-4"/>
          <w:sz w:val="32"/>
          <w:szCs w:val="32"/>
        </w:rPr>
        <w:t>影响力，促进民族文化交流，使传统节日得到传承。</w:t>
      </w:r>
    </w:p>
    <w:p w14:paraId="4BBCDCA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14:paraId="64A20CD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1.总体目标</w:t>
      </w:r>
    </w:p>
    <w:p w14:paraId="062A6AC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资金15万元，用于4场次文化活动，演出场次经费不大于3.75万元，在托里县文化活动中心开展春节联欢晚会文艺演出、诺如孜节大型文艺演出、阿肯阿依特斯文艺、百日广场演出。通过政府搭台、群众参与，举办丰富多彩的文艺演出，解决各族群众看戏难的问题，让各族群众近距离观看文艺演出，近距离与演员互动，</w:t>
      </w:r>
      <w:r>
        <w:rPr>
          <w:rStyle w:val="18"/>
          <w:rFonts w:hint="eastAsia" w:ascii="楷体" w:hAnsi="楷体" w:eastAsia="楷体"/>
          <w:b w:val="0"/>
          <w:bCs w:val="0"/>
          <w:spacing w:val="-4"/>
          <w:sz w:val="32"/>
          <w:szCs w:val="32"/>
          <w:lang w:eastAsia="zh-CN"/>
        </w:rPr>
        <w:t>体会</w:t>
      </w:r>
      <w:r>
        <w:rPr>
          <w:rStyle w:val="18"/>
          <w:rFonts w:hint="eastAsia" w:ascii="楷体" w:hAnsi="楷体" w:eastAsia="楷体"/>
          <w:b w:val="0"/>
          <w:bCs w:val="0"/>
          <w:spacing w:val="-4"/>
          <w:sz w:val="32"/>
          <w:szCs w:val="32"/>
        </w:rPr>
        <w:t>到不同的感受，满足各族群众文化活动需要，提高文化文艺覆盖</w:t>
      </w:r>
      <w:r>
        <w:rPr>
          <w:rStyle w:val="18"/>
          <w:rFonts w:hint="eastAsia" w:ascii="楷体" w:hAnsi="楷体" w:eastAsia="楷体"/>
          <w:b w:val="0"/>
          <w:bCs w:val="0"/>
          <w:spacing w:val="-4"/>
          <w:sz w:val="32"/>
          <w:szCs w:val="32"/>
          <w:lang w:eastAsia="zh-CN"/>
        </w:rPr>
        <w:t>面和</w:t>
      </w:r>
      <w:r>
        <w:rPr>
          <w:rStyle w:val="18"/>
          <w:rFonts w:hint="eastAsia" w:ascii="楷体" w:hAnsi="楷体" w:eastAsia="楷体"/>
          <w:b w:val="0"/>
          <w:bCs w:val="0"/>
          <w:spacing w:val="-4"/>
          <w:sz w:val="32"/>
          <w:szCs w:val="32"/>
        </w:rPr>
        <w:t>影响力，促进民族文化交流，使传统节日得到传承。满意度达到95%。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p>
    <w:p w14:paraId="7AD6143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通过开展春节联欢晚会文艺演出、诺如孜节大型文艺演出、阿肯阿依特斯文艺晚会等大型活动。政府搭台、群众参与，举办丰富多彩的文艺演出，解决各族群众看戏难的问题，让各族群众近距离观看文艺演出，近距离与演员互动，</w:t>
      </w:r>
      <w:r>
        <w:rPr>
          <w:rStyle w:val="18"/>
          <w:rFonts w:hint="eastAsia" w:ascii="楷体" w:hAnsi="楷体" w:eastAsia="楷体"/>
          <w:b w:val="0"/>
          <w:bCs w:val="0"/>
          <w:spacing w:val="-4"/>
          <w:sz w:val="32"/>
          <w:szCs w:val="32"/>
          <w:lang w:eastAsia="zh-CN"/>
        </w:rPr>
        <w:t>体会</w:t>
      </w:r>
      <w:r>
        <w:rPr>
          <w:rStyle w:val="18"/>
          <w:rFonts w:hint="eastAsia" w:ascii="楷体" w:hAnsi="楷体" w:eastAsia="楷体"/>
          <w:b w:val="0"/>
          <w:bCs w:val="0"/>
          <w:spacing w:val="-4"/>
          <w:sz w:val="32"/>
          <w:szCs w:val="32"/>
        </w:rPr>
        <w:t>到不同的感受，满足各族群众文化活动需要，提高文化文艺覆盖</w:t>
      </w:r>
      <w:r>
        <w:rPr>
          <w:rStyle w:val="18"/>
          <w:rFonts w:hint="eastAsia" w:ascii="楷体" w:hAnsi="楷体" w:eastAsia="楷体"/>
          <w:b w:val="0"/>
          <w:bCs w:val="0"/>
          <w:spacing w:val="-4"/>
          <w:sz w:val="32"/>
          <w:szCs w:val="32"/>
          <w:lang w:eastAsia="zh-CN"/>
        </w:rPr>
        <w:t>面和</w:t>
      </w:r>
      <w:r>
        <w:rPr>
          <w:rStyle w:val="18"/>
          <w:rFonts w:hint="eastAsia" w:ascii="楷体" w:hAnsi="楷体" w:eastAsia="楷体"/>
          <w:b w:val="0"/>
          <w:bCs w:val="0"/>
          <w:spacing w:val="-4"/>
          <w:sz w:val="32"/>
          <w:szCs w:val="32"/>
        </w:rPr>
        <w:t>影响力，促进民族文化交流，使传统节日得到传承。</w:t>
      </w:r>
    </w:p>
    <w:p w14:paraId="7BD46B4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14:paraId="6107CEF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1.绩效评价完整性</w:t>
      </w:r>
    </w:p>
    <w:p w14:paraId="1B09228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梳理与评估。</w:t>
      </w:r>
    </w:p>
    <w:p w14:paraId="096822C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在评价指标体系的构建上，充分考虑了项目的性质、目标以及预期成果，选取了具有代表性和可衡量性的关键指标，涵盖了社会效益维度，力求全方位反映项目的绩效状况。同时，</w:t>
      </w:r>
      <w:r>
        <w:rPr>
          <w:rStyle w:val="18"/>
          <w:rFonts w:hint="eastAsia" w:ascii="楷体" w:hAnsi="楷体" w:eastAsia="楷体"/>
          <w:b w:val="0"/>
          <w:bCs w:val="0"/>
          <w:spacing w:val="-4"/>
          <w:sz w:val="32"/>
          <w:szCs w:val="32"/>
          <w:lang w:eastAsia="zh-CN"/>
        </w:rPr>
        <w:t>对</w:t>
      </w:r>
      <w:r>
        <w:rPr>
          <w:rStyle w:val="18"/>
          <w:rFonts w:hint="eastAsia" w:ascii="楷体" w:hAnsi="楷体" w:eastAsia="楷体"/>
          <w:b w:val="0"/>
          <w:bCs w:val="0"/>
          <w:spacing w:val="-4"/>
          <w:sz w:val="32"/>
          <w:szCs w:val="32"/>
        </w:rPr>
        <w:t>每个指标的评价标准和数据来源均进行了明确说明，确保评价结果的客观性和可追溯性。</w:t>
      </w:r>
    </w:p>
    <w:p w14:paraId="6189145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处理和说明，保证了评价数据的真实性和有效性。</w:t>
      </w:r>
    </w:p>
    <w:p w14:paraId="37BBDC0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E34854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p>
    <w:p w14:paraId="00DF10C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通过对项目预算执行情况及各项绩效目标达成程度的系统性分析，全面、客观地评估项目在预定周期内的实施效果，包括社会效益维度指标，为项目后续的改进与优化提供科学依据。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p>
    <w:p w14:paraId="73A6244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p>
    <w:p w14:paraId="0B09365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p>
    <w:p w14:paraId="34174342">
      <w:pPr>
        <w:spacing w:line="540" w:lineRule="exact"/>
        <w:ind w:firstLine="567"/>
        <w:rPr>
          <w:rStyle w:val="18"/>
          <w:rFonts w:hint="eastAsia" w:ascii="楷体" w:hAnsi="楷体" w:eastAsia="楷体"/>
          <w:b/>
          <w:bCs/>
          <w:spacing w:val="-4"/>
          <w:sz w:val="32"/>
          <w:szCs w:val="32"/>
        </w:rPr>
      </w:pPr>
      <w:r>
        <w:rPr>
          <w:rStyle w:val="18"/>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bCs/>
          <w:spacing w:val="-4"/>
          <w:sz w:val="32"/>
          <w:szCs w:val="32"/>
        </w:rPr>
        <w:t>（5）促进项目持续改进</w:t>
      </w:r>
    </w:p>
    <w:p w14:paraId="299E39C0">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b w:val="0"/>
          <w:bCs w:val="0"/>
          <w:spacing w:val="-4"/>
          <w:sz w:val="32"/>
          <w:szCs w:val="32"/>
          <w:lang w:eastAsia="zh-CN"/>
        </w:rPr>
        <w:t>。</w:t>
      </w:r>
    </w:p>
    <w:p w14:paraId="135FABB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p>
    <w:p w14:paraId="119CB79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绩效评价报告的评价对象是托里县歌舞团节日文化活动项目及其预算执行情况。该项目由托里县歌舞团负责实施，旨在通过政府搭台、群众参与，举办丰富多彩的文艺演出，解决各族群众看戏难的问题，让各族群众近距离观看文艺演出，近距离与演员互动，</w:t>
      </w:r>
      <w:r>
        <w:rPr>
          <w:rStyle w:val="18"/>
          <w:rFonts w:hint="eastAsia" w:ascii="楷体" w:hAnsi="楷体" w:eastAsia="楷体"/>
          <w:b w:val="0"/>
          <w:bCs w:val="0"/>
          <w:spacing w:val="-4"/>
          <w:sz w:val="32"/>
          <w:szCs w:val="32"/>
          <w:lang w:eastAsia="zh-CN"/>
        </w:rPr>
        <w:t>体会</w:t>
      </w:r>
      <w:r>
        <w:rPr>
          <w:rStyle w:val="18"/>
          <w:rFonts w:hint="eastAsia" w:ascii="楷体" w:hAnsi="楷体" w:eastAsia="楷体"/>
          <w:b w:val="0"/>
          <w:bCs w:val="0"/>
          <w:spacing w:val="-4"/>
          <w:sz w:val="32"/>
          <w:szCs w:val="32"/>
        </w:rPr>
        <w:t>到不同的感受，满足各族群众文化活动需要，提高文化文艺覆盖</w:t>
      </w:r>
      <w:r>
        <w:rPr>
          <w:rStyle w:val="18"/>
          <w:rFonts w:hint="eastAsia" w:ascii="楷体" w:hAnsi="楷体" w:eastAsia="楷体"/>
          <w:b w:val="0"/>
          <w:bCs w:val="0"/>
          <w:spacing w:val="-4"/>
          <w:sz w:val="32"/>
          <w:szCs w:val="32"/>
          <w:lang w:eastAsia="zh-CN"/>
        </w:rPr>
        <w:t>面和</w:t>
      </w:r>
      <w:r>
        <w:rPr>
          <w:rStyle w:val="18"/>
          <w:rFonts w:hint="eastAsia" w:ascii="楷体" w:hAnsi="楷体" w:eastAsia="楷体"/>
          <w:b w:val="0"/>
          <w:bCs w:val="0"/>
          <w:spacing w:val="-4"/>
          <w:sz w:val="32"/>
          <w:szCs w:val="32"/>
        </w:rPr>
        <w:t>影响力，促进民族文化交流，使传统节日得到传承。项目预算涵盖从2024年1月1日至2024年12月25日的全部资金投入与支出，涉及资金总额为15万元。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p>
    <w:p w14:paraId="1A30503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（2）资金管理：深入分析项目资金的分配、使用和监管情况，确保资金使用的合规性、高效性和透明度。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（4）社会影响：考察项目对社会方面的综合影响。</w:t>
      </w:r>
    </w:p>
    <w:p w14:paraId="2C552A0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14:paraId="7D16E4C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本次项目绩效评价遵循以下基本原则：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w:t>
      </w:r>
      <w:r>
        <w:rPr>
          <w:rStyle w:val="18"/>
          <w:rFonts w:hint="eastAsia" w:ascii="楷体" w:hAnsi="楷体" w:eastAsia="楷体"/>
          <w:b w:val="0"/>
          <w:bCs w:val="0"/>
          <w:spacing w:val="-4"/>
          <w:sz w:val="32"/>
          <w:szCs w:val="32"/>
          <w:lang w:eastAsia="zh-CN"/>
        </w:rPr>
        <w:t>调减</w:t>
      </w:r>
      <w:r>
        <w:rPr>
          <w:rStyle w:val="18"/>
          <w:rFonts w:hint="eastAsia" w:ascii="楷体" w:hAnsi="楷体" w:eastAsia="楷体"/>
          <w:b w:val="0"/>
          <w:bCs w:val="0"/>
          <w:spacing w:val="-4"/>
          <w:sz w:val="32"/>
          <w:szCs w:val="32"/>
        </w:rPr>
        <w:t>、无效要问责。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p>
    <w:p w14:paraId="4F7AC3C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p>
    <w:p w14:paraId="7244CD1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p>
    <w:p w14:paraId="4A070FB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p>
    <w:p w14:paraId="6D1C140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p>
    <w:p w14:paraId="70323A9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p>
    <w:p w14:paraId="4F98B28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  评价核心为资金的支出完成情况和项目的产出效益。</w:t>
      </w:r>
    </w:p>
    <w:p w14:paraId="38FABC2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b w:val="0"/>
          <w:bCs w:val="0"/>
          <w:spacing w:val="-4"/>
          <w:sz w:val="32"/>
          <w:szCs w:val="32"/>
        </w:rPr>
        <w:br w:type="textWrapping"/>
      </w:r>
      <w:r>
        <w:rPr>
          <w:rStyle w:val="18"/>
          <w:rFonts w:hint="eastAsia" w:ascii="楷体" w:hAnsi="楷体" w:eastAsia="楷体"/>
          <w:b/>
          <w:bCs/>
          <w:spacing w:val="-4"/>
          <w:sz w:val="32"/>
          <w:szCs w:val="32"/>
        </w:rPr>
        <w:t>比较法：</w:t>
      </w:r>
      <w:r>
        <w:rPr>
          <w:rStyle w:val="18"/>
          <w:rFonts w:hint="eastAsia" w:ascii="楷体" w:hAnsi="楷体" w:eastAsia="楷体"/>
          <w:b w:val="0"/>
          <w:bCs w:val="0"/>
          <w:spacing w:val="-4"/>
          <w:sz w:val="32"/>
          <w:szCs w:val="32"/>
        </w:rPr>
        <w:t>通过整理本项目相关资料和数据，评价数量指标的完</w:t>
      </w:r>
      <w:r>
        <w:rPr>
          <w:rStyle w:val="18"/>
          <w:rFonts w:hint="eastAsia" w:ascii="楷体" w:hAnsi="楷体" w:eastAsia="楷体"/>
          <w:b/>
          <w:bCs/>
          <w:spacing w:val="-4"/>
          <w:sz w:val="32"/>
          <w:szCs w:val="32"/>
        </w:rPr>
        <w:t>成情况</w:t>
      </w:r>
      <w:r>
        <w:rPr>
          <w:rStyle w:val="18"/>
          <w:rFonts w:hint="eastAsia" w:ascii="楷体" w:hAnsi="楷体" w:eastAsia="楷体"/>
          <w:b/>
          <w:bCs/>
          <w:spacing w:val="-4"/>
          <w:sz w:val="32"/>
          <w:szCs w:val="32"/>
          <w:lang w:eastAsia="zh-CN"/>
        </w:rPr>
        <w:t>：</w:t>
      </w:r>
      <w:r>
        <w:rPr>
          <w:rStyle w:val="18"/>
          <w:rFonts w:hint="eastAsia" w:ascii="楷体" w:hAnsi="楷体" w:eastAsia="楷体"/>
          <w:b w:val="0"/>
          <w:bCs w:val="0"/>
          <w:spacing w:val="-4"/>
          <w:sz w:val="32"/>
          <w:szCs w:val="32"/>
        </w:rPr>
        <w:t>通过分析项目的实施情况与绩效目标实现情况，评价项目实施的效果；通过分析项目资金使用情况及产生的效果，评价预算资金分配的合理性。</w:t>
      </w:r>
    </w:p>
    <w:p w14:paraId="35E4BEAD">
      <w:pPr>
        <w:spacing w:line="540" w:lineRule="exact"/>
        <w:rPr>
          <w:rStyle w:val="18"/>
          <w:rFonts w:hint="eastAsia" w:ascii="楷体" w:hAnsi="楷体" w:eastAsia="楷体"/>
          <w:spacing w:val="-4"/>
          <w:sz w:val="32"/>
          <w:szCs w:val="32"/>
        </w:rPr>
      </w:pPr>
      <w:r>
        <w:rPr>
          <w:rStyle w:val="18"/>
          <w:rFonts w:hint="eastAsia" w:ascii="楷体" w:hAnsi="楷体" w:eastAsia="楷体"/>
          <w:b/>
          <w:bCs/>
          <w:spacing w:val="-4"/>
          <w:sz w:val="32"/>
          <w:szCs w:val="32"/>
        </w:rPr>
        <w:t>公众评判法：</w:t>
      </w:r>
      <w:r>
        <w:rPr>
          <w:rStyle w:val="18"/>
          <w:rFonts w:hint="eastAsia" w:ascii="楷体" w:hAnsi="楷体" w:eastAsia="楷体"/>
          <w:b w:val="0"/>
          <w:bCs w:val="0"/>
          <w:spacing w:val="-4"/>
          <w:sz w:val="32"/>
          <w:szCs w:val="32"/>
        </w:rPr>
        <w:t>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p>
    <w:p w14:paraId="78AB4C3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w:t>
      </w:r>
      <w:r>
        <w:rPr>
          <w:rStyle w:val="18"/>
          <w:rFonts w:hint="eastAsia" w:ascii="楷体" w:hAnsi="楷体" w:eastAsia="楷体"/>
          <w:b w:val="0"/>
          <w:bCs w:val="0"/>
          <w:spacing w:val="-4"/>
          <w:sz w:val="32"/>
          <w:szCs w:val="32"/>
        </w:rPr>
        <w:t>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（2）行业标准。</w:t>
      </w:r>
      <w:r>
        <w:rPr>
          <w:rStyle w:val="18"/>
          <w:rFonts w:hint="eastAsia" w:ascii="楷体" w:hAnsi="楷体" w:eastAsia="楷体"/>
          <w:b w:val="0"/>
          <w:bCs w:val="0"/>
          <w:spacing w:val="-4"/>
          <w:sz w:val="32"/>
          <w:szCs w:val="32"/>
        </w:rPr>
        <w:t>指参照国家公布的行业指标数据制定的评价标准</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（3）历史标准。</w:t>
      </w:r>
      <w:r>
        <w:rPr>
          <w:rStyle w:val="18"/>
          <w:rFonts w:hint="eastAsia" w:ascii="楷体" w:hAnsi="楷体" w:eastAsia="楷体"/>
          <w:b w:val="0"/>
          <w:bCs w:val="0"/>
          <w:spacing w:val="-4"/>
          <w:sz w:val="32"/>
          <w:szCs w:val="32"/>
        </w:rPr>
        <w:t>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spacing w:val="-4"/>
          <w:sz w:val="32"/>
          <w:szCs w:val="32"/>
        </w:rPr>
        <w:t>（4）财政部门和预算部门确认或认可的其他标准。</w:t>
      </w:r>
    </w:p>
    <w:p w14:paraId="086B300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14:paraId="3315F5D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p>
    <w:p w14:paraId="7B39E16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p>
    <w:p w14:paraId="05A5AFE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p>
    <w:p w14:paraId="27FC524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处理和补充。随后，对收集到的数据进行了系统的整理与分类，为后续的数据分析提供了有力支持。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p>
    <w:p w14:paraId="43431E4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p>
    <w:p w14:paraId="7ABCB815">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p>
    <w:p w14:paraId="3C2CCC2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ECA5375">
      <w:pPr>
        <w:spacing w:line="540" w:lineRule="exact"/>
        <w:ind w:firstLine="640"/>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rPr>
        <w:t>三、项目组织实施情况</w:t>
      </w:r>
      <w:r>
        <w:rPr>
          <w:rStyle w:val="18"/>
          <w:rFonts w:hint="eastAsia" w:ascii="黑体" w:hAnsi="黑体" w:eastAsia="黑体"/>
          <w:b w:val="0"/>
          <w:spacing w:val="-4"/>
          <w:sz w:val="32"/>
          <w:szCs w:val="32"/>
          <w:lang w:eastAsia="zh-CN"/>
        </w:rPr>
        <w:t>（附相关评分表）</w:t>
      </w:r>
    </w:p>
    <w:p w14:paraId="1662255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p>
    <w:p w14:paraId="7EC104E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的综合评价基于对项目各方面绩效的深入分析与评估。从项目目标的达成情况来看，托里县歌舞团节日文化活动项目在春节联欢晚会文艺演出、诺如孜节大型文艺演出、阿肯阿依特斯文艺演出活动等方面表现出色，达到了预期的标准与要求。同时，项目也在丰富托里县人民群众文化生活取得了显著的成效，如提高文化文艺覆盖面影响力，促进民族文化交流，使传统节日得到传承等。</w:t>
      </w:r>
    </w:p>
    <w:p w14:paraId="34E738A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在项目管理方面，托里县歌舞团通过有效</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规划、组织与协调，项目得以顺利实施，并在预算与时间上保持了良好的控制。</w:t>
      </w:r>
    </w:p>
    <w:p w14:paraId="15B3E2B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从项目效益的角度来看，本项目不仅实现了预期的社会效益方面产生了积极的影响。具体而言，促进民族文化交流、群众知晓率等方面的提升，为项目的利益相关者带来了实实在在的利益。</w:t>
      </w:r>
    </w:p>
    <w:p w14:paraId="33E1C24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综上所述，托里县歌舞团节日文化活动项目在绩效评价中表现出色，达到了项目的预期目标，并在多个方面取得了显著的成效。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p>
    <w:p w14:paraId="69D27D8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14:paraId="257A2A09">
      <w:pPr>
        <w:spacing w:before="1" w:line="220" w:lineRule="auto"/>
        <w:ind w:left="3849"/>
        <w:rPr>
          <w:rFonts w:ascii="宋体" w:hAnsi="宋体" w:eastAsia="宋体" w:cs="宋体"/>
          <w:sz w:val="23"/>
          <w:szCs w:val="23"/>
        </w:rPr>
      </w:pPr>
      <w:r>
        <w:rPr>
          <w:rFonts w:ascii="宋体" w:hAnsi="宋体" w:eastAsia="宋体" w:cs="宋体"/>
          <w:spacing w:val="-1"/>
          <w:sz w:val="23"/>
          <w:szCs w:val="23"/>
        </w:rPr>
        <w:t>表1综合评分表</w:t>
      </w:r>
    </w:p>
    <w:p w14:paraId="68B7B149">
      <w:pPr>
        <w:spacing w:line="111" w:lineRule="auto"/>
        <w:rPr>
          <w:rFonts w:ascii="Arial"/>
          <w:sz w:val="2"/>
        </w:rPr>
      </w:pPr>
    </w:p>
    <w:tbl>
      <w:tblPr>
        <w:tblStyle w:val="47"/>
        <w:tblW w:w="8769" w:type="dxa"/>
        <w:tblInd w:w="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01"/>
        <w:gridCol w:w="1918"/>
        <w:gridCol w:w="1987"/>
        <w:gridCol w:w="1963"/>
      </w:tblGrid>
      <w:tr w14:paraId="494ED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4" w:hRule="atLeast"/>
        </w:trPr>
        <w:tc>
          <w:tcPr>
            <w:tcW w:w="2901" w:type="dxa"/>
            <w:shd w:val="clear" w:color="auto" w:fill="878789"/>
            <w:vAlign w:val="top"/>
          </w:tcPr>
          <w:p w14:paraId="196349EA">
            <w:pPr>
              <w:pStyle w:val="46"/>
              <w:spacing w:before="44" w:line="200" w:lineRule="auto"/>
              <w:ind w:left="984"/>
            </w:pPr>
            <w:r>
              <w:rPr>
                <w:spacing w:val="2"/>
              </w:rPr>
              <w:t>一级指标</w:t>
            </w:r>
          </w:p>
        </w:tc>
        <w:tc>
          <w:tcPr>
            <w:tcW w:w="1918" w:type="dxa"/>
            <w:shd w:val="clear" w:color="auto" w:fill="8E9193"/>
            <w:vAlign w:val="top"/>
          </w:tcPr>
          <w:p w14:paraId="7F125261">
            <w:pPr>
              <w:pStyle w:val="46"/>
              <w:spacing w:before="44" w:line="200" w:lineRule="auto"/>
              <w:ind w:left="603"/>
            </w:pPr>
            <w:r>
              <w:rPr>
                <w:spacing w:val="-2"/>
              </w:rPr>
              <w:t>权重分</w:t>
            </w:r>
          </w:p>
        </w:tc>
        <w:tc>
          <w:tcPr>
            <w:tcW w:w="1987" w:type="dxa"/>
            <w:shd w:val="clear" w:color="auto" w:fill="919595"/>
            <w:vAlign w:val="top"/>
          </w:tcPr>
          <w:p w14:paraId="7304F2D5">
            <w:pPr>
              <w:pStyle w:val="46"/>
              <w:spacing w:before="44" w:line="200" w:lineRule="auto"/>
              <w:ind w:left="755"/>
            </w:pPr>
            <w:r>
              <w:rPr>
                <w:spacing w:val="-3"/>
              </w:rPr>
              <w:t>得分</w:t>
            </w:r>
          </w:p>
        </w:tc>
        <w:tc>
          <w:tcPr>
            <w:tcW w:w="1963" w:type="dxa"/>
            <w:shd w:val="clear" w:color="auto" w:fill="909598"/>
            <w:vAlign w:val="top"/>
          </w:tcPr>
          <w:p w14:paraId="2FB6E549">
            <w:pPr>
              <w:pStyle w:val="46"/>
              <w:spacing w:before="44" w:line="200" w:lineRule="auto"/>
              <w:ind w:left="628"/>
            </w:pPr>
            <w:r>
              <w:rPr>
                <w:spacing w:val="3"/>
              </w:rPr>
              <w:t>得分率</w:t>
            </w:r>
          </w:p>
        </w:tc>
      </w:tr>
      <w:tr w14:paraId="1C4EE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2901" w:type="dxa"/>
            <w:vAlign w:val="top"/>
          </w:tcPr>
          <w:p w14:paraId="35DA65D7">
            <w:pPr>
              <w:pStyle w:val="46"/>
              <w:spacing w:before="50" w:line="215" w:lineRule="auto"/>
              <w:ind w:left="984"/>
            </w:pPr>
            <w:r>
              <w:rPr>
                <w:spacing w:val="2"/>
              </w:rPr>
              <w:t>项目决策</w:t>
            </w:r>
          </w:p>
        </w:tc>
        <w:tc>
          <w:tcPr>
            <w:tcW w:w="1918" w:type="dxa"/>
            <w:vAlign w:val="top"/>
          </w:tcPr>
          <w:p w14:paraId="015A1864">
            <w:pPr>
              <w:pStyle w:val="46"/>
              <w:spacing w:before="73" w:line="196" w:lineRule="auto"/>
              <w:ind w:left="833"/>
            </w:pPr>
            <w:r>
              <w:rPr>
                <w:spacing w:val="-3"/>
              </w:rPr>
              <w:t>20</w:t>
            </w:r>
          </w:p>
        </w:tc>
        <w:tc>
          <w:tcPr>
            <w:tcW w:w="1987" w:type="dxa"/>
            <w:vAlign w:val="top"/>
          </w:tcPr>
          <w:p w14:paraId="2F98D51B">
            <w:pPr>
              <w:pStyle w:val="46"/>
              <w:spacing w:before="73" w:line="196" w:lineRule="auto"/>
              <w:ind w:left="876"/>
            </w:pPr>
            <w:r>
              <w:rPr>
                <w:spacing w:val="-3"/>
              </w:rPr>
              <w:t>20</w:t>
            </w:r>
          </w:p>
        </w:tc>
        <w:tc>
          <w:tcPr>
            <w:tcW w:w="1963" w:type="dxa"/>
            <w:vAlign w:val="top"/>
          </w:tcPr>
          <w:p w14:paraId="56773620">
            <w:pPr>
              <w:pStyle w:val="46"/>
              <w:spacing w:before="73" w:line="196" w:lineRule="auto"/>
              <w:ind w:left="748"/>
            </w:pPr>
            <w:r>
              <w:rPr>
                <w:spacing w:val="-5"/>
              </w:rPr>
              <w:t>100%</w:t>
            </w:r>
          </w:p>
        </w:tc>
      </w:tr>
      <w:tr w14:paraId="4AE2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2901" w:type="dxa"/>
            <w:vAlign w:val="top"/>
          </w:tcPr>
          <w:p w14:paraId="70DD8381">
            <w:pPr>
              <w:pStyle w:val="46"/>
              <w:spacing w:before="62" w:line="213" w:lineRule="auto"/>
              <w:ind w:left="984"/>
            </w:pPr>
            <w:r>
              <w:rPr>
                <w:spacing w:val="2"/>
              </w:rPr>
              <w:t>项目过程</w:t>
            </w:r>
          </w:p>
        </w:tc>
        <w:tc>
          <w:tcPr>
            <w:tcW w:w="1918" w:type="dxa"/>
            <w:vAlign w:val="top"/>
          </w:tcPr>
          <w:p w14:paraId="303167C3">
            <w:pPr>
              <w:pStyle w:val="46"/>
              <w:spacing w:before="85" w:line="195" w:lineRule="auto"/>
              <w:ind w:left="833"/>
            </w:pPr>
            <w:r>
              <w:rPr>
                <w:spacing w:val="-3"/>
              </w:rPr>
              <w:t>20</w:t>
            </w:r>
          </w:p>
        </w:tc>
        <w:tc>
          <w:tcPr>
            <w:tcW w:w="1987" w:type="dxa"/>
            <w:vAlign w:val="top"/>
          </w:tcPr>
          <w:p w14:paraId="3743567E">
            <w:pPr>
              <w:pStyle w:val="46"/>
              <w:spacing w:before="85" w:line="195" w:lineRule="auto"/>
              <w:ind w:left="876"/>
            </w:pPr>
            <w:r>
              <w:rPr>
                <w:spacing w:val="-3"/>
              </w:rPr>
              <w:t>20</w:t>
            </w:r>
          </w:p>
        </w:tc>
        <w:tc>
          <w:tcPr>
            <w:tcW w:w="1963" w:type="dxa"/>
            <w:vAlign w:val="top"/>
          </w:tcPr>
          <w:p w14:paraId="31F975C4">
            <w:pPr>
              <w:pStyle w:val="46"/>
              <w:spacing w:before="85" w:line="195" w:lineRule="auto"/>
              <w:ind w:left="748"/>
            </w:pPr>
            <w:r>
              <w:rPr>
                <w:spacing w:val="-5"/>
              </w:rPr>
              <w:t>100%</w:t>
            </w:r>
          </w:p>
        </w:tc>
      </w:tr>
      <w:tr w14:paraId="1237D2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2901" w:type="dxa"/>
            <w:vAlign w:val="top"/>
          </w:tcPr>
          <w:p w14:paraId="251985D8">
            <w:pPr>
              <w:pStyle w:val="46"/>
              <w:spacing w:before="53" w:line="213" w:lineRule="auto"/>
              <w:ind w:left="984"/>
            </w:pPr>
            <w:r>
              <w:rPr>
                <w:spacing w:val="6"/>
              </w:rPr>
              <w:t>项目产出</w:t>
            </w:r>
          </w:p>
        </w:tc>
        <w:tc>
          <w:tcPr>
            <w:tcW w:w="1918" w:type="dxa"/>
            <w:vAlign w:val="top"/>
          </w:tcPr>
          <w:p w14:paraId="45905081">
            <w:pPr>
              <w:pStyle w:val="46"/>
              <w:spacing w:before="77" w:line="194" w:lineRule="auto"/>
              <w:ind w:left="833"/>
            </w:pPr>
            <w:r>
              <w:rPr>
                <w:spacing w:val="-3"/>
              </w:rPr>
              <w:t>40</w:t>
            </w:r>
          </w:p>
        </w:tc>
        <w:tc>
          <w:tcPr>
            <w:tcW w:w="1987" w:type="dxa"/>
            <w:vAlign w:val="top"/>
          </w:tcPr>
          <w:p w14:paraId="3503F54D">
            <w:pPr>
              <w:pStyle w:val="46"/>
              <w:spacing w:before="77" w:line="194" w:lineRule="auto"/>
              <w:ind w:left="876"/>
            </w:pPr>
            <w:r>
              <w:rPr>
                <w:spacing w:val="-3"/>
              </w:rPr>
              <w:t>40</w:t>
            </w:r>
          </w:p>
        </w:tc>
        <w:tc>
          <w:tcPr>
            <w:tcW w:w="1963" w:type="dxa"/>
            <w:vAlign w:val="top"/>
          </w:tcPr>
          <w:p w14:paraId="05E30CB7">
            <w:pPr>
              <w:pStyle w:val="46"/>
              <w:spacing w:before="77" w:line="194" w:lineRule="auto"/>
              <w:ind w:left="748"/>
            </w:pPr>
            <w:r>
              <w:rPr>
                <w:spacing w:val="-5"/>
              </w:rPr>
              <w:t>100%</w:t>
            </w:r>
          </w:p>
        </w:tc>
      </w:tr>
      <w:tr w14:paraId="7F953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2901" w:type="dxa"/>
            <w:vAlign w:val="top"/>
          </w:tcPr>
          <w:p w14:paraId="3BB5F087">
            <w:pPr>
              <w:pStyle w:val="46"/>
              <w:spacing w:before="66" w:line="210" w:lineRule="auto"/>
              <w:ind w:left="984"/>
            </w:pPr>
            <w:r>
              <w:rPr>
                <w:spacing w:val="2"/>
              </w:rPr>
              <w:t>项目效益</w:t>
            </w:r>
          </w:p>
        </w:tc>
        <w:tc>
          <w:tcPr>
            <w:tcW w:w="1918" w:type="dxa"/>
            <w:vAlign w:val="top"/>
          </w:tcPr>
          <w:p w14:paraId="36D953DB">
            <w:pPr>
              <w:pStyle w:val="46"/>
              <w:spacing w:before="88" w:line="192" w:lineRule="auto"/>
              <w:ind w:left="833"/>
            </w:pPr>
            <w:r>
              <w:rPr>
                <w:spacing w:val="-3"/>
              </w:rPr>
              <w:t>20</w:t>
            </w:r>
          </w:p>
        </w:tc>
        <w:tc>
          <w:tcPr>
            <w:tcW w:w="1987" w:type="dxa"/>
            <w:vAlign w:val="top"/>
          </w:tcPr>
          <w:p w14:paraId="53CB4FD6">
            <w:pPr>
              <w:pStyle w:val="46"/>
              <w:spacing w:before="88" w:line="192" w:lineRule="auto"/>
              <w:ind w:left="876"/>
            </w:pPr>
            <w:r>
              <w:rPr>
                <w:spacing w:val="-3"/>
              </w:rPr>
              <w:t>20</w:t>
            </w:r>
          </w:p>
        </w:tc>
        <w:tc>
          <w:tcPr>
            <w:tcW w:w="1963" w:type="dxa"/>
            <w:vAlign w:val="top"/>
          </w:tcPr>
          <w:p w14:paraId="3A4B7953">
            <w:pPr>
              <w:pStyle w:val="46"/>
              <w:spacing w:before="88" w:line="192" w:lineRule="auto"/>
              <w:ind w:left="748"/>
            </w:pPr>
            <w:r>
              <w:rPr>
                <w:spacing w:val="-5"/>
              </w:rPr>
              <w:t>100%</w:t>
            </w:r>
          </w:p>
        </w:tc>
      </w:tr>
      <w:tr w14:paraId="2B11A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trPr>
        <w:tc>
          <w:tcPr>
            <w:tcW w:w="2901" w:type="dxa"/>
            <w:vAlign w:val="top"/>
          </w:tcPr>
          <w:p w14:paraId="62D39D59">
            <w:pPr>
              <w:pStyle w:val="46"/>
              <w:spacing w:before="68" w:line="220" w:lineRule="auto"/>
              <w:ind w:left="1214"/>
            </w:pPr>
            <w:r>
              <w:rPr>
                <w:spacing w:val="-3"/>
              </w:rPr>
              <w:t>合计</w:t>
            </w:r>
          </w:p>
        </w:tc>
        <w:tc>
          <w:tcPr>
            <w:tcW w:w="1918" w:type="dxa"/>
            <w:vAlign w:val="top"/>
          </w:tcPr>
          <w:p w14:paraId="7600925E">
            <w:pPr>
              <w:pStyle w:val="46"/>
              <w:spacing w:before="90" w:line="203" w:lineRule="auto"/>
              <w:ind w:left="773"/>
            </w:pPr>
            <w:r>
              <w:rPr>
                <w:spacing w:val="-6"/>
              </w:rPr>
              <w:t>100</w:t>
            </w:r>
          </w:p>
        </w:tc>
        <w:tc>
          <w:tcPr>
            <w:tcW w:w="1987" w:type="dxa"/>
            <w:vAlign w:val="top"/>
          </w:tcPr>
          <w:p w14:paraId="2A7580F6">
            <w:pPr>
              <w:pStyle w:val="46"/>
              <w:spacing w:before="90" w:line="203" w:lineRule="auto"/>
              <w:ind w:left="816"/>
            </w:pPr>
            <w:r>
              <w:rPr>
                <w:spacing w:val="-6"/>
              </w:rPr>
              <w:t>100</w:t>
            </w:r>
          </w:p>
        </w:tc>
        <w:tc>
          <w:tcPr>
            <w:tcW w:w="1963" w:type="dxa"/>
            <w:vAlign w:val="top"/>
          </w:tcPr>
          <w:p w14:paraId="284A2BEB">
            <w:pPr>
              <w:pStyle w:val="46"/>
              <w:spacing w:before="90" w:line="203" w:lineRule="auto"/>
              <w:ind w:left="748"/>
            </w:pPr>
            <w:r>
              <w:rPr>
                <w:spacing w:val="-5"/>
              </w:rPr>
              <w:t>100%</w:t>
            </w:r>
          </w:p>
        </w:tc>
      </w:tr>
    </w:tbl>
    <w:p w14:paraId="003E1061">
      <w:pPr>
        <w:spacing w:line="540" w:lineRule="exact"/>
        <w:rPr>
          <w:rStyle w:val="18"/>
          <w:rFonts w:hint="eastAsia" w:ascii="楷体" w:hAnsi="楷体" w:eastAsia="楷体"/>
          <w:b w:val="0"/>
          <w:bCs w:val="0"/>
          <w:spacing w:val="-4"/>
          <w:sz w:val="32"/>
          <w:szCs w:val="32"/>
        </w:rPr>
      </w:pPr>
    </w:p>
    <w:p w14:paraId="3A79D820">
      <w:pPr>
        <w:spacing w:line="540" w:lineRule="exact"/>
        <w:ind w:firstLine="640"/>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四、绩效评价指标分析</w:t>
      </w:r>
    </w:p>
    <w:p w14:paraId="72BEFF2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（一）项目决策情况</w:t>
      </w:r>
    </w:p>
    <w:p w14:paraId="2BE9753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项目决策类指标包括项目立项、绩效目标和资金投入三方面内容，由6个三级指标构成，权重分值为20分，实际得分20分，得分率为100%。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p>
    <w:p w14:paraId="4B5BD20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p>
    <w:p w14:paraId="3A941A6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p>
    <w:p w14:paraId="30D5E7C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w:t>
      </w:r>
      <w:r>
        <w:rPr>
          <w:rStyle w:val="18"/>
          <w:rFonts w:hint="eastAsia" w:ascii="楷体" w:hAnsi="楷体" w:eastAsia="楷体"/>
          <w:b w:val="0"/>
          <w:bCs w:val="0"/>
          <w:spacing w:val="-4"/>
          <w:sz w:val="32"/>
          <w:szCs w:val="32"/>
          <w:lang w:eastAsia="zh-CN"/>
        </w:rPr>
        <w:t>的</w:t>
      </w:r>
      <w:r>
        <w:rPr>
          <w:rStyle w:val="18"/>
          <w:rFonts w:hint="eastAsia" w:ascii="楷体" w:hAnsi="楷体" w:eastAsia="楷体"/>
          <w:b w:val="0"/>
          <w:bCs w:val="0"/>
          <w:spacing w:val="-4"/>
          <w:sz w:val="32"/>
          <w:szCs w:val="32"/>
        </w:rPr>
        <w:t>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p>
    <w:p w14:paraId="4C57F14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p>
    <w:p w14:paraId="3ACE245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分析与计算。</w:t>
      </w:r>
    </w:p>
    <w:p w14:paraId="30820CD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p>
    <w:p w14:paraId="2FA75FF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规划与安排。</w:t>
      </w:r>
    </w:p>
    <w:p w14:paraId="558285C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5BB38E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27238E6">
      <w:pPr>
        <w:keepNext w:val="0"/>
        <w:keepLines w:val="0"/>
        <w:pageBreakBefore w:val="0"/>
        <w:widowControl w:val="0"/>
        <w:kinsoku/>
        <w:wordWrap/>
        <w:overflowPunct/>
        <w:topLinePunct w:val="0"/>
        <w:autoSpaceDE/>
        <w:autoSpaceDN/>
        <w:bidi w:val="0"/>
        <w:adjustRightInd/>
        <w:snapToGrid/>
        <w:spacing w:line="54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（二）项目过程情况</w:t>
      </w:r>
    </w:p>
    <w:p w14:paraId="59C261FE">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p>
    <w:p w14:paraId="211180C2">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本项目总投资15万元，财政资金及时足额到位，到位率15%，预算资金按计划进度执行。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p>
    <w:p w14:paraId="738917AD">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预算编制较为详细，项目资金支出总体能够按照预算执行，预算资金支出15万元，预算执行率为100%。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p>
    <w:p w14:paraId="4195F6C3">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A670246">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p>
    <w:p w14:paraId="63149748">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04264752">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在制度设计上，我们注重了制度的科学性与可操作性，确保制度能够切实指导项目的执行与管理。</w:t>
      </w:r>
    </w:p>
    <w:p w14:paraId="6E50A3DB">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4816DCF">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p>
    <w:p w14:paraId="7B81532A">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本项目在执行过程中，管理制度得到了全面、有效地落实，为确保项目的顺利实施与目标实现提供了坚实的保障。项目单位重视制度执行的重要性，通过明确责任分工、制定详细执行计划、加强监督考核等措施，确保了各项管理制度能够得到有效执行。</w:t>
      </w:r>
    </w:p>
    <w:p w14:paraId="4F9204C5">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77A9E33">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综上所述，本项目的管理制度在执行过程中表现出了高度的有效性，既确保了项目的顺利进行，又实现了项目目标的有效达成。</w:t>
      </w:r>
    </w:p>
    <w:p w14:paraId="2A7EE79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项目产出类指标包括产出数量、产出质量、产出时效、产出成本四方面的内容，由5个三级指标构成，权重分为40分，实际得分40分，得分率为100%。具体产出指标完成情况如下：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指标1：开展大型文艺演出数量，指标值：＞=4场次，实际完成值：4场次，指标完成率100%。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指标2：舞台演出作品演出数量，指标值：＞=19种 ，实际完成值：19种，指标完成率100%。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指标1：文艺演出参与率，指标值：＞=90%，实际完成值：90%，指标完成率100%。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指标1：项目完成时间，指标值：2024年12月25日 ，实际完成值：2024年12月25日，指标完成率100%。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指标1：节日文化活动项目演出，指标值&lt;=3.75万元/场次，实际完成值：3.75万元/场次，指标完成率100%。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bCs/>
          <w:spacing w:val="-4"/>
          <w:sz w:val="32"/>
          <w:szCs w:val="32"/>
        </w:rPr>
        <w:t>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项目效益类指标包括项目实施效益和满意度两方面的内容，由3个三级指标构成，权重分为20分，实际得分20分，得分率为100%。具体效益指标及满意度指标完成情况如下：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指标1：促进民族文化交流，指标值：有效促进 ，实际完成值：有效促进，指标完成率100%。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指标2：群众知晓率，指标值：＞=75% ，实际完成值：75%，指标完成率100%。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指标1：观看群众满意度，指标值：＞=95% ，实际完成值：95%，指标完成率100%。</w:t>
      </w:r>
    </w:p>
    <w:p w14:paraId="64C8CCB7">
      <w:pPr>
        <w:spacing w:line="225" w:lineRule="auto"/>
        <w:ind w:left="664"/>
        <w:outlineLvl w:val="2"/>
        <w:rPr>
          <w:rFonts w:ascii="楷体" w:hAnsi="楷体" w:eastAsia="楷体" w:cs="楷体"/>
          <w:sz w:val="30"/>
          <w:szCs w:val="30"/>
        </w:rPr>
      </w:pPr>
      <w:r>
        <w:rPr>
          <w:rFonts w:ascii="楷体" w:hAnsi="楷体" w:eastAsia="楷体" w:cs="楷体"/>
          <w:b/>
          <w:bCs/>
          <w:spacing w:val="7"/>
          <w:sz w:val="30"/>
          <w:szCs w:val="30"/>
        </w:rPr>
        <w:t>(五)预算执行进度与绩效指标总体完成率偏差</w:t>
      </w:r>
    </w:p>
    <w:p w14:paraId="4DB3B522">
      <w:pPr>
        <w:spacing w:line="540" w:lineRule="exact"/>
        <w:ind w:firstLine="567"/>
        <w:rPr>
          <w:rFonts w:hint="eastAsia" w:ascii="仿宋" w:hAnsi="仿宋" w:eastAsia="仿宋" w:cs="仿宋"/>
          <w:spacing w:val="22"/>
          <w:sz w:val="30"/>
          <w:szCs w:val="30"/>
          <w:lang w:eastAsia="zh-CN"/>
        </w:rPr>
      </w:pPr>
      <w:r>
        <w:rPr>
          <w:rStyle w:val="18"/>
          <w:rFonts w:hint="eastAsia" w:ascii="楷体" w:hAnsi="楷体" w:eastAsia="楷体"/>
          <w:b w:val="0"/>
          <w:bCs w:val="0"/>
          <w:spacing w:val="-4"/>
          <w:sz w:val="32"/>
          <w:szCs w:val="32"/>
        </w:rPr>
        <w:t>托里县歌舞团节日文化活动</w:t>
      </w:r>
      <w:r>
        <w:rPr>
          <w:rStyle w:val="18"/>
          <w:rFonts w:hint="eastAsia" w:ascii="楷体" w:hAnsi="楷体" w:eastAsia="楷体"/>
          <w:b w:val="0"/>
          <w:bCs w:val="0"/>
          <w:spacing w:val="-4"/>
          <w:sz w:val="32"/>
          <w:szCs w:val="32"/>
          <w:lang w:eastAsia="zh-CN"/>
        </w:rPr>
        <w:t>项目</w:t>
      </w:r>
      <w:r>
        <w:rPr>
          <w:rStyle w:val="18"/>
          <w:rFonts w:hint="eastAsia" w:ascii="楷体" w:hAnsi="楷体" w:eastAsia="楷体"/>
          <w:b w:val="0"/>
          <w:bCs w:val="0"/>
          <w:spacing w:val="-4"/>
          <w:sz w:val="32"/>
          <w:szCs w:val="32"/>
        </w:rPr>
        <w:t>年初预算15万元，全年预算15万元，实际支出15万元，预算执行率为100%,项目绩效指标总体完成率为100%,总体偏差率为0%</w:t>
      </w:r>
      <w:r>
        <w:rPr>
          <w:rStyle w:val="18"/>
          <w:rFonts w:hint="eastAsia" w:ascii="楷体" w:hAnsi="楷体" w:eastAsia="楷体"/>
          <w:b w:val="0"/>
          <w:bCs w:val="0"/>
          <w:spacing w:val="-4"/>
          <w:sz w:val="32"/>
          <w:szCs w:val="32"/>
          <w:lang w:eastAsia="zh-CN"/>
        </w:rPr>
        <w:t>。</w:t>
      </w:r>
    </w:p>
    <w:p w14:paraId="78CE0150">
      <w:pPr>
        <w:spacing w:line="540" w:lineRule="exact"/>
        <w:ind w:firstLine="640"/>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五、主要经验及做法、存在的问题及原因分析</w:t>
      </w:r>
    </w:p>
    <w:p w14:paraId="049897F4">
      <w:pPr>
        <w:spacing w:line="225" w:lineRule="auto"/>
        <w:ind w:left="664"/>
        <w:outlineLvl w:val="2"/>
        <w:rPr>
          <w:rFonts w:hint="eastAsia" w:ascii="楷体" w:hAnsi="楷体" w:eastAsia="楷体" w:cs="楷体"/>
          <w:b/>
          <w:bCs/>
          <w:spacing w:val="7"/>
          <w:sz w:val="30"/>
          <w:szCs w:val="30"/>
          <w:lang w:eastAsia="zh-CN"/>
        </w:rPr>
      </w:pPr>
      <w:r>
        <w:rPr>
          <w:rFonts w:hint="eastAsia" w:ascii="楷体" w:hAnsi="楷体" w:eastAsia="楷体" w:cs="楷体"/>
          <w:b/>
          <w:bCs/>
          <w:spacing w:val="7"/>
          <w:sz w:val="30"/>
          <w:szCs w:val="30"/>
          <w:lang w:eastAsia="zh-CN"/>
        </w:rPr>
        <w:t>(一)主要经验及做法</w:t>
      </w:r>
    </w:p>
    <w:p w14:paraId="4D43C5F9">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F0F250E">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B17EEC5">
      <w:pPr>
        <w:spacing w:line="225" w:lineRule="auto"/>
        <w:ind w:left="664"/>
        <w:outlineLvl w:val="2"/>
        <w:rPr>
          <w:rFonts w:hint="eastAsia" w:ascii="楷体" w:hAnsi="楷体" w:eastAsia="楷体" w:cs="楷体"/>
          <w:b/>
          <w:bCs/>
          <w:spacing w:val="7"/>
          <w:sz w:val="30"/>
          <w:szCs w:val="30"/>
          <w:lang w:eastAsia="zh-CN"/>
        </w:rPr>
      </w:pPr>
      <w:r>
        <w:rPr>
          <w:rFonts w:hint="eastAsia" w:ascii="楷体" w:hAnsi="楷体" w:eastAsia="楷体" w:cs="楷体"/>
          <w:b/>
          <w:bCs/>
          <w:spacing w:val="7"/>
          <w:sz w:val="30"/>
          <w:szCs w:val="30"/>
          <w:lang w:eastAsia="zh-CN"/>
        </w:rPr>
        <w:t>(二)存在的问题及原因分析</w:t>
      </w:r>
    </w:p>
    <w:p w14:paraId="6CD9CF69">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1.相关绩效管理方面专业知识的系统性学习有待加强。各项指标的设置要进一步优化、完善，主要在细化、量化上改进。在绩效自评过程中，由于部分人员缺乏相关绩效管理专业知识，自评</w:t>
      </w:r>
      <w:bookmarkStart w:id="0" w:name="_GoBack"/>
      <w:bookmarkEnd w:id="0"/>
      <w:r>
        <w:rPr>
          <w:rStyle w:val="18"/>
          <w:rFonts w:hint="eastAsia" w:ascii="楷体" w:hAnsi="楷体" w:eastAsia="楷体"/>
          <w:b w:val="0"/>
          <w:bCs w:val="0"/>
          <w:spacing w:val="-4"/>
          <w:sz w:val="32"/>
          <w:szCs w:val="32"/>
          <w:lang w:eastAsia="zh-CN"/>
        </w:rPr>
        <w:t>工作还存在自我审定的局限性，影响评价质量。</w:t>
      </w:r>
    </w:p>
    <w:p w14:paraId="27C60B87">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2.因轮岗、调动等因素使我单位绩效工作人员流动频繁，造成工作衔接不到位的情况。</w:t>
      </w:r>
    </w:p>
    <w:p w14:paraId="7DC67FBD">
      <w:pPr>
        <w:spacing w:line="540" w:lineRule="exact"/>
        <w:ind w:firstLine="640"/>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六、有关建议</w:t>
      </w:r>
    </w:p>
    <w:p w14:paraId="60C0C87C">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1.多进行有关绩效管理工作方面的培训。积极组织第三方开展绩效管理工作培训，进一步夯实业务基础，提高我单位绩效人员水平。</w:t>
      </w:r>
    </w:p>
    <w:p w14:paraId="6254F5FE">
      <w:pPr>
        <w:spacing w:line="540" w:lineRule="exact"/>
        <w:ind w:firstLine="567"/>
        <w:rPr>
          <w:rFonts w:hint="eastAsia" w:ascii="仿宋" w:hAnsi="仿宋" w:eastAsia="仿宋" w:cs="仿宋"/>
          <w:spacing w:val="22"/>
          <w:sz w:val="30"/>
          <w:szCs w:val="30"/>
          <w:lang w:eastAsia="zh-CN"/>
        </w:rPr>
      </w:pPr>
    </w:p>
    <w:p w14:paraId="7CDF7D26">
      <w:pPr>
        <w:spacing w:line="540" w:lineRule="exact"/>
        <w:ind w:firstLine="567"/>
        <w:rPr>
          <w:rFonts w:hint="eastAsia" w:ascii="仿宋" w:hAnsi="仿宋" w:eastAsia="仿宋" w:cs="仿宋"/>
          <w:spacing w:val="22"/>
          <w:sz w:val="30"/>
          <w:szCs w:val="30"/>
          <w:lang w:eastAsia="zh-CN"/>
        </w:rPr>
      </w:pPr>
    </w:p>
    <w:p w14:paraId="6D8D7FB7">
      <w:pPr>
        <w:spacing w:line="540" w:lineRule="exact"/>
        <w:ind w:firstLine="567"/>
        <w:rPr>
          <w:rFonts w:hint="eastAsia" w:ascii="仿宋" w:hAnsi="仿宋" w:eastAsia="仿宋" w:cs="仿宋"/>
          <w:spacing w:val="22"/>
          <w:sz w:val="30"/>
          <w:szCs w:val="30"/>
          <w:lang w:eastAsia="zh-CN"/>
        </w:rPr>
      </w:pPr>
    </w:p>
    <w:p w14:paraId="7F8BC143">
      <w:pPr>
        <w:spacing w:line="540" w:lineRule="exact"/>
        <w:ind w:firstLine="567"/>
        <w:rPr>
          <w:rFonts w:hint="eastAsia" w:ascii="仿宋" w:hAnsi="仿宋" w:eastAsia="仿宋" w:cs="仿宋"/>
          <w:spacing w:val="22"/>
          <w:sz w:val="30"/>
          <w:szCs w:val="30"/>
          <w:lang w:eastAsia="zh-CN"/>
        </w:rPr>
      </w:pPr>
    </w:p>
    <w:p w14:paraId="44067E30">
      <w:pPr>
        <w:spacing w:line="540" w:lineRule="exact"/>
        <w:ind w:firstLine="567"/>
        <w:rPr>
          <w:rFonts w:hint="eastAsia" w:ascii="仿宋" w:hAnsi="仿宋" w:eastAsia="仿宋" w:cs="仿宋"/>
          <w:spacing w:val="22"/>
          <w:sz w:val="30"/>
          <w:szCs w:val="30"/>
          <w:lang w:eastAsia="zh-CN"/>
        </w:rPr>
      </w:pPr>
    </w:p>
    <w:p w14:paraId="49555676">
      <w:pPr>
        <w:spacing w:line="540" w:lineRule="exact"/>
        <w:ind w:firstLine="567"/>
        <w:rPr>
          <w:rFonts w:hint="eastAsia" w:ascii="仿宋" w:hAnsi="仿宋" w:eastAsia="仿宋" w:cs="仿宋"/>
          <w:spacing w:val="22"/>
          <w:sz w:val="30"/>
          <w:szCs w:val="30"/>
          <w:lang w:eastAsia="zh-CN"/>
        </w:rPr>
      </w:pPr>
    </w:p>
    <w:p w14:paraId="4930C3E4">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2.专门设定对绩效工作人员定职、定岗、定责等相关制度措施，进一步提升我单位绩效管理工作业务水平，扎实做好绩效管理工作。</w:t>
      </w:r>
    </w:p>
    <w:p w14:paraId="295903C4">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B53F7D2">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4.进一步完善项目评价过程中有关数据和资料的收集、整理、审核及分析。项目启动时同步做好档案的归纳与整理，及时整理、收集、汇总，健全档案资料。项目后续管理有待进一步加强和跟踪。</w:t>
      </w:r>
    </w:p>
    <w:p w14:paraId="04810B80">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E7BEC2E">
      <w:pPr>
        <w:spacing w:line="540" w:lineRule="exact"/>
        <w:ind w:firstLine="640"/>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七、其他需要说明的问题</w:t>
      </w:r>
    </w:p>
    <w:p w14:paraId="2D50A82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本项目无其他需说明的问题。</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4C56D41">
        <w:pPr>
          <w:pStyle w:val="12"/>
          <w:jc w:val="center"/>
        </w:pPr>
        <w:r>
          <w:fldChar w:fldCharType="begin"/>
        </w:r>
        <w:r>
          <w:instrText xml:space="preserve">PAGE   \* MERGEFORMAT</w:instrText>
        </w:r>
        <w:r>
          <w:fldChar w:fldCharType="separate"/>
        </w:r>
        <w:r>
          <w:rPr>
            <w:lang w:val="zh-CN"/>
          </w:rPr>
          <w:t>1</w:t>
        </w:r>
        <w:r>
          <w:fldChar w:fldCharType="end"/>
        </w:r>
      </w:p>
    </w:sdtContent>
  </w:sdt>
  <w:p w14:paraId="5A351E9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ZTBhODBlNzE5YTc5ZjcyZTE0MTBjZDc4OTc1Mz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28D7E48"/>
    <w:rsid w:val="26A10EE5"/>
    <w:rsid w:val="2E1364F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 w:type="paragraph" w:customStyle="1" w:styleId="46">
    <w:name w:val="Table Text"/>
    <w:basedOn w:val="1"/>
    <w:semiHidden/>
    <w:qFormat/>
    <w:uiPriority w:val="0"/>
    <w:rPr>
      <w:rFonts w:ascii="宋体" w:hAnsi="宋体" w:eastAsia="宋体" w:cs="宋体"/>
      <w:sz w:val="23"/>
      <w:szCs w:val="23"/>
      <w:lang w:val="en-US" w:eastAsia="en-US" w:bidi="ar-SA"/>
    </w:rPr>
  </w:style>
  <w:style w:type="table" w:customStyle="1" w:styleId="4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9872</Words>
  <Characters>10114</Characters>
  <Lines>5</Lines>
  <Paragraphs>1</Paragraphs>
  <TotalTime>7</TotalTime>
  <ScaleCrop>false</ScaleCrop>
  <LinksUpToDate>false</LinksUpToDate>
  <CharactersWithSpaces>10131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忆</cp:lastModifiedBy>
  <cp:lastPrinted>2018-12-31T10:56:00Z</cp:lastPrinted>
  <dcterms:modified xsi:type="dcterms:W3CDTF">2025-11-03T04:56:35Z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11AE79F7329B46F1B56B04BD8C87BB5C_13</vt:lpwstr>
  </property>
  <property fmtid="{D5CDD505-2E9C-101B-9397-08002B2CF9AE}" pid="4" name="KSOTemplateDocerSaveRecord">
    <vt:lpwstr>eyJoZGlkIjoiZWE5M2E4OTRkNmEwYTUyNjM2Mzg3NThiMTA5NmIzZWUiLCJ1c2VySWQiOiI0OTMxMTE3MjUifQ==</vt:lpwstr>
  </property>
</Properties>
</file>