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03FA72">
      <w:pPr>
        <w:spacing w:line="540" w:lineRule="exact"/>
        <w:jc w:val="center"/>
        <w:rPr>
          <w:rFonts w:hint="default" w:ascii="Times New Roman" w:hAnsi="Times New Roman" w:eastAsia="华文中宋" w:cs="Times New Roman"/>
          <w:b/>
          <w:kern w:val="0"/>
          <w:sz w:val="52"/>
          <w:szCs w:val="52"/>
        </w:rPr>
      </w:pPr>
    </w:p>
    <w:p w14:paraId="4D489BFE">
      <w:pPr>
        <w:spacing w:line="540" w:lineRule="exact"/>
        <w:rPr>
          <w:rFonts w:hint="default" w:ascii="Times New Roman" w:hAnsi="Times New Roman" w:eastAsia="华文中宋" w:cs="Times New Roman"/>
          <w:b/>
          <w:kern w:val="0"/>
          <w:sz w:val="52"/>
          <w:szCs w:val="52"/>
        </w:rPr>
      </w:pPr>
    </w:p>
    <w:p w14:paraId="1D678E90">
      <w:pPr>
        <w:spacing w:line="540" w:lineRule="exact"/>
        <w:jc w:val="center"/>
        <w:rPr>
          <w:rFonts w:hint="default" w:ascii="Times New Roman" w:hAnsi="Times New Roman" w:eastAsia="华文中宋" w:cs="Times New Roman"/>
          <w:b/>
          <w:kern w:val="0"/>
          <w:sz w:val="52"/>
          <w:szCs w:val="52"/>
        </w:rPr>
      </w:pPr>
    </w:p>
    <w:p w14:paraId="6726F43B">
      <w:pPr>
        <w:spacing w:line="540" w:lineRule="exact"/>
        <w:jc w:val="center"/>
        <w:rPr>
          <w:rFonts w:hint="default" w:ascii="Times New Roman" w:hAnsi="Times New Roman" w:eastAsia="华文中宋" w:cs="Times New Roman"/>
          <w:b/>
          <w:kern w:val="0"/>
          <w:sz w:val="52"/>
          <w:szCs w:val="52"/>
        </w:rPr>
      </w:pPr>
    </w:p>
    <w:p w14:paraId="01E7B0DD">
      <w:pPr>
        <w:pStyle w:val="3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21" w:lineRule="atLeast"/>
        <w:ind w:left="0" w:right="0" w:firstLine="0"/>
        <w:rPr>
          <w:rFonts w:hint="default" w:ascii="Times New Roman" w:hAnsi="Times New Roman" w:eastAsia="方正小标宋_GBK" w:cs="Times New Roman"/>
          <w:b w:val="0"/>
          <w:bCs w:val="0"/>
          <w:kern w:val="0"/>
          <w:sz w:val="48"/>
          <w:szCs w:val="48"/>
          <w:lang w:val="en-US" w:eastAsia="zh-CN" w:bidi="ar-SA"/>
        </w:rPr>
      </w:pPr>
      <w:r>
        <w:rPr>
          <w:rFonts w:hint="default" w:ascii="Times New Roman" w:hAnsi="Times New Roman" w:eastAsia="方正小标宋_GBK" w:cs="Times New Roman"/>
          <w:b w:val="0"/>
          <w:bCs w:val="0"/>
          <w:kern w:val="0"/>
          <w:sz w:val="48"/>
          <w:szCs w:val="48"/>
          <w:lang w:val="en-US" w:eastAsia="zh-CN" w:bidi="ar-SA"/>
        </w:rPr>
        <w:t>文化保护传承利用工程（第一批）中央基建投资项目支出绩效评价报告</w:t>
      </w:r>
    </w:p>
    <w:p w14:paraId="5C638CA1">
      <w:pPr>
        <w:spacing w:line="540" w:lineRule="exact"/>
        <w:jc w:val="center"/>
        <w:rPr>
          <w:rFonts w:hint="default" w:ascii="Times New Roman" w:hAnsi="Times New Roman" w:eastAsia="华文中宋" w:cs="Times New Roman"/>
          <w:b/>
          <w:kern w:val="0"/>
          <w:sz w:val="52"/>
          <w:szCs w:val="52"/>
        </w:rPr>
      </w:pPr>
    </w:p>
    <w:p w14:paraId="12A971FA">
      <w:pPr>
        <w:spacing w:line="540" w:lineRule="exact"/>
        <w:jc w:val="center"/>
        <w:rPr>
          <w:rFonts w:hint="default" w:ascii="Times New Roman" w:hAnsi="Times New Roman" w:eastAsia="仿宋_GB2312" w:cs="Times New Roman"/>
          <w:kern w:val="0"/>
          <w:sz w:val="36"/>
          <w:szCs w:val="36"/>
        </w:rPr>
      </w:pP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（202</w:t>
      </w:r>
      <w:r>
        <w:rPr>
          <w:rFonts w:hint="default" w:ascii="Times New Roman" w:hAnsi="Times New Roman" w:eastAsia="仿宋_GB2312" w:cs="Times New Roman"/>
          <w:kern w:val="0"/>
          <w:sz w:val="36"/>
          <w:szCs w:val="36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年度）</w:t>
      </w:r>
    </w:p>
    <w:p w14:paraId="67E5B408">
      <w:pPr>
        <w:spacing w:line="540" w:lineRule="exact"/>
        <w:jc w:val="center"/>
        <w:rPr>
          <w:rFonts w:hint="default" w:ascii="Times New Roman" w:hAnsi="Times New Roman" w:eastAsia="仿宋_GB2312" w:cs="Times New Roman"/>
          <w:kern w:val="0"/>
          <w:sz w:val="30"/>
          <w:szCs w:val="30"/>
        </w:rPr>
      </w:pPr>
    </w:p>
    <w:p w14:paraId="7A81A3F3">
      <w:pPr>
        <w:spacing w:line="540" w:lineRule="exact"/>
        <w:jc w:val="center"/>
        <w:rPr>
          <w:rFonts w:hint="default" w:ascii="Times New Roman" w:hAnsi="Times New Roman" w:eastAsia="仿宋_GB2312" w:cs="Times New Roman"/>
          <w:kern w:val="0"/>
          <w:sz w:val="30"/>
          <w:szCs w:val="30"/>
        </w:rPr>
      </w:pPr>
    </w:p>
    <w:p w14:paraId="52E01920">
      <w:pPr>
        <w:spacing w:line="540" w:lineRule="exact"/>
        <w:jc w:val="center"/>
        <w:rPr>
          <w:rFonts w:hint="default" w:ascii="Times New Roman" w:hAnsi="Times New Roman" w:eastAsia="仿宋_GB2312" w:cs="Times New Roman"/>
          <w:kern w:val="0"/>
          <w:sz w:val="30"/>
          <w:szCs w:val="30"/>
        </w:rPr>
      </w:pPr>
    </w:p>
    <w:p w14:paraId="2A36E2B8">
      <w:pPr>
        <w:pStyle w:val="11"/>
        <w:rPr>
          <w:rFonts w:hint="default" w:ascii="Times New Roman" w:hAnsi="Times New Roman" w:cs="Times New Roman"/>
        </w:rPr>
      </w:pPr>
    </w:p>
    <w:p w14:paraId="744A12AE">
      <w:pPr>
        <w:spacing w:line="540" w:lineRule="exact"/>
        <w:jc w:val="center"/>
        <w:rPr>
          <w:rFonts w:hint="default" w:ascii="Times New Roman" w:hAnsi="Times New Roman" w:eastAsia="仿宋_GB2312" w:cs="Times New Roman"/>
          <w:kern w:val="0"/>
          <w:sz w:val="30"/>
          <w:szCs w:val="30"/>
        </w:rPr>
      </w:pPr>
    </w:p>
    <w:p w14:paraId="42314D07">
      <w:pPr>
        <w:spacing w:line="540" w:lineRule="exact"/>
        <w:rPr>
          <w:rFonts w:hint="default" w:ascii="Times New Roman" w:hAnsi="Times New Roman" w:eastAsia="仿宋_GB2312" w:cs="Times New Roman"/>
          <w:kern w:val="0"/>
          <w:sz w:val="30"/>
          <w:szCs w:val="30"/>
        </w:rPr>
      </w:pPr>
    </w:p>
    <w:p w14:paraId="7379961D">
      <w:pPr>
        <w:spacing w:line="700" w:lineRule="exact"/>
        <w:ind w:left="3236" w:leftChars="684" w:hanging="1800" w:hangingChars="500"/>
        <w:jc w:val="left"/>
        <w:rPr>
          <w:rFonts w:hint="default" w:eastAsia="仿宋_GB2312" w:cs="Times New Roman"/>
          <w:kern w:val="0"/>
          <w:sz w:val="36"/>
          <w:szCs w:val="36"/>
          <w:lang w:val="en-US" w:eastAsia="zh-CN"/>
        </w:rPr>
      </w:pP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项目名称：</w:t>
      </w:r>
      <w:r>
        <w:rPr>
          <w:rFonts w:hint="default" w:eastAsia="仿宋_GB2312" w:cs="Times New Roman"/>
          <w:kern w:val="0"/>
          <w:sz w:val="36"/>
          <w:szCs w:val="36"/>
          <w:lang w:val="en-US" w:eastAsia="zh-CN"/>
        </w:rPr>
        <w:t>文化保护传承利用工程（第一批）中央基建投资项目</w:t>
      </w:r>
    </w:p>
    <w:p w14:paraId="579A0A3A">
      <w:pPr>
        <w:spacing w:line="700" w:lineRule="exact"/>
        <w:ind w:firstLine="1440" w:firstLineChars="400"/>
        <w:jc w:val="left"/>
        <w:rPr>
          <w:rFonts w:hint="default" w:ascii="Times New Roman" w:hAnsi="Times New Roman" w:eastAsia="仿宋_GB2312" w:cs="Times New Roman"/>
          <w:kern w:val="0"/>
          <w:sz w:val="36"/>
          <w:szCs w:val="36"/>
          <w:lang w:val="en-US" w:eastAsia="zh-CN"/>
        </w:rPr>
      </w:pP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实施单位：</w:t>
      </w:r>
      <w:r>
        <w:rPr>
          <w:rFonts w:hint="eastAsia" w:eastAsia="仿宋_GB2312" w:cs="Times New Roman"/>
          <w:kern w:val="0"/>
          <w:sz w:val="36"/>
          <w:szCs w:val="36"/>
          <w:lang w:val="en-US" w:eastAsia="zh-CN"/>
        </w:rPr>
        <w:t>托里县文化广播电视和旅游局</w:t>
      </w:r>
    </w:p>
    <w:p w14:paraId="0E0D7BC4">
      <w:pPr>
        <w:spacing w:line="700" w:lineRule="exact"/>
        <w:ind w:firstLine="1440" w:firstLineChars="400"/>
        <w:jc w:val="left"/>
        <w:rPr>
          <w:rFonts w:hint="default" w:ascii="Times New Roman" w:hAnsi="Times New Roman" w:eastAsia="仿宋_GB2312" w:cs="Times New Roman"/>
          <w:kern w:val="0"/>
          <w:sz w:val="36"/>
          <w:szCs w:val="36"/>
        </w:rPr>
      </w:pP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主管部门：</w:t>
      </w:r>
      <w:r>
        <w:rPr>
          <w:rFonts w:hint="eastAsia" w:eastAsia="仿宋_GB2312" w:cs="Times New Roman"/>
          <w:kern w:val="0"/>
          <w:sz w:val="36"/>
          <w:szCs w:val="36"/>
          <w:lang w:val="en-US" w:eastAsia="zh-CN"/>
        </w:rPr>
        <w:t>托里县文化广播电视和旅游局</w:t>
      </w:r>
    </w:p>
    <w:p w14:paraId="5E4E5451">
      <w:pPr>
        <w:spacing w:line="700" w:lineRule="exact"/>
        <w:ind w:firstLine="1440" w:firstLineChars="400"/>
        <w:jc w:val="left"/>
        <w:rPr>
          <w:rFonts w:hint="eastAsia" w:ascii="Times New Roman" w:hAnsi="Times New Roman" w:eastAsia="仿宋_GB2312" w:cs="Times New Roman"/>
          <w:kern w:val="0"/>
          <w:sz w:val="36"/>
          <w:szCs w:val="36"/>
          <w:lang w:eastAsia="zh-CN"/>
        </w:rPr>
      </w:pP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项目负责人：</w:t>
      </w:r>
      <w:r>
        <w:rPr>
          <w:rFonts w:hint="eastAsia" w:eastAsia="仿宋_GB2312" w:cs="Times New Roman"/>
          <w:kern w:val="0"/>
          <w:sz w:val="36"/>
          <w:szCs w:val="36"/>
          <w:lang w:val="en-US" w:eastAsia="zh-CN"/>
        </w:rPr>
        <w:t>宫照锐</w:t>
      </w:r>
    </w:p>
    <w:p w14:paraId="55EA6F5E">
      <w:pPr>
        <w:spacing w:line="700" w:lineRule="exact"/>
        <w:ind w:firstLine="1440" w:firstLineChars="400"/>
        <w:jc w:val="left"/>
        <w:rPr>
          <w:rStyle w:val="17"/>
          <w:rFonts w:hint="default" w:ascii="Times New Roman" w:hAnsi="Times New Roman" w:eastAsia="黑体" w:cs="Times New Roman"/>
          <w:b w:val="0"/>
          <w:spacing w:val="-4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填报时间：</w:t>
      </w:r>
      <w:r>
        <w:rPr>
          <w:rFonts w:hint="eastAsia" w:eastAsia="仿宋_GB2312" w:cs="Times New Roman"/>
          <w:kern w:val="0"/>
          <w:sz w:val="36"/>
          <w:szCs w:val="36"/>
          <w:lang w:val="en-US" w:eastAsia="zh-CN"/>
        </w:rPr>
        <w:t>2025</w:t>
      </w: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年</w:t>
      </w:r>
      <w:r>
        <w:rPr>
          <w:rFonts w:hint="eastAsia" w:eastAsia="仿宋_GB2312" w:cs="Times New Roman"/>
          <w:kern w:val="0"/>
          <w:sz w:val="36"/>
          <w:szCs w:val="36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月</w:t>
      </w:r>
      <w:r>
        <w:rPr>
          <w:rFonts w:hint="eastAsia" w:eastAsia="仿宋_GB2312" w:cs="Times New Roman"/>
          <w:kern w:val="0"/>
          <w:sz w:val="36"/>
          <w:szCs w:val="36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日</w:t>
      </w:r>
    </w:p>
    <w:p w14:paraId="1BE28E8D">
      <w:pPr>
        <w:spacing w:line="540" w:lineRule="exact"/>
        <w:rPr>
          <w:rStyle w:val="17"/>
          <w:rFonts w:hint="default" w:ascii="Times New Roman" w:hAnsi="Times New Roman" w:eastAsia="黑体" w:cs="Times New Roman"/>
          <w:b w:val="0"/>
          <w:spacing w:val="-4"/>
          <w:sz w:val="32"/>
          <w:szCs w:val="32"/>
        </w:rPr>
      </w:pPr>
    </w:p>
    <w:p w14:paraId="167FBBC5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bCs/>
          <w:sz w:val="32"/>
          <w:szCs w:val="32"/>
        </w:rPr>
        <w:sectPr>
          <w:pgSz w:w="11906" w:h="16838"/>
          <w:pgMar w:top="1440" w:right="1558" w:bottom="1440" w:left="1800" w:header="851" w:footer="992" w:gutter="0"/>
          <w:cols w:space="425" w:num="1"/>
          <w:docGrid w:type="lines" w:linePitch="312" w:charSpace="0"/>
        </w:sectPr>
      </w:pPr>
    </w:p>
    <w:p w14:paraId="66E8733B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sz w:val="32"/>
          <w:szCs w:val="32"/>
        </w:rPr>
        <w:t>一、基本情况</w:t>
      </w:r>
    </w:p>
    <w:p w14:paraId="68F9E7DC">
      <w:pPr>
        <w:spacing w:line="560" w:lineRule="exact"/>
        <w:ind w:firstLine="643" w:firstLineChars="200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（一）项目概况</w:t>
      </w:r>
    </w:p>
    <w:p w14:paraId="5E832C65">
      <w:pPr>
        <w:spacing w:line="560" w:lineRule="exact"/>
        <w:ind w:firstLine="643" w:firstLineChars="200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1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项目背景</w:t>
      </w:r>
    </w:p>
    <w:p w14:paraId="2B7A88D1">
      <w:pPr>
        <w:pStyle w:val="11"/>
        <w:numPr>
          <w:ilvl w:val="0"/>
          <w:numId w:val="0"/>
        </w:numPr>
        <w:spacing w:before="0" w:after="0"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随着信息技术的飞速发展，5G、大数据、云计算、人工智能、物联网等新技术不断涌现，为广播电视行业的转型升级提供了技术支撑。这些技术可以使广电网络实现高速传输、智能管理、精准服务，推动传统广电向智慧广电转变。超高清视频、虚拟现实（VR）、增强现实（AR）等技术的发展，也为用户带来了全新的视听体验，促使广电行业不断创新节目内容和传播形式，以满足用户对高品质视听内容的需求。</w:t>
      </w:r>
    </w:p>
    <w:p w14:paraId="2E64C8CE">
      <w:pPr>
        <w:pStyle w:val="11"/>
        <w:numPr>
          <w:ilvl w:val="0"/>
          <w:numId w:val="0"/>
        </w:numPr>
        <w:spacing w:before="0" w:after="0"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 xml:space="preserve"> 国家出台了一系列政策推动广播电视行业的高质量发展，鼓励广电企业加快数字化、网络化、智能化建设，推进智慧广电体系建设，为智慧广电项目的实施提供了政策依据和保障。</w:t>
      </w:r>
    </w:p>
    <w:p w14:paraId="1AB0D47D">
      <w:pPr>
        <w:pStyle w:val="11"/>
        <w:numPr>
          <w:ilvl w:val="0"/>
          <w:numId w:val="0"/>
        </w:numPr>
        <w:spacing w:before="0" w:after="0" w:line="560" w:lineRule="exact"/>
        <w:jc w:val="both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例如，相关部门发布了关于促进智慧广电发展的指导意见，明确了智慧广电建设的目标、任务和措施，引导广电行业朝着智慧化方向发展。</w:t>
      </w:r>
    </w:p>
    <w:p w14:paraId="2F6C1142">
      <w:pPr>
        <w:pStyle w:val="11"/>
        <w:numPr>
          <w:ilvl w:val="0"/>
          <w:numId w:val="0"/>
        </w:numPr>
        <w:spacing w:before="0" w:after="0"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互联网视频平台、移动新媒体等新兴媒体的快速发展，对传统广播电视行业造成了巨大冲击，抢占了大量的用户和市场份额。为了应对竞争，广电行业需要加快转型升级，利用自身优势，打造智慧广电生态，提升服务质量和竞争力。</w:t>
      </w:r>
    </w:p>
    <w:p w14:paraId="2C91BF59">
      <w:pPr>
        <w:pStyle w:val="11"/>
        <w:numPr>
          <w:ilvl w:val="0"/>
          <w:numId w:val="0"/>
        </w:numPr>
        <w:spacing w:before="0" w:after="0"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智慧广电项目可以通过整合内容资源、优化传播渠道、提升用户体验，实现与新兴媒体的融合发展，在激烈的市场竞争中赢得一席之地。</w:t>
      </w:r>
    </w:p>
    <w:p w14:paraId="08CC277D">
      <w:pPr>
        <w:pStyle w:val="11"/>
        <w:numPr>
          <w:ilvl w:val="0"/>
          <w:numId w:val="0"/>
        </w:numPr>
        <w:spacing w:before="0" w:after="0"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随着人们生活水平的提高和科技的普及，用户对广播电视的需求不再局限于传统的节目观看，而是更加注重个性化、多元化、互动化的服务体验。用户希望能够通过多种终端随时随地获取丰富的内容资源，并且能够享受到智能推荐、互动社交、生活服务等个性化服务。智慧广电项目能够满足用户的这些需求，提升用户的满意度和忠诚度。</w:t>
      </w:r>
    </w:p>
    <w:p w14:paraId="2F31ABFD">
      <w:pPr>
        <w:pStyle w:val="11"/>
        <w:numPr>
          <w:ilvl w:val="0"/>
          <w:numId w:val="0"/>
        </w:numPr>
        <w:spacing w:before="0" w:after="0" w:line="560" w:lineRule="exact"/>
        <w:ind w:firstLine="643" w:firstLineChars="200"/>
        <w:jc w:val="both"/>
        <w:rPr>
          <w:rFonts w:hint="default" w:ascii="Times New Roman" w:hAnsi="Times New Roman" w:eastAsia="仿宋_GB2312" w:cs="Times New Roman"/>
          <w:kern w:val="2"/>
        </w:rPr>
      </w:pPr>
      <w:r>
        <w:rPr>
          <w:rFonts w:hint="default" w:ascii="Times New Roman" w:hAnsi="Times New Roman" w:eastAsia="仿宋_GB2312" w:cs="Times New Roman"/>
          <w:kern w:val="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kern w:val="2"/>
        </w:rPr>
        <w:t>项目主要内容：</w:t>
      </w:r>
    </w:p>
    <w:p w14:paraId="6629A24C">
      <w:pPr>
        <w:numPr>
          <w:ilvl w:val="0"/>
          <w:numId w:val="0"/>
        </w:numPr>
        <w:spacing w:line="560" w:lineRule="exact"/>
        <w:ind w:firstLine="600" w:firstLineChars="200"/>
        <w:rPr>
          <w:rFonts w:hint="default" w:ascii="Times New Roman" w:hAnsi="Times New Roman" w:eastAsia="黑体" w:cs="Times New Roman"/>
          <w:highlight w:val="yellow"/>
          <w:lang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项目主要内容：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托里县《关于提前下达2023年文化保护传承利用工程（第一批）中央基建投资项目预算的通知》（塔地财建〔2023〕52号文件精神，2024年下达资金800万元。用于</w:t>
      </w:r>
      <w:r>
        <w:rPr>
          <w:rFonts w:hint="eastAsia" w:ascii="仿宋_GB2312" w:hAnsi="仿宋_GB2312" w:eastAsia="仿宋_GB2312" w:cs="仿宋_GB2312"/>
          <w:sz w:val="32"/>
          <w:szCs w:val="32"/>
        </w:rPr>
        <w:t>2023年文化保护传承利用工程（第一批）中央基建投资项目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项目资金800万元，用于铺设光缆约233公里，新建OTN设备1套；新建数据网设备2台；新建接入网ONU</w:t>
      </w:r>
      <w:r>
        <w:rPr>
          <w:rFonts w:hint="eastAsia" w:eastAsia="仿宋_GB2312" w:cs="Times New Roman"/>
          <w:sz w:val="32"/>
          <w:szCs w:val="32"/>
          <w:lang w:eastAsia="zh-CN"/>
        </w:rPr>
        <w:t>设备</w:t>
      </w:r>
      <w:r>
        <w:rPr>
          <w:rFonts w:hint="default" w:ascii="Times New Roman" w:hAnsi="Times New Roman" w:eastAsia="仿宋_GB2312" w:cs="Times New Roman"/>
          <w:sz w:val="32"/>
          <w:szCs w:val="32"/>
        </w:rPr>
        <w:t>1395个；购置新一代直播卫星接收终端222台。通过智慧广电固边工程的实施，让托里县当地群众及时收听到各级</w:t>
      </w:r>
      <w:r>
        <w:rPr>
          <w:rFonts w:hint="eastAsia" w:eastAsia="仿宋_GB2312" w:cs="Times New Roman"/>
          <w:sz w:val="32"/>
          <w:szCs w:val="32"/>
          <w:lang w:eastAsia="zh-CN"/>
        </w:rPr>
        <w:t>党委、政府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的声音、收看到内容丰富的电视节目，极大丰富托里县当地群众文化生活，满意度达到95%。</w:t>
      </w:r>
    </w:p>
    <w:p w14:paraId="5D720344">
      <w:pPr>
        <w:spacing w:line="560" w:lineRule="exact"/>
        <w:ind w:firstLine="64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项目实施情况：</w:t>
      </w:r>
      <w:r>
        <w:rPr>
          <w:rFonts w:hint="eastAsia" w:ascii="仿宋_GB2312" w:hAnsi="仿宋_GB2312" w:eastAsia="仿宋_GB2312" w:cs="仿宋_GB2312"/>
          <w:sz w:val="32"/>
          <w:szCs w:val="32"/>
        </w:rPr>
        <w:t>2023年文化保护传承利用工程（第一批）中央基建投资项目</w:t>
      </w:r>
      <w:r>
        <w:rPr>
          <w:rFonts w:eastAsia="仿宋_GB2312"/>
          <w:sz w:val="32"/>
          <w:szCs w:val="32"/>
        </w:rPr>
        <w:t>目前已经完成实际设立的目标，项目在实施过程中严格按照目标设立的各阶段任务进行开展工作，在前期立项过程中严格把质量关，建立安全防护机制，保证项目实施各阶段安全顺利进行。</w:t>
      </w:r>
    </w:p>
    <w:p w14:paraId="2AA3E70C">
      <w:pPr>
        <w:spacing w:line="560" w:lineRule="exact"/>
        <w:ind w:firstLine="643" w:firstLineChars="200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3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资金投入和使用情况</w:t>
      </w:r>
    </w:p>
    <w:p w14:paraId="4B3C458A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（1）资金投入情况</w:t>
      </w:r>
    </w:p>
    <w:p w14:paraId="08874879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FF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该项目年初预算数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800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万元，全年预算数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800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万元，该项目资金已全部落实到位，资金来源为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中央资金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。</w:t>
      </w:r>
    </w:p>
    <w:p w14:paraId="550EC42B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（2）资金使用情况</w:t>
      </w:r>
    </w:p>
    <w:p w14:paraId="69596CDE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该项目年初预算数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800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万元，全年预算数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800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万元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全年执行数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680.64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万元，预算执行率为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85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%，主要用于：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智慧广电固边工程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。</w:t>
      </w:r>
    </w:p>
    <w:p w14:paraId="5BB732C2">
      <w:pPr>
        <w:spacing w:line="560" w:lineRule="exact"/>
        <w:ind w:firstLine="643" w:firstLineChars="200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（二）项目绩效目标</w:t>
      </w:r>
    </w:p>
    <w:p w14:paraId="5571DE69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总体目标</w:t>
      </w:r>
    </w:p>
    <w:p w14:paraId="6237A67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2024年项目资金800万元，用于文化保护传承利用工程（第一批）中央基建投资建设项目，通过对全县233公里铺设光缆，新建数据网设备2台、新建OTN设备1套等设备。打通广播电视网、互联网和移动网络，为地处边境地区的我县打造全媒体服务、专用文化信息服务等新业态。</w:t>
      </w:r>
    </w:p>
    <w:p w14:paraId="37C8985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eastAsia="仿宋_GB2312" w:cs="Times New Roman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阶段性目标</w:t>
      </w:r>
    </w:p>
    <w:p w14:paraId="1FD8CBB6">
      <w:pPr>
        <w:spacing w:line="560" w:lineRule="exact"/>
        <w:ind w:firstLine="640" w:firstLineChars="200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</w:rPr>
        <w:t>筹备规划阶段</w:t>
      </w:r>
      <w:r>
        <w:rPr>
          <w:rFonts w:hint="eastAsia" w:eastAsia="仿宋_GB2312"/>
          <w:sz w:val="32"/>
          <w:szCs w:val="32"/>
          <w:lang w:eastAsia="zh-CN"/>
        </w:rPr>
        <w:t>：</w:t>
      </w:r>
    </w:p>
    <w:p w14:paraId="3F315B4E">
      <w:pPr>
        <w:spacing w:line="560" w:lineRule="exact"/>
        <w:ind w:firstLine="640" w:firstLineChars="200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通过走访用户、开展问卷调查、分析行业报告等方式，深入了解市场需求、技术发展趋势和竞争对手情况，完成详细的市场调研报告。基于调研结果，结合政策要求，制定涵盖技术选型、功能设计、运营模式、预算安排等内容的完整项目方案，明确项目建设方向和实施路径。确定项目所需的人力、物力和财力资源，组建专业的项目团队，完成设备采购招标工作，落实资金来源，确保项目具备启动条件。</w:t>
      </w:r>
    </w:p>
    <w:p w14:paraId="75F5826E">
      <w:pPr>
        <w:spacing w:line="560" w:lineRule="exact"/>
        <w:ind w:firstLine="640" w:firstLineChars="200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</w:rPr>
        <w:t xml:space="preserve"> 建设实施阶段</w:t>
      </w:r>
      <w:r>
        <w:rPr>
          <w:rFonts w:hint="eastAsia" w:eastAsia="仿宋_GB2312"/>
          <w:sz w:val="32"/>
          <w:szCs w:val="32"/>
          <w:lang w:eastAsia="zh-CN"/>
        </w:rPr>
        <w:t>：</w:t>
      </w:r>
    </w:p>
    <w:p w14:paraId="0875BFDE">
      <w:pPr>
        <w:spacing w:line="560" w:lineRule="exact"/>
        <w:ind w:firstLine="640" w:firstLineChars="200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 xml:space="preserve"> 按照网络建设标准，完成光纤入户、5G基站部署、数据中心建设等基础网络设施建设，实现目标区域的网络全覆盖，保障网络传输速度和稳定性达到预定标准。完成智慧广电相关应用系统的开发，如高清视频播放平台、互动点播系统、智慧生活服务平台等，确保系统功能满足用户需求，具备良好的用户体验和安全性。依据应急广播体系建设规范，完成省、市、县三级应急广播平台搭建，实现与各级政府应急指挥系统的对接，确保应急信息能够及时、准确传播。</w:t>
      </w:r>
    </w:p>
    <w:p w14:paraId="71BFB9A9">
      <w:pPr>
        <w:spacing w:line="560" w:lineRule="exact"/>
        <w:ind w:firstLine="640" w:firstLineChars="200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</w:rPr>
        <w:t>优化运营阶段</w:t>
      </w:r>
      <w:r>
        <w:rPr>
          <w:rFonts w:hint="eastAsia" w:eastAsia="仿宋_GB2312"/>
          <w:sz w:val="32"/>
          <w:szCs w:val="32"/>
          <w:lang w:eastAsia="zh-CN"/>
        </w:rPr>
        <w:t>：</w:t>
      </w:r>
    </w:p>
    <w:p w14:paraId="4CC82554">
      <w:pPr>
        <w:spacing w:line="560" w:lineRule="exact"/>
        <w:ind w:firstLine="640" w:firstLineChars="200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通过收集用户反馈，持续优化应用系统的界面设计、操作流程和内容推荐算法，提高节目内容的丰富度和质量，提升用户的满意度和忠诚度，实现用户数量和活跃度的稳步增长。基于智慧广电平台，探索与电商、教育、医疗等行业的合作，推出多样化的增值服务，如在线购物、远程教育、健康咨询等，增加项目的收入来源。构建全面的监测监管体系，实现对广播电视及视听新媒体内容的实时监测和安全监管，确保内容合法合规，保障网络信息安全和播出安全。</w:t>
      </w:r>
    </w:p>
    <w:p w14:paraId="3D31D5EF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二、绩效评价工作开展情况</w:t>
      </w:r>
    </w:p>
    <w:p w14:paraId="6B3D9266">
      <w:pPr>
        <w:spacing w:line="560" w:lineRule="exact"/>
        <w:ind w:firstLine="643" w:firstLineChars="200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（一）绩效评价目的、对象和范围</w:t>
      </w:r>
    </w:p>
    <w:p w14:paraId="175E5207">
      <w:pPr>
        <w:pStyle w:val="11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1.绩效评价完整性</w:t>
      </w:r>
    </w:p>
    <w:p w14:paraId="236CB8E8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本项目预算绩效评价报告在编制过程中，严格遵循相关法规与标准，确保评价内容的全面性与准确性。报告涵盖了项目从预算编制、执行到完成的全过程，对项目的各项绩效指标进行了细致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地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梳理与评估。</w:t>
      </w:r>
    </w:p>
    <w:p w14:paraId="3620D80D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在评价指标体系的构建上，充分考虑了项目的性质、目标以及预期成果，选取了具有代表性和可衡量性的关键指标，涵盖了社会效益维度，力求全方位反映项目的绩效状况。同时，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对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每个指标的评价标准和数据来源均进行了明确说明，确保评价结果的客观性和可追溯性。</w:t>
      </w:r>
    </w:p>
    <w:p w14:paraId="7EF7160B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在数据收集与分析环节，采用了多种科学合理的方法，如实地调研、问卷调查、数据分析等，广泛收集了与项目相关的各类数据，并运用专业的统计分析工具对数据进行深入挖掘，以确保评价结论的科学性和可靠性。此外，还对数据的质量和完整性进行了严格把控，对于缺失或异常的数据进行了合理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地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处理和说明，保证了评价数据的真实性和有效性。</w:t>
      </w:r>
    </w:p>
    <w:p w14:paraId="2432D0B6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在报告的撰写结构上，按照统一的格式和规范进行编排，内容层次分明、条理清晰。首先对项目的背景、目标和预算安排进行了简要介绍，为后续的绩效评价提供了必要的背景信息；接着详细阐述了绩效评价的指标体系、评价方法和数据来源，为评价过程的透明性和可复现性奠定了基础；然后对各项绩效指标的完成情况进行了逐一分析和评价，指出了项目在实施过程中存在的问题和不足，并提出了相应的改进建议；最后对整个项目的绩效状况进行了综合总结，给出了明确的评价结论和后续工作的建议，为项目的持续改进和决策提供了有力支持。</w:t>
      </w:r>
    </w:p>
    <w:p w14:paraId="43DFE480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本项目预算绩效评价报告在内容、方法和数据等方面均具备较高的完整性，能够真实、客观地反映项目的绩效情况，为项目管理决策提供了有价值的参考依据。在未来的工作中，我们将继续完善绩效评价体系，不断提升评价工作的质量和水平，以更好地服务于项目的管理和优化。</w:t>
      </w:r>
    </w:p>
    <w:p w14:paraId="06A3D3D1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绩效评价的目的</w:t>
      </w:r>
    </w:p>
    <w:p w14:paraId="260F23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（1）评估项目实施效果</w:t>
      </w:r>
    </w:p>
    <w:p w14:paraId="45715B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通过对项目预算执行情况及各项绩效目标达成程度的系统性分析，全面、客观地评估项目在预定周期内的实施效果，包括社会效益维度指标，为项目后续的改进与优化提供科学依据。</w:t>
      </w:r>
    </w:p>
    <w:p w14:paraId="35F34E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（2）提升资源利用效率</w:t>
      </w:r>
    </w:p>
    <w:p w14:paraId="04D3EE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深入剖析项目预算资金的投入与产出关系，识别资金使用过程中的冗余环节与低效领域，挖掘潜在的资源优化配置空间，推动项目在有限的预算资源下实现更高的绩效产出，提升整体资源利用效率，确保财政资金的合理、高效运用。</w:t>
      </w:r>
    </w:p>
    <w:p w14:paraId="76CD55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（3）强化项目管理责任</w:t>
      </w:r>
    </w:p>
    <w:p w14:paraId="59E19F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明确项目各参与主体在预算绩效管理中的职责与任务，借助绩效评价结果对项目管理过程进行监督与问责，促使项目管理者增强责任意识，主动优化管理流程，完善内部控制机制，提高项目管理水平与执行力，保障项目按计划、高质量推进。</w:t>
      </w:r>
    </w:p>
    <w:p w14:paraId="52A75E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（4）为决策提供支持</w:t>
      </w:r>
    </w:p>
    <w:p w14:paraId="530B3D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为项目主管部门、财政部门及相关决策层提供详实、准确的绩效评价信息，辅助其在项目审批、预算安排、政策调整等关键决策环节做出更加科学、合理的判断，促进项目资源的合理分配与有效整合，推动项目管理体系的不断完善与升级，提升公共资源配置的精准度与有效性。</w:t>
      </w:r>
    </w:p>
    <w:p w14:paraId="15C339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（5）促进项目持续改进</w:t>
      </w:r>
    </w:p>
    <w:p w14:paraId="74DA85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基于绩效评价发现的问题与不足，提出针对性的改进建议与措施，引导项目团队聚焦关键环节，持续优化项目实施方案，加强过程监控与质量把控，形成项目绩效持续改进的良性循环，不断提升项目整体绩效水平，实现项目长期稳定发展的目标。</w:t>
      </w:r>
    </w:p>
    <w:p w14:paraId="14C69D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本项目预算绩效评价报告的编制以提升项目绩效为核心，旨在通过科学、严谨的评价工作，为项目管理与决策提供全方位、深层次的支持，推动项目在预算约束下实现高质量、可持续发展，充分发挥财政资金的经济效益与社会效益。</w:t>
      </w:r>
    </w:p>
    <w:p w14:paraId="26BDB9D3">
      <w:pPr>
        <w:pStyle w:val="11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 w:val="0"/>
          <w:bCs w:val="0"/>
        </w:rPr>
        <w:t>绩效评价的对象</w:t>
      </w:r>
    </w:p>
    <w:p w14:paraId="0D46495F">
      <w:pPr>
        <w:numPr>
          <w:ilvl w:val="0"/>
          <w:numId w:val="0"/>
        </w:num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本项目预算绩效评价报告的评价对象是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2023年文化保护传承利用工程（第一批）中央基建投资项目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及其预算执行情况。该项目由托里县文化体育广播电视和旅游局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的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农服中心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负责实施，旨在</w:t>
      </w:r>
      <w:r>
        <w:rPr>
          <w:rFonts w:hint="eastAsia" w:eastAsia="仿宋_GB2312"/>
          <w:sz w:val="32"/>
          <w:szCs w:val="32"/>
        </w:rPr>
        <w:t>通过项目建设，智能化水平明显提升，公共文化服务设施条件不断改善。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项目预算涵盖从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2024年1月1日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至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2024年12月25日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的全部资金投入与支出，涉及资金总额为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680.64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万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元。</w:t>
      </w:r>
    </w:p>
    <w:p w14:paraId="437880D0">
      <w:pPr>
        <w:pStyle w:val="11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  <w:lang w:val="en-US" w:eastAsia="zh-CN"/>
        </w:rPr>
        <w:t>4.</w:t>
      </w:r>
      <w:r>
        <w:rPr>
          <w:rFonts w:hint="default" w:ascii="Times New Roman" w:hAnsi="Times New Roman" w:eastAsia="仿宋_GB2312" w:cs="Times New Roman"/>
          <w:b w:val="0"/>
          <w:bCs w:val="0"/>
        </w:rPr>
        <w:t>绩效评价的范围</w:t>
      </w:r>
    </w:p>
    <w:p w14:paraId="147739A9">
      <w:pPr>
        <w:pStyle w:val="11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本项目预算绩效评价报告的评价范围广泛而全面，涵盖了从项目立项至评价时点期间的所有关键预算活动和财务流程。具体而言，评价范围包括但不限于以下几个方面：</w:t>
      </w:r>
    </w:p>
    <w:p w14:paraId="75BFBD2F">
      <w:pPr>
        <w:pStyle w:val="11"/>
        <w:widowControl w:val="0"/>
        <w:numPr>
          <w:ilvl w:val="0"/>
          <w:numId w:val="1"/>
        </w:numPr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项目预算编制与执行：全面审视项目预算的编制依据、合理性、科学性以及实际执行情况，包括预算调整的原因和效果。</w:t>
      </w:r>
    </w:p>
    <w:p w14:paraId="78E62BEA">
      <w:pPr>
        <w:pStyle w:val="11"/>
        <w:widowControl w:val="0"/>
        <w:numPr>
          <w:ilvl w:val="0"/>
          <w:numId w:val="1"/>
        </w:numPr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资金管理：深入分析项目资金的分配、使用和监管情况，确保资金使用的合规性、高效性和透明度。</w:t>
      </w:r>
    </w:p>
    <w:p w14:paraId="21D10C8A">
      <w:pPr>
        <w:pStyle w:val="11"/>
        <w:widowControl w:val="0"/>
        <w:numPr>
          <w:ilvl w:val="0"/>
          <w:numId w:val="1"/>
        </w:numPr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项目实施进度与产出：评估项目是否按照既定计划顺利推进，各项任务是否按时完成，以及项目产出的数量、质量和时效性是否符合预期。</w:t>
      </w:r>
    </w:p>
    <w:p w14:paraId="4852B232">
      <w:pPr>
        <w:pStyle w:val="11"/>
        <w:widowControl w:val="0"/>
        <w:numPr>
          <w:ilvl w:val="0"/>
          <w:numId w:val="1"/>
        </w:numPr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社会影响：考察项目对社会等方面的综合影响。</w:t>
      </w:r>
    </w:p>
    <w:p w14:paraId="4DB53D49">
      <w:pPr>
        <w:spacing w:line="560" w:lineRule="exact"/>
        <w:ind w:firstLine="643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（二）绩效评价原则、评价指标体系（详情见表1）、评价方法、评价标准。</w:t>
      </w:r>
    </w:p>
    <w:p w14:paraId="66A4734D">
      <w:pPr>
        <w:pStyle w:val="11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1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 w:val="0"/>
          <w:bCs w:val="0"/>
        </w:rPr>
        <w:t>绩效评价原则</w:t>
      </w:r>
    </w:p>
    <w:p w14:paraId="52480133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本次项目绩效评价遵循以下基本原则：</w:t>
      </w:r>
    </w:p>
    <w:p w14:paraId="605D9998">
      <w:pPr>
        <w:pStyle w:val="11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（1）科学公正。绩效评价应当运用科学合理的方法，按照规范的程序，对项目绩效进行客观、公正</w:t>
      </w:r>
      <w:r>
        <w:rPr>
          <w:rFonts w:hint="eastAsia" w:ascii="Times New Roman" w:hAnsi="Times New Roman" w:eastAsia="仿宋_GB2312" w:cs="Times New Roman"/>
          <w:b w:val="0"/>
          <w:bCs w:val="0"/>
          <w:lang w:eastAsia="zh-CN"/>
        </w:rPr>
        <w:t>地</w:t>
      </w:r>
      <w:r>
        <w:rPr>
          <w:rFonts w:hint="default" w:ascii="Times New Roman" w:hAnsi="Times New Roman" w:eastAsia="仿宋_GB2312" w:cs="Times New Roman"/>
          <w:b w:val="0"/>
          <w:bCs w:val="0"/>
        </w:rPr>
        <w:t>反映。</w:t>
      </w:r>
    </w:p>
    <w:p w14:paraId="67C1898D">
      <w:pPr>
        <w:pStyle w:val="11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（2）统筹兼顾。单位自评、部门评价和财政评价应职责明确，各有侧重，相互衔接。单位自评应由项目单位自主实施，即“谁支出、谁自评”。部门评价和财政评价应在单位自评的基础上开展。</w:t>
      </w:r>
    </w:p>
    <w:p w14:paraId="1F62977A">
      <w:pPr>
        <w:pStyle w:val="11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（3）激励约束。绩效评价结果应与预算安排、政策调整、改进管理实质性挂钩，体现奖优罚劣和激励相容导向，有效要安排、低效要</w:t>
      </w:r>
      <w:r>
        <w:rPr>
          <w:rFonts w:hint="eastAsia" w:ascii="Times New Roman" w:hAnsi="Times New Roman" w:eastAsia="仿宋_GB2312" w:cs="Times New Roman"/>
          <w:b w:val="0"/>
          <w:bCs w:val="0"/>
          <w:lang w:eastAsia="zh-CN"/>
        </w:rPr>
        <w:t>调减</w:t>
      </w:r>
      <w:r>
        <w:rPr>
          <w:rFonts w:hint="default" w:ascii="Times New Roman" w:hAnsi="Times New Roman" w:eastAsia="仿宋_GB2312" w:cs="Times New Roman"/>
          <w:b w:val="0"/>
          <w:bCs w:val="0"/>
        </w:rPr>
        <w:t>、无效要问责。</w:t>
      </w:r>
    </w:p>
    <w:p w14:paraId="21D4B18F">
      <w:pPr>
        <w:pStyle w:val="11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（4）公开透明。绩效评价结果应依法依规公开，并自觉接受社会监督。</w:t>
      </w:r>
    </w:p>
    <w:p w14:paraId="2885662C">
      <w:pPr>
        <w:pStyle w:val="11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2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 w:val="0"/>
          <w:bCs w:val="0"/>
        </w:rPr>
        <w:t>评价指标体系</w:t>
      </w:r>
    </w:p>
    <w:p w14:paraId="41E01D2D">
      <w:pPr>
        <w:spacing w:line="560" w:lineRule="exact"/>
        <w:ind w:firstLine="708" w:firstLineChars="200"/>
        <w:rPr>
          <w:rFonts w:hint="default" w:ascii="Times New Roman" w:hAnsi="Times New Roman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绩效评价框架是开展绩效评价的核心。绩效评价框架包括评价准则、关键评价问题、评价指标、数据来源、数据收集方法等。指标体系建立过程如下：</w:t>
      </w:r>
    </w:p>
    <w:p w14:paraId="5E6AD10F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（1）确定评价指标</w:t>
      </w:r>
    </w:p>
    <w:p w14:paraId="1A3021AA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采用层次分析法，建立评价指标体系。绩效评价将指标分为项目决策指标、项目过程指标、项目产出指标、项目效益指标四个维度，最终形成一个由多个相互联系的指标组成的多层次指标体系。</w:t>
      </w:r>
    </w:p>
    <w:p w14:paraId="34A35A73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（2）确定权重</w:t>
      </w:r>
    </w:p>
    <w:p w14:paraId="29CEDE7D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FF0000"/>
          <w:spacing w:val="17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确定各个指标相对于项目总体绩效的权重分值。在绩效评价指标体系中，项目决策权重为20分，项目过程权重为20分，项目产出权重为40分，项目效益权重为20分。</w:t>
      </w:r>
    </w:p>
    <w:p w14:paraId="74DF6E05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（3）确定指标标准值</w:t>
      </w:r>
    </w:p>
    <w:p w14:paraId="3F83228E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指标标准值是绩效评价指标的尺度，既要反映同类项目的先进水平，又要符合项目的实际绩效水平。具体采用计划标准等确定此次绩效评价指标标准值。</w:t>
      </w:r>
    </w:p>
    <w:p w14:paraId="1E44647D">
      <w:pPr>
        <w:pStyle w:val="11"/>
        <w:spacing w:before="0" w:after="0" w:line="560" w:lineRule="exact"/>
        <w:ind w:firstLine="708" w:firstLineChars="200"/>
        <w:jc w:val="both"/>
        <w:rPr>
          <w:rFonts w:hint="default" w:ascii="Times New Roman" w:hAnsi="Times New Roman" w:eastAsia="仿宋_GB2312" w:cs="Times New Roman"/>
          <w:b w:val="0"/>
          <w:bCs w:val="0"/>
          <w:color w:val="000000"/>
          <w:spacing w:val="17"/>
          <w:kern w:val="2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17"/>
          <w:kern w:val="2"/>
        </w:rPr>
        <w:t>绩效评价总分值100分，根据综合评分结果，90（含）-100分为优、80（含）-90分为良、60（含）-80分为中、60分以下为差。</w:t>
      </w:r>
    </w:p>
    <w:p w14:paraId="73B50C50">
      <w:pPr>
        <w:pStyle w:val="11"/>
        <w:widowControl w:val="0"/>
        <w:spacing w:before="0" w:after="0" w:line="560" w:lineRule="exact"/>
        <w:ind w:firstLine="708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000000"/>
          <w:spacing w:val="17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17"/>
        </w:rPr>
        <w:t>具体评价指标体系详情见附件1</w:t>
      </w:r>
    </w:p>
    <w:p w14:paraId="12FBC7CF">
      <w:pPr>
        <w:pStyle w:val="11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3</w:t>
      </w:r>
      <w:r>
        <w:rPr>
          <w:rFonts w:hint="default" w:ascii="Times New Roman" w:hAnsi="Times New Roman" w:eastAsia="仿宋_GB2312" w:cs="Times New Roman"/>
          <w:b w:val="0"/>
          <w:bCs w:val="0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 w:val="0"/>
          <w:bCs w:val="0"/>
        </w:rPr>
        <w:t>绩效评价方法</w:t>
      </w:r>
    </w:p>
    <w:p w14:paraId="0C22AF40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绩效评价从项目决策、项目过程、项目产出、项目效益四个维度进行评价。评价对象为项目目标实施情况，  评价核心为资金的支出完成情况和项目的产出效益。</w:t>
      </w:r>
    </w:p>
    <w:p w14:paraId="3F2316FF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本次评价指标中，既有定性指标又有定量指标，各类指标因考核内容不同和客观标准不同存在较大差异，因此核定具体指标时采用了不同方法，具体评价方法如下：</w:t>
      </w:r>
    </w:p>
    <w:p w14:paraId="7D84FC7C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  <w:highlight w:val="none"/>
        </w:rPr>
        <w:t xml:space="preserve">（一）成本效益分析法。是指将投入与产出、效益进行关联性分析的方法。 </w:t>
      </w:r>
      <w:r>
        <w:rPr>
          <w:rFonts w:hint="eastAsia" w:eastAsia="仿宋_GB2312" w:cs="Times New Roman"/>
          <w:color w:val="000000"/>
          <w:spacing w:val="17"/>
          <w:sz w:val="32"/>
          <w:szCs w:val="32"/>
          <w:highlight w:val="none"/>
          <w:lang w:val="en-US" w:eastAsia="zh-CN"/>
        </w:rPr>
        <w:t>该项目成本</w:t>
      </w: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  <w:highlight w:val="none"/>
        </w:rPr>
        <w:t>包括硬件设备采购，如服务器、网络设备、高清摄像机等</w:t>
      </w:r>
      <w:r>
        <w:rPr>
          <w:rFonts w:hint="eastAsia" w:eastAsia="仿宋_GB2312" w:cs="Times New Roman"/>
          <w:color w:val="000000"/>
          <w:spacing w:val="17"/>
          <w:sz w:val="32"/>
          <w:szCs w:val="32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  <w:highlight w:val="none"/>
        </w:rPr>
        <w:t>还有基础设施建设，像网络改造等费用。</w:t>
      </w:r>
      <w:r>
        <w:rPr>
          <w:rFonts w:hint="eastAsia" w:eastAsia="仿宋_GB2312" w:cs="Times New Roman"/>
          <w:color w:val="000000"/>
          <w:spacing w:val="17"/>
          <w:sz w:val="32"/>
          <w:szCs w:val="32"/>
          <w:highlight w:val="none"/>
          <w:lang w:val="en-US" w:eastAsia="zh-CN"/>
        </w:rPr>
        <w:t>还</w:t>
      </w: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  <w:highlight w:val="none"/>
        </w:rPr>
        <w:t>涵盖设备维护保养费用、能源消耗费用等。随着技术更新，还需考虑系统升级与技术培训成本。</w:t>
      </w:r>
      <w:r>
        <w:rPr>
          <w:rFonts w:hint="eastAsia" w:eastAsia="仿宋_GB2312" w:cs="Times New Roman"/>
          <w:color w:val="000000"/>
          <w:spacing w:val="17"/>
          <w:sz w:val="32"/>
          <w:szCs w:val="32"/>
          <w:highlight w:val="none"/>
          <w:lang w:val="en-US" w:eastAsia="zh-CN"/>
        </w:rPr>
        <w:t>但项目的开展</w:t>
      </w: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  <w:highlight w:val="none"/>
        </w:rPr>
        <w:t>能提升公共文化服务水平，让更多人便捷地获取优质文化内容，促进文化传播与传承。借助应急广播等功能，可提高政府应急信息传播效率，保障社会安全。此外，项目建设能带动相关产业发展，创造就业机会，推动地方经济发展。通过增加用户数量和提高用户付费意愿来实现收入增长，包括有线电视费、增值业务收入等。还可通过产业协同发展，如与电商、旅游等行业合作，拓展盈利渠道。同时，项目可提高运营效率，降低管理成本，如通过智能管理系统减少人力投入。</w:t>
      </w:r>
    </w:p>
    <w:p w14:paraId="65B133E3">
      <w:pPr>
        <w:spacing w:line="560" w:lineRule="exact"/>
        <w:ind w:firstLine="708" w:firstLineChars="200"/>
        <w:rPr>
          <w:rFonts w:eastAsia="仿宋_GB2312"/>
          <w:color w:val="auto"/>
          <w:spacing w:val="17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  <w:highlight w:val="none"/>
        </w:rPr>
        <w:t>（</w:t>
      </w:r>
      <w:r>
        <w:rPr>
          <w:rFonts w:hint="eastAsia" w:eastAsia="仿宋_GB2312" w:cs="Times New Roman"/>
          <w:color w:val="000000"/>
          <w:spacing w:val="17"/>
          <w:sz w:val="32"/>
          <w:szCs w:val="32"/>
          <w:highlight w:val="none"/>
          <w:lang w:val="en-US" w:eastAsia="zh-CN"/>
        </w:rPr>
        <w:t>二</w:t>
      </w: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  <w:highlight w:val="none"/>
        </w:rPr>
        <w:t>）公众评判法。是指通过专家评估、公众问卷及抽样调查等方式进行评判的方法。</w:t>
      </w:r>
      <w:r>
        <w:rPr>
          <w:rFonts w:hint="eastAsia" w:eastAsia="仿宋_GB2312" w:cs="Times New Roman"/>
          <w:color w:val="000000"/>
          <w:spacing w:val="17"/>
          <w:sz w:val="32"/>
          <w:szCs w:val="32"/>
          <w:highlight w:val="none"/>
          <w:lang w:val="en-US" w:eastAsia="zh-CN"/>
        </w:rPr>
        <w:t>我单位</w:t>
      </w: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  <w:highlight w:val="none"/>
        </w:rPr>
        <w:t>邀请公众参与智慧广电项目的部分评估工作，如参与节目内容评选、功能测试等活动。让公众直接参与到项目的评估过程中，不仅能获取他们的专业意见，还能增强公众对项目的认同感和参与感。</w:t>
      </w:r>
      <w:r>
        <w:rPr>
          <w:rFonts w:hint="eastAsia" w:eastAsia="仿宋_GB2312"/>
          <w:color w:val="auto"/>
          <w:spacing w:val="17"/>
          <w:sz w:val="32"/>
          <w:szCs w:val="32"/>
          <w:highlight w:val="none"/>
        </w:rPr>
        <w:t>我单位对收集到的公众意见和评价进行整理、统计和分析，总结出公众对</w:t>
      </w:r>
      <w:r>
        <w:rPr>
          <w:rFonts w:hint="eastAsia" w:eastAsia="仿宋_GB2312"/>
          <w:color w:val="auto"/>
          <w:spacing w:val="17"/>
          <w:sz w:val="32"/>
          <w:szCs w:val="32"/>
          <w:highlight w:val="none"/>
          <w:lang w:val="en-US" w:eastAsia="zh-CN"/>
        </w:rPr>
        <w:t>此</w:t>
      </w:r>
      <w:r>
        <w:rPr>
          <w:rFonts w:hint="eastAsia" w:eastAsia="仿宋_GB2312"/>
          <w:color w:val="auto"/>
          <w:spacing w:val="17"/>
          <w:sz w:val="32"/>
          <w:szCs w:val="32"/>
          <w:highlight w:val="none"/>
        </w:rPr>
        <w:t>项目的认可程度、存在的问题及改进方向。将分析结果用于项目的调整和改进，以提高项目的实施效果和公众满意度，更好地满足群众广播电视需求，促进</w:t>
      </w:r>
      <w:r>
        <w:rPr>
          <w:rFonts w:hint="eastAsia" w:eastAsia="仿宋_GB2312"/>
          <w:color w:val="auto"/>
          <w:spacing w:val="17"/>
          <w:sz w:val="32"/>
          <w:szCs w:val="32"/>
          <w:highlight w:val="none"/>
          <w:lang w:val="en-US" w:eastAsia="zh-CN"/>
        </w:rPr>
        <w:t>文化</w:t>
      </w:r>
      <w:r>
        <w:rPr>
          <w:rFonts w:hint="eastAsia" w:eastAsia="仿宋_GB2312"/>
          <w:color w:val="auto"/>
          <w:spacing w:val="17"/>
          <w:sz w:val="32"/>
          <w:szCs w:val="32"/>
          <w:highlight w:val="none"/>
        </w:rPr>
        <w:t>事业的发展。</w:t>
      </w:r>
    </w:p>
    <w:p w14:paraId="0EC0B9AC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  <w:highlight w:val="none"/>
        </w:rPr>
      </w:pPr>
    </w:p>
    <w:p w14:paraId="1FE83A7B">
      <w:pPr>
        <w:pStyle w:val="11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4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 w:val="0"/>
          <w:bCs w:val="0"/>
        </w:rPr>
        <w:t>评价标准</w:t>
      </w:r>
    </w:p>
    <w:p w14:paraId="7C1BBA69">
      <w:pPr>
        <w:pStyle w:val="11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绩效评价标准通常包括计划标准、行业标准、历史标准等，用于对绩效指标完成情况进行比较、分析、评价。本次评价主要采用了计划标准。</w:t>
      </w:r>
    </w:p>
    <w:p w14:paraId="13AF355B">
      <w:pPr>
        <w:pStyle w:val="11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  <w:lang w:eastAsia="zh-CN"/>
        </w:rPr>
        <w:t>（</w:t>
      </w:r>
      <w:r>
        <w:rPr>
          <w:rFonts w:hint="default" w:ascii="Times New Roman" w:hAnsi="Times New Roman" w:eastAsia="仿宋_GB2312" w:cs="Times New Roman"/>
          <w:b w:val="0"/>
          <w:bCs w:val="0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b w:val="0"/>
          <w:bCs w:val="0"/>
          <w:lang w:eastAsia="zh-CN"/>
        </w:rPr>
        <w:t>）</w:t>
      </w:r>
      <w:r>
        <w:rPr>
          <w:rFonts w:hint="default" w:ascii="Times New Roman" w:hAnsi="Times New Roman" w:eastAsia="仿宋_GB2312" w:cs="Times New Roman"/>
          <w:b w:val="0"/>
          <w:bCs w:val="0"/>
        </w:rPr>
        <w:t>计划标准。指以预先制定的目标、计划、预算、定额等作为评价标准。</w:t>
      </w:r>
      <w:r>
        <w:rPr>
          <w:rFonts w:hint="eastAsia" w:ascii="Times New Roman" w:hAnsi="Times New Roman" w:eastAsia="仿宋_GB2312"/>
          <w:b w:val="0"/>
          <w:bCs w:val="0"/>
          <w:color w:val="auto"/>
          <w:highlight w:val="none"/>
        </w:rPr>
        <w:t>通过明确该项目的各类计划，可以为</w:t>
      </w:r>
      <w:r>
        <w:rPr>
          <w:rFonts w:hint="eastAsia" w:ascii="Times New Roman" w:hAnsi="Times New Roman" w:eastAsia="仿宋_GB2312"/>
          <w:b w:val="0"/>
          <w:bCs w:val="0"/>
          <w:color w:val="auto"/>
          <w:highlight w:val="none"/>
          <w:lang w:val="en-US" w:eastAsia="zh-CN"/>
        </w:rPr>
        <w:t>该</w:t>
      </w:r>
      <w:r>
        <w:rPr>
          <w:rFonts w:hint="eastAsia" w:ascii="Times New Roman" w:hAnsi="Times New Roman" w:eastAsia="仿宋_GB2312"/>
          <w:b w:val="0"/>
          <w:bCs w:val="0"/>
          <w:color w:val="auto"/>
          <w:highlight w:val="none"/>
        </w:rPr>
        <w:t>项目的实施提供具体的指导和依据，确保项目能够达到预期的目标和效果。</w:t>
      </w:r>
    </w:p>
    <w:p w14:paraId="2026C955">
      <w:pPr>
        <w:pStyle w:val="11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  <w:lang w:eastAsia="zh-CN"/>
        </w:rPr>
        <w:t>（</w:t>
      </w:r>
      <w:r>
        <w:rPr>
          <w:rFonts w:hint="default" w:ascii="Times New Roman" w:hAnsi="Times New Roman" w:eastAsia="仿宋_GB2312" w:cs="Times New Roman"/>
          <w:b w:val="0"/>
          <w:bCs w:val="0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b w:val="0"/>
          <w:bCs w:val="0"/>
          <w:lang w:eastAsia="zh-CN"/>
        </w:rPr>
        <w:t>）</w:t>
      </w:r>
      <w:r>
        <w:rPr>
          <w:rFonts w:hint="default" w:ascii="Times New Roman" w:hAnsi="Times New Roman" w:eastAsia="仿宋_GB2312" w:cs="Times New Roman"/>
          <w:b w:val="0"/>
          <w:bCs w:val="0"/>
        </w:rPr>
        <w:t>行业标准。指参照国家公布的行业指标数据制定的评价标准。</w:t>
      </w:r>
    </w:p>
    <w:p w14:paraId="07CE1DD8">
      <w:pPr>
        <w:pStyle w:val="11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  <w:lang w:eastAsia="zh-CN"/>
        </w:rPr>
        <w:t>（</w:t>
      </w:r>
      <w:r>
        <w:rPr>
          <w:rFonts w:hint="default" w:ascii="Times New Roman" w:hAnsi="Times New Roman" w:eastAsia="仿宋_GB2312" w:cs="Times New Roman"/>
          <w:b w:val="0"/>
          <w:bCs w:val="0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b w:val="0"/>
          <w:bCs w:val="0"/>
          <w:lang w:eastAsia="zh-CN"/>
        </w:rPr>
        <w:t>）</w:t>
      </w:r>
      <w:r>
        <w:rPr>
          <w:rFonts w:hint="default" w:ascii="Times New Roman" w:hAnsi="Times New Roman" w:eastAsia="仿宋_GB2312" w:cs="Times New Roman"/>
          <w:b w:val="0"/>
          <w:bCs w:val="0"/>
        </w:rPr>
        <w:t>历史标准。指参照历史数据制定的评价标准，为体现绩效改进的原则，在可实现的条件下应当确定相对较高的评价标准。</w:t>
      </w:r>
    </w:p>
    <w:p w14:paraId="4BD37603">
      <w:pPr>
        <w:pStyle w:val="11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  <w:lang w:eastAsia="zh-CN"/>
        </w:rPr>
        <w:t>（</w:t>
      </w:r>
      <w:r>
        <w:rPr>
          <w:rFonts w:hint="default" w:ascii="Times New Roman" w:hAnsi="Times New Roman" w:eastAsia="仿宋_GB2312" w:cs="Times New Roman"/>
          <w:b w:val="0"/>
          <w:bCs w:val="0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b w:val="0"/>
          <w:bCs w:val="0"/>
          <w:lang w:eastAsia="zh-CN"/>
        </w:rPr>
        <w:t>）</w:t>
      </w:r>
      <w:r>
        <w:rPr>
          <w:rFonts w:hint="default" w:ascii="Times New Roman" w:hAnsi="Times New Roman" w:eastAsia="仿宋_GB2312" w:cs="Times New Roman"/>
          <w:b w:val="0"/>
          <w:bCs w:val="0"/>
        </w:rPr>
        <w:t>财政部门和预算部门确认或认可的其他标准。</w:t>
      </w:r>
    </w:p>
    <w:p w14:paraId="0EF4ACAE">
      <w:pPr>
        <w:pStyle w:val="11"/>
        <w:numPr>
          <w:ilvl w:val="0"/>
          <w:numId w:val="2"/>
        </w:numPr>
        <w:spacing w:before="0" w:after="0" w:line="560" w:lineRule="exact"/>
        <w:ind w:firstLine="711" w:firstLineChars="200"/>
        <w:jc w:val="both"/>
        <w:rPr>
          <w:rFonts w:hint="default" w:ascii="Times New Roman" w:hAnsi="Times New Roman" w:eastAsia="楷体" w:cs="Times New Roman"/>
          <w:color w:val="000000"/>
          <w:spacing w:val="17"/>
        </w:rPr>
      </w:pPr>
      <w:r>
        <w:rPr>
          <w:rFonts w:hint="default" w:ascii="Times New Roman" w:hAnsi="Times New Roman" w:eastAsia="楷体" w:cs="Times New Roman"/>
          <w:color w:val="000000"/>
          <w:spacing w:val="17"/>
        </w:rPr>
        <w:t>绩效评价工作过程</w:t>
      </w:r>
    </w:p>
    <w:p w14:paraId="7FD923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前期准备与规划</w:t>
      </w:r>
    </w:p>
    <w:p w14:paraId="28D446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在项目绩效评价工作启动之初，成立了专门的评价工作小组，小组成员由财务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专干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、项目管理专业人员及相关领域技术骨干组成，确保从多角度、全方位对项目绩效进行评价。同时，明确了评价工作的目标、范围、重点及时间安排，制定了详细的工作计划，为评价工作的顺利开展奠定了坚实基础。</w:t>
      </w:r>
    </w:p>
    <w:p w14:paraId="770CD1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）指标体系构建</w:t>
      </w:r>
    </w:p>
    <w:p w14:paraId="3ECDB3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依据项目的性质、目标以及预期成果，构建了科学合理的绩效评价指标体系。该指标体系涵盖了</w:t>
      </w:r>
      <w:r>
        <w:rPr>
          <w:rFonts w:hint="default" w:ascii="Times New Roman" w:hAnsi="Times New Roman" w:eastAsia="仿宋_GB2312" w:cs="Times New Roman"/>
          <w:color w:val="auto"/>
          <w:spacing w:val="17"/>
          <w:sz w:val="32"/>
          <w:szCs w:val="32"/>
          <w:highlight w:val="none"/>
        </w:rPr>
        <w:t>项目决策、项目过程、项目产出、项目效益四个维度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，选取了具有代表性和可衡量性的关键指标，并为每个指标设定了明确的评价标准与权重，确保评价结果能够全面、准确地反映项目的绩效状况。</w:t>
      </w:r>
    </w:p>
    <w:p w14:paraId="5B7FAA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）数据收集与整理</w:t>
      </w:r>
    </w:p>
    <w:p w14:paraId="194BAB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广泛收集与项目相关的各类数据，包括财务报表、项目文档、业务数据、用户反馈等。在数据收集过程中，注重数据的质量与完整性，对缺失或异常的数据进行了合理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地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处理和补充。随后，对收集到的数据进行了系统的整理与分类，为后续的数据分析提供了有力支持。</w:t>
      </w:r>
    </w:p>
    <w:p w14:paraId="32AA74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）数据分析与评估</w:t>
      </w:r>
    </w:p>
    <w:p w14:paraId="4C8D83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对收集到的数据进行了深入挖掘与分析。通过对各项绩效指标的实际完成情况与预期目标进行对比，计算出指标的达成率，并结合指标权重进行综合评分，从而得出项目的整体绩效评价结果。在分析过程中，注重数据之间的关联性与逻辑性，深入剖析项目绩效背后的原因，识别出项目实施过程中的优势与不足，为提出有针对性的改进建议提供了依据。</w:t>
      </w:r>
    </w:p>
    <w:p w14:paraId="651F99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）报告撰写与反馈</w:t>
      </w:r>
    </w:p>
    <w:p w14:paraId="4F3EBC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根据数据分析与评估的结果，按照统一的格式和规范撰写项目预算绩效评价报告。报告内容包括项目背景、评价目的、评价指标体系、数据收集与分析方法、绩效评价结果、存在问题与改进建议等多个部分，力求条理清晰、重点突出、语言简洁明了。在报告撰写完成后，及时向项目实施主体及相关利益相关者进行反馈，充分听取各方意见与建议，对报告内容进行进一步的完善与优化，确保评价报告的质量与实用性。</w:t>
      </w:r>
    </w:p>
    <w:p w14:paraId="0FD445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）后续跟踪与改进</w:t>
      </w:r>
    </w:p>
    <w:p w14:paraId="424325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green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在评价报告提交后，我们将持续跟踪项目的改进措施落实情况，定期对项目绩效进行复查与评估，确保项目能够根据评价结果及时调整与优化，实现绩效的持续提升。同时，根据项目实施过程中出现的新情况、新问题，适时调整绩效评价指标体系与方法，保持评价工作的适应性与前瞻性，为项目的长期稳定发展提供有力保障。</w:t>
      </w:r>
    </w:p>
    <w:p w14:paraId="7B3AE411">
      <w:pPr>
        <w:numPr>
          <w:ilvl w:val="0"/>
          <w:numId w:val="3"/>
        </w:numPr>
        <w:spacing w:line="56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综合评价情况及评价结论（附相关评分表）</w:t>
      </w:r>
    </w:p>
    <w:p w14:paraId="77EB3EC0"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jc w:val="both"/>
        <w:textAlignment w:val="auto"/>
        <w:rPr>
          <w:rFonts w:hint="default" w:ascii="Times New Roman" w:hAnsi="Times New Roman" w:eastAsia="楷体_GB2312" w:cs="Times New Roman"/>
          <w:lang w:val="en-US" w:eastAsia="zh-CN"/>
        </w:rPr>
      </w:pPr>
      <w:r>
        <w:rPr>
          <w:rFonts w:hint="default" w:ascii="Times New Roman" w:hAnsi="Times New Roman" w:eastAsia="楷体_GB2312" w:cs="Times New Roman"/>
          <w:lang w:eastAsia="zh-CN"/>
        </w:rPr>
        <w:t>（</w:t>
      </w:r>
      <w:r>
        <w:rPr>
          <w:rFonts w:hint="default" w:ascii="Times New Roman" w:hAnsi="Times New Roman" w:eastAsia="楷体_GB2312" w:cs="Times New Roman"/>
          <w:lang w:val="en-US" w:eastAsia="zh-CN"/>
        </w:rPr>
        <w:t>一</w:t>
      </w:r>
      <w:r>
        <w:rPr>
          <w:rFonts w:hint="default" w:ascii="Times New Roman" w:hAnsi="Times New Roman" w:eastAsia="楷体_GB2312" w:cs="Times New Roman"/>
          <w:lang w:eastAsia="zh-CN"/>
        </w:rPr>
        <w:t>）</w:t>
      </w:r>
      <w:r>
        <w:rPr>
          <w:rFonts w:hint="default" w:ascii="Times New Roman" w:hAnsi="Times New Roman" w:eastAsia="楷体_GB2312" w:cs="Times New Roman"/>
          <w:lang w:val="en-US" w:eastAsia="zh-CN"/>
        </w:rPr>
        <w:t>评价情况</w:t>
      </w:r>
    </w:p>
    <w:p w14:paraId="5367A1C0">
      <w:pPr>
        <w:pStyle w:val="10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本项目的综合评价基于对项目各方面绩效的深入分析与评估。从项目目标的达成情况来看，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2023年文化保护传承利用工程（第一批）中央基建投资项目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在让托里县当地群众及时收听到各级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党委、政府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的声音、收看到内容丰富的电视节目等方面表现出色，达到了预期的标准与要求。同时，项目也在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广播电视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领域取得了显著的成效，如极大丰富托里县当地群众文化生活、收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看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内容丰富的电视节目等。</w:t>
      </w:r>
    </w:p>
    <w:p w14:paraId="6CC9B853">
      <w:pPr>
        <w:pStyle w:val="10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在项目管理方面，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托里县文旅局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通过有效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地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规划、组织与协调，项目得以顺利实施，并在预算与时间上保持了良好的控制。</w:t>
      </w:r>
    </w:p>
    <w:p w14:paraId="03103D42">
      <w:pPr>
        <w:pStyle w:val="10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从项目效益的角度来看，本项目不仅实现了预期的社会效益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等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方面产生了积极的影响。具体而言，满足群众广播电视需求等方面的提升，为项目的利益相关者带来了实实在在的利益。</w:t>
      </w:r>
    </w:p>
    <w:p w14:paraId="468D3323">
      <w:pPr>
        <w:pStyle w:val="10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default" w:ascii="Times New Roman" w:hAnsi="Times New Roman" w:cs="Times New Roman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综上所述，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2023年文化保护传承利用工程（第一批）中央基建投资项目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在绩效评价中表现出色，达到了项目的预期目标，并在多个方面取得了显著的成效。</w:t>
      </w:r>
    </w:p>
    <w:p w14:paraId="61509DE1"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jc w:val="both"/>
        <w:textAlignment w:val="auto"/>
        <w:rPr>
          <w:rFonts w:hint="default" w:ascii="Times New Roman" w:hAnsi="Times New Roman" w:eastAsia="楷体_GB2312" w:cs="Times New Roman"/>
          <w:lang w:val="en-US" w:eastAsia="zh-CN"/>
        </w:rPr>
      </w:pPr>
      <w:r>
        <w:rPr>
          <w:rFonts w:hint="default" w:ascii="Times New Roman" w:hAnsi="Times New Roman" w:eastAsia="楷体_GB2312" w:cs="Times New Roman"/>
          <w:lang w:eastAsia="zh-CN"/>
        </w:rPr>
        <w:t>（</w:t>
      </w:r>
      <w:r>
        <w:rPr>
          <w:rFonts w:hint="default" w:ascii="Times New Roman" w:hAnsi="Times New Roman" w:eastAsia="楷体_GB2312" w:cs="Times New Roman"/>
          <w:lang w:val="en-US" w:eastAsia="zh-CN"/>
        </w:rPr>
        <w:t>二</w:t>
      </w:r>
      <w:r>
        <w:rPr>
          <w:rFonts w:hint="default" w:ascii="Times New Roman" w:hAnsi="Times New Roman" w:eastAsia="楷体_GB2312" w:cs="Times New Roman"/>
          <w:lang w:eastAsia="zh-CN"/>
        </w:rPr>
        <w:t>）</w:t>
      </w:r>
      <w:r>
        <w:rPr>
          <w:rFonts w:hint="default" w:ascii="Times New Roman" w:hAnsi="Times New Roman" w:eastAsia="楷体_GB2312" w:cs="Times New Roman"/>
          <w:lang w:val="en-US" w:eastAsia="zh-CN"/>
        </w:rPr>
        <w:t>评价结论</w:t>
      </w:r>
    </w:p>
    <w:p w14:paraId="377D7B76">
      <w:pPr>
        <w:pStyle w:val="11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运用绩效评价组制定的评价指标体系以及财政部《项目支出绩效评价管理办法》（财预〔2020〕10号）文件的评分标准，通过数据采集、问卷调查及访谈等方式，对本项目进行客观评价，最终评分结果：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 xml:space="preserve">总得分为 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99.4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 xml:space="preserve">分，属于“优”。其中，项目决策类指标权重为20分，得分为 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分，得分率为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%。项目过程类指标权重为20分，得分为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19.4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 xml:space="preserve">分，得分率为 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97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%。项目产出类指标权重为40分，得分为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40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 xml:space="preserve">分，得分率为 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%。项目效益类指标权重为20分，得分为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分，得分率为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%。</w:t>
      </w:r>
      <w:r>
        <w:rPr>
          <w:rFonts w:hint="default" w:ascii="Times New Roman" w:hAnsi="Times New Roman" w:eastAsia="仿宋_GB2312" w:cs="Times New Roman"/>
          <w:b w:val="0"/>
          <w:bCs w:val="0"/>
        </w:rPr>
        <w:t>具体打分情况详见：附件1综合评分表</w:t>
      </w:r>
      <w:r>
        <w:rPr>
          <w:rFonts w:hint="default" w:ascii="Times New Roman" w:hAnsi="Times New Roman" w:eastAsia="仿宋_GB2312" w:cs="Times New Roman"/>
          <w:b w:val="0"/>
          <w:bCs w:val="0"/>
          <w:lang w:eastAsia="zh-CN"/>
        </w:rPr>
        <w:t>。</w:t>
      </w:r>
    </w:p>
    <w:p w14:paraId="6919D833"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/>
        <w:textAlignment w:val="auto"/>
        <w:rPr>
          <w:rFonts w:hint="default" w:ascii="Times New Roman" w:hAnsi="Times New Roman" w:eastAsia="仿宋_GB2312" w:cs="Times New Roman"/>
          <w:sz w:val="21"/>
          <w:szCs w:val="21"/>
        </w:rPr>
      </w:pPr>
      <w:r>
        <w:rPr>
          <w:rFonts w:hint="default" w:ascii="Times New Roman" w:hAnsi="Times New Roman" w:eastAsia="仿宋_GB2312" w:cs="Times New Roman"/>
          <w:sz w:val="21"/>
          <w:szCs w:val="21"/>
        </w:rPr>
        <w:t>表1综合评分表</w:t>
      </w:r>
    </w:p>
    <w:tbl>
      <w:tblPr>
        <w:tblStyle w:val="15"/>
        <w:tblW w:w="876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7"/>
        <w:gridCol w:w="1927"/>
        <w:gridCol w:w="2023"/>
        <w:gridCol w:w="2023"/>
      </w:tblGrid>
      <w:tr w14:paraId="714D12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tblHeader/>
          <w:jc w:val="center"/>
        </w:trPr>
        <w:tc>
          <w:tcPr>
            <w:tcW w:w="2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EBEBE" w:themeFill="background1" w:themeFillShade="BF"/>
            <w:vAlign w:val="center"/>
          </w:tcPr>
          <w:p w14:paraId="544C1424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</w:rPr>
              <w:t>一级指标</w:t>
            </w:r>
          </w:p>
        </w:tc>
        <w:tc>
          <w:tcPr>
            <w:tcW w:w="1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EBEBE" w:themeFill="background1" w:themeFillShade="BF"/>
            <w:vAlign w:val="center"/>
          </w:tcPr>
          <w:p w14:paraId="32FB68D4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</w:rPr>
              <w:t>权重分</w:t>
            </w:r>
          </w:p>
        </w:tc>
        <w:tc>
          <w:tcPr>
            <w:tcW w:w="20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EBEBE" w:themeFill="background1" w:themeFillShade="BF"/>
            <w:vAlign w:val="center"/>
          </w:tcPr>
          <w:p w14:paraId="178CC3BD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</w:rPr>
              <w:t>得分</w:t>
            </w:r>
          </w:p>
        </w:tc>
        <w:tc>
          <w:tcPr>
            <w:tcW w:w="20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EBEBE" w:themeFill="background1" w:themeFillShade="BF"/>
            <w:vAlign w:val="center"/>
          </w:tcPr>
          <w:p w14:paraId="6DA3EBD1">
            <w:pPr>
              <w:jc w:val="center"/>
              <w:rPr>
                <w:rFonts w:hint="eastAsia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得分率</w:t>
            </w:r>
          </w:p>
        </w:tc>
      </w:tr>
      <w:tr w14:paraId="620E20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605292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项目决策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202DED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08A122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EAD259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100%</w:t>
            </w:r>
          </w:p>
        </w:tc>
      </w:tr>
      <w:tr w14:paraId="1463FA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9BD534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项目过程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3DCB1E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2388BB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19.4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65119E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97%</w:t>
            </w:r>
          </w:p>
        </w:tc>
      </w:tr>
      <w:tr w14:paraId="6AC202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1E07C8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项目产出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A1629B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CC6A35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DFE711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100%</w:t>
            </w:r>
          </w:p>
        </w:tc>
      </w:tr>
      <w:tr w14:paraId="421001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0BF9DB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项目效益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AC24F2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F8321F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B4AA14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100%</w:t>
            </w:r>
          </w:p>
        </w:tc>
      </w:tr>
      <w:tr w14:paraId="63C3D5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71A1E4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</w:rPr>
              <w:t>合计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40EFD4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57E35D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99.4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97E6CC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99.4%</w:t>
            </w:r>
          </w:p>
        </w:tc>
      </w:tr>
    </w:tbl>
    <w:p w14:paraId="642C22FE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四、绩效评价指标分析</w:t>
      </w:r>
    </w:p>
    <w:p w14:paraId="4FA9E6FF">
      <w:pPr>
        <w:pStyle w:val="11"/>
        <w:spacing w:before="0" w:after="0" w:line="560" w:lineRule="exact"/>
        <w:ind w:firstLine="643" w:firstLineChars="200"/>
        <w:jc w:val="both"/>
        <w:rPr>
          <w:rFonts w:hint="default" w:ascii="Times New Roman" w:hAnsi="Times New Roman" w:eastAsia="楷体_GB2312" w:cs="Times New Roman"/>
        </w:rPr>
      </w:pPr>
      <w:r>
        <w:rPr>
          <w:rFonts w:hint="default" w:ascii="Times New Roman" w:hAnsi="Times New Roman" w:eastAsia="楷体_GB2312" w:cs="Times New Roman"/>
        </w:rPr>
        <w:t>（一）项目决策情况</w:t>
      </w:r>
    </w:p>
    <w:p w14:paraId="04EB5831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yellow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项目决策类指标包括项目立项、绩效目标和资金投入三方面的内容，由6个三级指标构成，权重分值为20分，实际得分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分，得分率为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%。</w:t>
      </w:r>
    </w:p>
    <w:p w14:paraId="7A546971">
      <w:pPr>
        <w:pStyle w:val="20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1.项目立项</w:t>
      </w:r>
    </w:p>
    <w:p w14:paraId="4941AC39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（1）立项依据充分性</w:t>
      </w:r>
    </w:p>
    <w:p w14:paraId="07646D4C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该项目立项符合国家相关法律法规及发展政策，符合行业规划要求，围绕本年度工作重点和工作计划制定经费预算，属于公共财政支持范围。本项目与部门内部其他相关项目不重复。部门发展规划及职能文件等归档完整。</w:t>
      </w:r>
    </w:p>
    <w:p w14:paraId="2A9C36BF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（2）立项程序规范性</w:t>
      </w:r>
    </w:p>
    <w:p w14:paraId="65C238D1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项目申请、设立过程符合相关要求，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Hans"/>
        </w:rPr>
        <w:t>严格按照审批流程准备符合要求的文件、材料；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根据决算依据编制工作计划和经费预算，经过与部门项目分管领导沟通、筛选确定经费预算计划，确定最终预算方案。项目的审批文件、材料符合相关要求，项目事前经过必要的可行性研究、专家论证、风险评估、绩效评估、集体决策，保障了程序的规范性。</w:t>
      </w:r>
    </w:p>
    <w:p w14:paraId="719A623F">
      <w:pPr>
        <w:pStyle w:val="20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2.绩效目标</w:t>
      </w:r>
    </w:p>
    <w:p w14:paraId="58E1FE65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（1）绩效目标合理性</w:t>
      </w:r>
    </w:p>
    <w:p w14:paraId="0A8E8A30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Hans"/>
        </w:rPr>
        <w:t>年初结合实际工作内容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设定绩效目标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Hans"/>
        </w:rPr>
        <w:t>，绩效目标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依据充分，符合客观实际，能反映和考核项目绩效目标与项目实施的相符情况，依据绩效目标设定的绩效指标清晰、细化、可衡量，能反映和考核项目绩效目标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的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细化情况。绩效目标表经过审核，绩效目标与实际工作内容具有相关性，预算与确定的项目投资额相匹配，对项目任务进行了详细分解。项目预期产出效益及效果符合正常的业绩水平。</w:t>
      </w:r>
    </w:p>
    <w:p w14:paraId="3CFBB977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（2）绩效指标明确性</w:t>
      </w:r>
    </w:p>
    <w:p w14:paraId="20AFA347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项目设置了明确的预期产出效益和效果，将绩效目标细化分解为具体的绩效指标，绩效目标与项目目标任务数相对应，绩效目标设定的绩效指标清晰、细化、可衡量。</w:t>
      </w:r>
    </w:p>
    <w:p w14:paraId="76ABFE89">
      <w:pPr>
        <w:pStyle w:val="20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3.资金投入</w:t>
      </w:r>
    </w:p>
    <w:p w14:paraId="7727738C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（1）预算编制科学性</w:t>
      </w:r>
    </w:p>
    <w:p w14:paraId="109443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本项目的预算编制过程严谨、科学，充分体现了精细化管理的要求。预算编制之初，进行了全面的成本估算，确保项目所需的各项资源得到合理的预估与分配。同时，预算编制还紧密结合了项目的特点与实际情况，对不同阶段、不同任务的资金需求进行了详细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地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分析与计算。</w:t>
      </w:r>
    </w:p>
    <w:p w14:paraId="1037045E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在预算编制过程中，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还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注重了成本控制与效益最大化的原则。通过优化资源配置、提高资金使用效率等措施，确保项目在有限的预算内取得最大的经济效益与社会效益。此外，预算编制还充分考虑了风险因素，对可能出现的超支情况进行了预留与规划，以应对项目实施过程中的不确定性。</w:t>
      </w:r>
    </w:p>
    <w:p w14:paraId="362AC86C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（2）资金分配合理性</w:t>
      </w:r>
    </w:p>
    <w:p w14:paraId="5D74DB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本项目的资金分配遵循了公平、公正、透明的原则，确保了项目资源的合理配置与高效利用。在资金分配过程中，我们充分考虑了项目的实际需求与目标，对不同阶段、不同任务的资金进行了科学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地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规划与安排。</w:t>
      </w:r>
    </w:p>
    <w:p w14:paraId="3CDF3D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具体而言，资金分配紧密结合了项目的特点与实际情况，对关键领域与重要环节给予了重点支持。同时，我们也注重了资金的均衡分配，避免了资源浪费与资金闲置。此外，资金分配还充分考虑了风险因素，对可能出现的超支情况进行了预留与调整。</w:t>
      </w:r>
    </w:p>
    <w:p w14:paraId="71B1C9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综上所述，本项目的资金分配是合理的、科学的，既符合项目的实际情况，又满足了资金使用的效益最大化要求。资金分配的合理性为项目的成功实施提供了有力的保障，也为项目的绩效评价奠定了坚实的基础。</w:t>
      </w:r>
    </w:p>
    <w:p w14:paraId="20DD6916">
      <w:pPr>
        <w:pStyle w:val="11"/>
        <w:numPr>
          <w:ilvl w:val="0"/>
          <w:numId w:val="4"/>
        </w:numPr>
        <w:spacing w:before="0" w:after="0" w:line="560" w:lineRule="exact"/>
        <w:ind w:firstLine="643" w:firstLineChars="200"/>
        <w:jc w:val="both"/>
        <w:rPr>
          <w:rFonts w:hint="default" w:ascii="Times New Roman" w:hAnsi="Times New Roman" w:eastAsia="楷体" w:cs="Times New Roman"/>
          <w:highlight w:val="none"/>
        </w:rPr>
      </w:pPr>
      <w:r>
        <w:rPr>
          <w:rFonts w:hint="default" w:ascii="Times New Roman" w:hAnsi="Times New Roman" w:eastAsia="楷体" w:cs="Times New Roman"/>
          <w:highlight w:val="none"/>
        </w:rPr>
        <w:t>项目过程情况</w:t>
      </w:r>
    </w:p>
    <w:p w14:paraId="7786359C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项目过程类指标包括资金管理和组织实施两方面的内容，由5个三级指标构成，权重分值为20分，实际得分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19.4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分，得分率为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97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%。</w:t>
      </w:r>
    </w:p>
    <w:p w14:paraId="65E04320">
      <w:pPr>
        <w:pStyle w:val="20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  <w:lang w:val="en-US" w:eastAsia="zh-CN"/>
        </w:rPr>
        <w:t>1.资金管理</w:t>
      </w:r>
    </w:p>
    <w:p w14:paraId="6EFD15E3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（1）资金到位率</w:t>
      </w:r>
    </w:p>
    <w:p w14:paraId="04B12B4A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本项目总投资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800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万元，财政资金及时足额到位，到位率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%，预算资金按计划进度执行。</w:t>
      </w:r>
    </w:p>
    <w:p w14:paraId="3DC38FAD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（2）预算执行率</w:t>
      </w:r>
    </w:p>
    <w:p w14:paraId="2BEF44FE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预算编制较为详细，项目资金支出总体能够按照预算执行，预算资金支出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680.64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万元，预算执行率为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85.08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%。</w:t>
      </w:r>
    </w:p>
    <w:p w14:paraId="0485ADE8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（3）资金使用合规性</w:t>
      </w:r>
    </w:p>
    <w:p w14:paraId="2D2009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本项目的资金使用严格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遵循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国家相关法律法规与财务制度，确保了资金的合规性与安全性。在资金使用过程中，我们建立了完善的财务管理体系，对资金的流动进行了全程监控与记录。</w:t>
      </w:r>
    </w:p>
    <w:p w14:paraId="7F19C4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具体而言，资金使用坚持了专款专用的原则，确保了项目资金不被挪用或截留。同时，我们还加强了对资金使用的审计与监督，定期对财务收支进行自查与自纠，及时发现并纠正可能存在的问题。此外，资金使用还充分考虑了成本效益原则，通过优化资源配置、提高资金使用效率等措施，确保了项目资金的最大化利用。</w:t>
      </w:r>
    </w:p>
    <w:p w14:paraId="2AC243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综上所述，本项目的资金使用是合规的、安全的，既符合国家相关法律法规与财务制度的要求，又满足了项目实施的实际需要。资金使用的合规性为项目的成功实施提供了有力的保障，也为项目的绩效评价奠定了坚实的基础。</w:t>
      </w:r>
    </w:p>
    <w:p w14:paraId="045345A3">
      <w:pPr>
        <w:pStyle w:val="20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  <w:lang w:val="en-US" w:eastAsia="zh-CN"/>
        </w:rPr>
        <w:t>2.组织实施</w:t>
      </w:r>
    </w:p>
    <w:p w14:paraId="32636681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（1）管理制度健全性</w:t>
      </w:r>
    </w:p>
    <w:p w14:paraId="5C8151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本项目拥有一套完善、健全的管理制度体系，为项目的成功实施提供了坚实的制度保障。项目管理制度的制定紧密结合了项目的特点与实际情况，涵盖了项目的策划、组织、实施、监控与收尾等各个环节。</w:t>
      </w:r>
    </w:p>
    <w:p w14:paraId="01A0C8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在制度设计上，我们注重了制度的科学性与可操作性，确保制度能够切实指导项目的执行与管理。</w:t>
      </w:r>
    </w:p>
    <w:p w14:paraId="4BF2F8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此外，项目管理制度还充分考虑了风险因素，制定了相应的风险应对措施与预案，以应对项目实施过程中可能出现的各种风险与挑战。管理制度的健全性不仅体现在制度的完善上，还体现在制度的执行与监督上。我们建立了有效的监督机制与反馈机制，对项目的实施情况进行定期检查与评估，及时发现并纠正可能存在的问题。</w:t>
      </w:r>
    </w:p>
    <w:p w14:paraId="006F3BEF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综上所述，本项目的管理制度是健全的、有效的，既符合项目的实际情况，又满足了项目管理的需要。管理制度的健全性为项目的成功实施提供了有力的保障，也为项目的绩效评价奠定了坚实的基础。</w:t>
      </w:r>
    </w:p>
    <w:p w14:paraId="2D64C742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（2）制度执行有效性</w:t>
      </w:r>
    </w:p>
    <w:p w14:paraId="5B1860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本项目在执行过程中，管理制度得到了全面、有效</w:t>
      </w:r>
      <w:r>
        <w:rPr>
          <w:rFonts w:hint="eastAsia" w:eastAsia="仿宋_GB2312" w:cs="Times New Roman"/>
          <w:sz w:val="32"/>
          <w:szCs w:val="32"/>
          <w:lang w:eastAsia="zh-CN"/>
        </w:rPr>
        <w:t>地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落实，为确保项目的顺利实施与目标实现提供了坚实的保障。项目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单位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重视制度执行的重要性，通过明确责任分工、制定详细执行计划、加强监督考核等措施，确保了各项管理制度能够得到有效执行。</w:t>
      </w:r>
    </w:p>
    <w:p w14:paraId="4A9E33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在具体执行过程中，项目团队成员严格按照制度要求进行操作。同时，我们还建立了有效的沟通机制与反馈机制，确保项目信息的及时传递与问题的及时解决，进一步提高了制度执行的效率与效果。</w:t>
      </w:r>
    </w:p>
    <w:p w14:paraId="0A9107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综上所述，本项目的管理制度在执行过程中表现出了高度的有效性，既确保了项目的顺利进行，又实现了项目目标的有效达成。</w:t>
      </w:r>
    </w:p>
    <w:p w14:paraId="0DC28206">
      <w:pPr>
        <w:pStyle w:val="13"/>
        <w:numPr>
          <w:ilvl w:val="0"/>
          <w:numId w:val="4"/>
        </w:numPr>
        <w:spacing w:line="560" w:lineRule="exact"/>
        <w:ind w:firstLine="643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项目产出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情况</w:t>
      </w:r>
    </w:p>
    <w:p w14:paraId="0F9CBAB7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项目产出类指标包括产出数量、产出质量、产出时效、产出成本四方面的内容，由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8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个三级指标构成，权重分为40分，实际得分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40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分，得分率为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%。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具体产出指标完成情况如下：</w:t>
      </w:r>
    </w:p>
    <w:p w14:paraId="093CB676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begin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instrText xml:space="preserve"> = 1 \* GB3 </w:instrTex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separate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①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end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数量指标：</w:t>
      </w:r>
    </w:p>
    <w:p w14:paraId="178B9E75">
      <w:pPr>
        <w:shd w:val="clear"/>
        <w:spacing w:line="600" w:lineRule="exact"/>
        <w:ind w:firstLine="640" w:firstLineChars="200"/>
        <w:outlineLvl w:val="0"/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指标1：铺设光缆公里数，指标值：&gt;=233公里，实际完成值：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233公里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，指标完成率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 xml:space="preserve"> %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。</w:t>
      </w:r>
    </w:p>
    <w:p w14:paraId="639BD1A9">
      <w:pPr>
        <w:shd w:val="clear"/>
        <w:spacing w:line="600" w:lineRule="exact"/>
        <w:ind w:firstLine="640" w:firstLineChars="200"/>
        <w:outlineLvl w:val="0"/>
        <w:rPr>
          <w:rFonts w:hint="eastAsia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：新疆数据网络设备，指标值：&gt;=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2台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，实际完成值：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台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，指标完成率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 xml:space="preserve"> %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。</w:t>
      </w:r>
    </w:p>
    <w:p w14:paraId="37F9B66B">
      <w:pPr>
        <w:pStyle w:val="11"/>
        <w:jc w:val="both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 xml:space="preserve">   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指标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3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：新疆OTN设备，指标值：&gt;=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1套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，实际完成值：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1套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，指标完成率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100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 xml:space="preserve"> %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。</w:t>
      </w:r>
    </w:p>
    <w:p w14:paraId="6A2DEA79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begin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instrText xml:space="preserve"> = 2 \* GB3 </w:instrTex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separate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②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end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质量指标：</w:t>
      </w:r>
    </w:p>
    <w:p w14:paraId="247A9D50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指标1：项目竣工验收合格率，指标值：&gt;=90%，实际完成值：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90%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，指标完成率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 xml:space="preserve"> %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。</w:t>
      </w:r>
    </w:p>
    <w:p w14:paraId="21C69915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begin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instrText xml:space="preserve"> = 3 \* GB3 </w:instrTex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separate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③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end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时效指标：</w:t>
      </w:r>
    </w:p>
    <w:p w14:paraId="578C7DDB">
      <w:pPr>
        <w:shd w:val="clear"/>
        <w:spacing w:line="600" w:lineRule="exact"/>
        <w:ind w:firstLine="640" w:firstLineChars="200"/>
        <w:outlineLvl w:val="0"/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指标1：项目按计划完成时间，指标值：2024年12月28日，实际完成值：2024年12月28日，指标完成率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 xml:space="preserve"> %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。</w:t>
      </w:r>
    </w:p>
    <w:p w14:paraId="0354EBD0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begin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instrText xml:space="preserve"> = 4 \* GB3 </w:instrTex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separate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④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end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成本指标：</w:t>
      </w:r>
    </w:p>
    <w:p w14:paraId="69EC1C72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指标1：项目建设工程款，指标值：&lt;=793.71万元，实际完成值：&lt;=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674.35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万元，指标完成率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84.96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 xml:space="preserve"> %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。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偏差原因分析：剩余资金为质保金。</w:t>
      </w:r>
    </w:p>
    <w:p w14:paraId="7AACE9D3">
      <w:pPr>
        <w:shd w:val="clear"/>
        <w:spacing w:line="600" w:lineRule="exact"/>
        <w:ind w:firstLine="640" w:firstLineChars="200"/>
        <w:outlineLvl w:val="0"/>
        <w:rPr>
          <w:rFonts w:hint="eastAsia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：项目建设设计费，指标值：&lt;=2.45万元，实际完成值：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2.45万元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，指标完成率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 xml:space="preserve"> %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。</w:t>
      </w:r>
    </w:p>
    <w:p w14:paraId="25358230">
      <w:pPr>
        <w:pStyle w:val="11"/>
        <w:jc w:val="both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 xml:space="preserve">   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指标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3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：项目建设监理费，指标值：&lt;=3.84万元，实际完成值：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3.84万元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，指标完成率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100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 xml:space="preserve"> %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。</w:t>
      </w:r>
    </w:p>
    <w:p w14:paraId="0FD5E0CD">
      <w:pPr>
        <w:pStyle w:val="13"/>
        <w:numPr>
          <w:ilvl w:val="0"/>
          <w:numId w:val="4"/>
        </w:numPr>
        <w:spacing w:line="560" w:lineRule="exact"/>
        <w:ind w:firstLine="643"/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项目效益情况</w:t>
      </w:r>
    </w:p>
    <w:p w14:paraId="3043720C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项目效益类指标包括项目实施效益和满意度两方面的内容，由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个三级指标构成，权重分为20分，实际得分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分，得分率为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%。具体效益指标及满意度指标完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成情况如下：</w:t>
      </w:r>
    </w:p>
    <w:p w14:paraId="3CAF5743">
      <w:pPr>
        <w:numPr>
          <w:ilvl w:val="0"/>
          <w:numId w:val="5"/>
        </w:num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实施效益</w:t>
      </w:r>
    </w:p>
    <w:p w14:paraId="5C0C681D">
      <w:pPr>
        <w:numPr>
          <w:ilvl w:val="0"/>
          <w:numId w:val="0"/>
        </w:num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社会效益指标：</w:t>
      </w:r>
    </w:p>
    <w:p w14:paraId="58A16C19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指标1：满足群众广播电视需求，指标值：&gt;=5000人次，实际完成值：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5000人次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，指标完成率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%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。</w:t>
      </w:r>
    </w:p>
    <w:p w14:paraId="44B3E528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2.满意度</w:t>
      </w:r>
    </w:p>
    <w:p w14:paraId="1357DA52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指标1：受益群众满意度，指标值：&gt;=95%，实际完成值：95%，指标完成率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%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。</w:t>
      </w:r>
    </w:p>
    <w:p w14:paraId="1C6B0341">
      <w:pPr>
        <w:spacing w:line="560" w:lineRule="exact"/>
        <w:ind w:firstLine="643" w:firstLineChars="200"/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Hans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（五）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Hans"/>
        </w:rPr>
        <w:t>预算执行进度与绩效指标总体完成率偏差</w:t>
      </w:r>
    </w:p>
    <w:p w14:paraId="41C195B8">
      <w:pPr>
        <w:pStyle w:val="20"/>
        <w:spacing w:line="560" w:lineRule="exact"/>
        <w:ind w:firstLine="640"/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2023年文化保护传承利用工程（第一批）中央基建投资</w:t>
      </w:r>
      <w:r>
        <w:rPr>
          <w:rFonts w:hint="eastAsia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项目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年初预算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800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万元，全年预算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800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万元，实际支出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680.64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万元，预算执行率为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85.08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%，项目绩效指标总体完成率为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98.5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%，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Hans" w:bidi="ar-SA"/>
        </w:rPr>
        <w:t>总体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偏差率为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1.5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%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。偏差原因：剩余未支付部分为质保金。</w:t>
      </w:r>
    </w:p>
    <w:p w14:paraId="0634DB62">
      <w:pPr>
        <w:spacing w:line="560" w:lineRule="exact"/>
        <w:ind w:firstLine="640" w:firstLineChars="200"/>
        <w:rPr>
          <w:rStyle w:val="19"/>
          <w:rFonts w:hint="default" w:ascii="Times New Roman" w:hAnsi="Times New Roman" w:cs="Times New Roman"/>
          <w:color w:val="auto"/>
        </w:rPr>
      </w:pPr>
      <w:r>
        <w:rPr>
          <w:rFonts w:hint="eastAsia" w:eastAsia="黑体" w:cs="Times New Roman"/>
          <w:sz w:val="32"/>
          <w:szCs w:val="32"/>
          <w:lang w:val="en-US" w:eastAsia="zh-CN"/>
        </w:rPr>
        <w:t>五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黑体" w:cs="Times New Roman"/>
          <w:sz w:val="32"/>
          <w:szCs w:val="32"/>
        </w:rPr>
        <w:t>主要经验及做法、存在的问题及原因分析</w:t>
      </w:r>
    </w:p>
    <w:p w14:paraId="3322BF5D">
      <w:pPr>
        <w:spacing w:line="560" w:lineRule="exact"/>
        <w:ind w:firstLine="627" w:firstLineChars="200"/>
        <w:rPr>
          <w:rFonts w:hint="default" w:ascii="Times New Roman" w:hAnsi="Times New Roman" w:eastAsia="楷体" w:cs="Times New Roman"/>
          <w:b/>
          <w:spacing w:val="-4"/>
          <w:sz w:val="32"/>
          <w:szCs w:val="32"/>
        </w:rPr>
      </w:pPr>
      <w:r>
        <w:rPr>
          <w:rFonts w:hint="default" w:ascii="Times New Roman" w:hAnsi="Times New Roman" w:eastAsia="楷体" w:cs="Times New Roman"/>
          <w:b/>
          <w:spacing w:val="-4"/>
          <w:sz w:val="32"/>
          <w:szCs w:val="32"/>
        </w:rPr>
        <w:t>（一）主要经验及做法</w:t>
      </w:r>
    </w:p>
    <w:p w14:paraId="4C71012E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为确保项目顺利进行，提前做好项目规划，将所列计划再三审核。在项目实施过程中做好定期监督检查，严格按照项目管理规范进行，在项目资金使用过程中，严格落实把关，按照项目资金使用范围做好审核工作，让项目资金落于实处。在项目完成后，做好受益群众民意调查及项目防范工作。</w:t>
      </w:r>
    </w:p>
    <w:p w14:paraId="11264488">
      <w:pPr>
        <w:pStyle w:val="11"/>
        <w:spacing w:before="0" w:after="0" w:line="56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b w:val="0"/>
          <w:bCs w:val="0"/>
          <w:kern w:val="2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</w:rPr>
        <w:t>严格坚持先做事、后验收、再拨付的原则，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lang w:eastAsia="zh-CN"/>
        </w:rPr>
        <w:t>杜绝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</w:rPr>
        <w:t>了资金被挤占和挪用现象的发生，跟踪检查到位。财政、纪检、监察等职能部门全面参与专项资金事前、事中和事后全过程的监管。在监督环节上，实行关口前移，从事后监督管理转向事前审核，事中监督和事后检查稽核相结合的监督制度上来，形成多环节全过程的监督管理格局，尽量早发现问题，早解决问题。</w:t>
      </w:r>
    </w:p>
    <w:p w14:paraId="38A451FE">
      <w:pPr>
        <w:keepNext/>
        <w:keepLines/>
        <w:numPr>
          <w:ilvl w:val="0"/>
          <w:numId w:val="6"/>
        </w:numPr>
        <w:spacing w:line="560" w:lineRule="exact"/>
        <w:ind w:firstLine="643" w:firstLineChars="200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存在的问题及原因分析</w:t>
      </w:r>
    </w:p>
    <w:p w14:paraId="1AFD1389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.相关绩效管理方面专业知识的系统性学习有待加强。各项指标的设置要进一步优化、完善，主要在细化、量化上改进。在绩效自评过程中，由于部分人员缺乏相关绩效管理专业知识，自评工作还存在自我审定的局限性，影响评价质量。</w:t>
      </w:r>
    </w:p>
    <w:p w14:paraId="418BFC70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2.因轮岗、调动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等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因素使我单位绩效工作人员流动频繁，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造成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工作衔接不到位的情况。</w:t>
      </w:r>
    </w:p>
    <w:p w14:paraId="73047178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六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黑体" w:cs="Times New Roman"/>
          <w:sz w:val="32"/>
          <w:szCs w:val="32"/>
        </w:rPr>
        <w:t>有关建议</w:t>
      </w:r>
    </w:p>
    <w:p w14:paraId="041B2A31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1.多进行有关绩效管理工作方面的培训。积极组织第三方开展绩效管理工作培训，进一步夯实业务基础，提高</w:t>
      </w:r>
      <w:bookmarkStart w:id="1" w:name="_GoBack"/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我单位</w:t>
      </w:r>
      <w:bookmarkEnd w:id="1"/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绩效人员水平。</w:t>
      </w:r>
    </w:p>
    <w:p w14:paraId="720F5BAB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2.专门设定对绩效工作人员定职、定岗、定责等相关制度措施，进一步提升我单位绩效管理工作业务水平，扎实做好绩效管理工作。</w:t>
      </w:r>
    </w:p>
    <w:p w14:paraId="49834073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3.进一步规范项目建设的程序。项目前期做好可行性研究报告，更加细化实施方案，严格执行资金管理办法和财政资金管理制度，严格按照项目实施方案、招投标管理办法等稳步推进工作，各部门单位根据自己项目的特点进行总结。</w:t>
      </w:r>
    </w:p>
    <w:p w14:paraId="502D5291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4.进一步完善项目评价过程中有关数据和资料的收集、整理、审核及分析。项目启动时同步做好档案的归纳与整理，及时整理、收集、汇总，健全档案资料。项目后续管理有待进一步加强和跟踪</w:t>
      </w:r>
      <w:r>
        <w:rPr>
          <w:rFonts w:hint="default" w:ascii="Times New Roman" w:hAnsi="Times New Roman" w:eastAsia="仿宋_GB2312" w:cs="Times New Roman"/>
          <w:sz w:val="36"/>
          <w:szCs w:val="32"/>
        </w:rPr>
        <w:t>。</w:t>
      </w:r>
    </w:p>
    <w:p w14:paraId="701AEC60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5.进一步加强对绩效管理工作的组织领导，提高对预算绩效管理工作重要性的认识，总结经验查找问题，抓紧研究制定更全面更完善的绩效评价管理办法。结合食品安全考核建立绩效工作考核制度，加大全局对全面实施预算绩效管理和绩效管理工作的学习力度，让“花钱必问效，无效必问责”的理念深入工作每个环节。</w:t>
      </w:r>
    </w:p>
    <w:p w14:paraId="06B39944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eastAsia="黑体" w:cs="Times New Roman"/>
          <w:sz w:val="32"/>
          <w:szCs w:val="32"/>
          <w:lang w:val="en-US" w:eastAsia="zh-CN"/>
        </w:rPr>
        <w:t>七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黑体" w:cs="Times New Roman"/>
          <w:sz w:val="32"/>
          <w:szCs w:val="32"/>
        </w:rPr>
        <w:t>其他需要说</w:t>
      </w:r>
      <w:bookmarkStart w:id="0" w:name="page8"/>
      <w:bookmarkEnd w:id="0"/>
      <w:r>
        <w:rPr>
          <w:rFonts w:hint="default" w:ascii="Times New Roman" w:hAnsi="Times New Roman" w:eastAsia="黑体" w:cs="Times New Roman"/>
          <w:sz w:val="32"/>
          <w:szCs w:val="32"/>
        </w:rPr>
        <w:t>明的问题</w:t>
      </w:r>
    </w:p>
    <w:p w14:paraId="1BF7CFB2">
      <w:pPr>
        <w:pStyle w:val="14"/>
        <w:spacing w:after="0" w:line="560" w:lineRule="exact"/>
        <w:ind w:left="0" w:leftChars="0" w:firstLine="640"/>
        <w:rPr>
          <w:rFonts w:hint="default" w:ascii="Times New Roman" w:hAnsi="Times New Roman" w:eastAsia="仿宋_GB2312" w:cs="Times New Roman"/>
          <w:sz w:val="32"/>
          <w:szCs w:val="32"/>
          <w:lang w:eastAsia="zh-Hans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Hans"/>
        </w:rPr>
        <w:t>本项目无其他需说明的问题。</w:t>
      </w:r>
    </w:p>
    <w:p w14:paraId="08C2E05F">
      <w:pPr>
        <w:pStyle w:val="14"/>
        <w:spacing w:after="0" w:line="560" w:lineRule="exact"/>
        <w:ind w:left="0" w:leftChars="0" w:firstLine="64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</w:p>
    <w:p w14:paraId="46AEAADF">
      <w:pPr>
        <w:pStyle w:val="14"/>
        <w:spacing w:after="0" w:line="560" w:lineRule="exact"/>
        <w:ind w:left="0" w:leftChars="0" w:firstLine="64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</w:p>
    <w:p w14:paraId="5CD401AF">
      <w:pPr>
        <w:pStyle w:val="14"/>
        <w:spacing w:after="0" w:line="560" w:lineRule="exact"/>
        <w:ind w:left="0" w:leftChars="0" w:firstLine="64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</w:p>
    <w:p w14:paraId="701C34C3">
      <w:pPr>
        <w:rPr>
          <w:rFonts w:hint="default" w:ascii="Times New Roman" w:hAnsi="Times New Roman" w:cs="Times New Roman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7468962"/>
    </w:sdtPr>
    <w:sdtContent>
      <w:p w14:paraId="4D46EC16">
        <w:pPr>
          <w:pStyle w:val="8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13</w:t>
        </w:r>
        <w:r>
          <w:fldChar w:fldCharType="end"/>
        </w:r>
      </w:p>
    </w:sdtContent>
  </w:sdt>
  <w:p w14:paraId="6CFB8056">
    <w:pPr>
      <w:pStyle w:val="8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4CD2B0F"/>
    <w:multiLevelType w:val="singleLevel"/>
    <w:tmpl w:val="F4CD2B0F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FF9379A8"/>
    <w:multiLevelType w:val="singleLevel"/>
    <w:tmpl w:val="FF9379A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116B29BF"/>
    <w:multiLevelType w:val="singleLevel"/>
    <w:tmpl w:val="116B29BF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27813159"/>
    <w:multiLevelType w:val="singleLevel"/>
    <w:tmpl w:val="27813159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4">
    <w:nsid w:val="6FAA0AB1"/>
    <w:multiLevelType w:val="singleLevel"/>
    <w:tmpl w:val="6FAA0AB1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5">
    <w:nsid w:val="745F9E47"/>
    <w:multiLevelType w:val="singleLevel"/>
    <w:tmpl w:val="745F9E4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diOGM5NzlhN2JhOTc3OTljZTBmY2FhN2MzNTk3ODEifQ=="/>
  </w:docVars>
  <w:rsids>
    <w:rsidRoot w:val="FF6C4049"/>
    <w:rsid w:val="006F7242"/>
    <w:rsid w:val="007B168A"/>
    <w:rsid w:val="008B2CFE"/>
    <w:rsid w:val="00F26FF6"/>
    <w:rsid w:val="01610122"/>
    <w:rsid w:val="02510197"/>
    <w:rsid w:val="03EC461B"/>
    <w:rsid w:val="053A09DE"/>
    <w:rsid w:val="05BE0378"/>
    <w:rsid w:val="07397B77"/>
    <w:rsid w:val="0A8B76C1"/>
    <w:rsid w:val="0AD007F3"/>
    <w:rsid w:val="0E3C619F"/>
    <w:rsid w:val="0E4C2E99"/>
    <w:rsid w:val="0F6273CA"/>
    <w:rsid w:val="100F38EC"/>
    <w:rsid w:val="105C5919"/>
    <w:rsid w:val="11170296"/>
    <w:rsid w:val="12C66037"/>
    <w:rsid w:val="12CD1ABC"/>
    <w:rsid w:val="13471461"/>
    <w:rsid w:val="13B90F01"/>
    <w:rsid w:val="155E4C4D"/>
    <w:rsid w:val="169C1327"/>
    <w:rsid w:val="17990B0B"/>
    <w:rsid w:val="181066D2"/>
    <w:rsid w:val="1AF754B7"/>
    <w:rsid w:val="1BD0618D"/>
    <w:rsid w:val="1C671E73"/>
    <w:rsid w:val="1D322C47"/>
    <w:rsid w:val="1DD479D6"/>
    <w:rsid w:val="1E120AFD"/>
    <w:rsid w:val="23616034"/>
    <w:rsid w:val="23696C97"/>
    <w:rsid w:val="24480FA2"/>
    <w:rsid w:val="25227A45"/>
    <w:rsid w:val="258F5FF2"/>
    <w:rsid w:val="26AC3A6A"/>
    <w:rsid w:val="28482B66"/>
    <w:rsid w:val="2B9D7E25"/>
    <w:rsid w:val="2C7C7A3B"/>
    <w:rsid w:val="2F364819"/>
    <w:rsid w:val="2F854C39"/>
    <w:rsid w:val="2FD63906"/>
    <w:rsid w:val="30512BD2"/>
    <w:rsid w:val="37215DAE"/>
    <w:rsid w:val="38CA40DD"/>
    <w:rsid w:val="395F2B56"/>
    <w:rsid w:val="3BBA0580"/>
    <w:rsid w:val="3BECE841"/>
    <w:rsid w:val="3CDE204C"/>
    <w:rsid w:val="3D363C36"/>
    <w:rsid w:val="3DEF4EE5"/>
    <w:rsid w:val="3E9C3F6D"/>
    <w:rsid w:val="3FF7797D"/>
    <w:rsid w:val="41132917"/>
    <w:rsid w:val="41562D5F"/>
    <w:rsid w:val="42D66853"/>
    <w:rsid w:val="46690BD8"/>
    <w:rsid w:val="49B624BF"/>
    <w:rsid w:val="49F70BF1"/>
    <w:rsid w:val="4B4340EE"/>
    <w:rsid w:val="503D507A"/>
    <w:rsid w:val="51FA74D0"/>
    <w:rsid w:val="52084B37"/>
    <w:rsid w:val="52AA4A52"/>
    <w:rsid w:val="539D3AD1"/>
    <w:rsid w:val="54A11E85"/>
    <w:rsid w:val="5635596B"/>
    <w:rsid w:val="584E40D2"/>
    <w:rsid w:val="589E4512"/>
    <w:rsid w:val="59943D66"/>
    <w:rsid w:val="59E051FD"/>
    <w:rsid w:val="59E6355E"/>
    <w:rsid w:val="5A87154F"/>
    <w:rsid w:val="5B821531"/>
    <w:rsid w:val="5BFF6039"/>
    <w:rsid w:val="5D76A616"/>
    <w:rsid w:val="5D7F20B9"/>
    <w:rsid w:val="5DAC7D0E"/>
    <w:rsid w:val="5F98B5AF"/>
    <w:rsid w:val="5FDC0B36"/>
    <w:rsid w:val="5FFE8511"/>
    <w:rsid w:val="5FFEACE2"/>
    <w:rsid w:val="609D5BF6"/>
    <w:rsid w:val="61073070"/>
    <w:rsid w:val="61B9080E"/>
    <w:rsid w:val="61DF3FED"/>
    <w:rsid w:val="62D12BEA"/>
    <w:rsid w:val="642B176B"/>
    <w:rsid w:val="643D42D1"/>
    <w:rsid w:val="643EE26D"/>
    <w:rsid w:val="64E26B4B"/>
    <w:rsid w:val="656019A0"/>
    <w:rsid w:val="65F242EE"/>
    <w:rsid w:val="666D7E19"/>
    <w:rsid w:val="68376930"/>
    <w:rsid w:val="68F91E38"/>
    <w:rsid w:val="6B3158B9"/>
    <w:rsid w:val="6BA02A3F"/>
    <w:rsid w:val="6C105349"/>
    <w:rsid w:val="6C1E5A53"/>
    <w:rsid w:val="6D3F60F6"/>
    <w:rsid w:val="6F5C41AC"/>
    <w:rsid w:val="6FAF6C78"/>
    <w:rsid w:val="716167CC"/>
    <w:rsid w:val="718A7AD1"/>
    <w:rsid w:val="72307211"/>
    <w:rsid w:val="72A44BC2"/>
    <w:rsid w:val="7317C656"/>
    <w:rsid w:val="734ED73F"/>
    <w:rsid w:val="73C82B32"/>
    <w:rsid w:val="73F94DAE"/>
    <w:rsid w:val="74220495"/>
    <w:rsid w:val="747D1B6F"/>
    <w:rsid w:val="749E5641"/>
    <w:rsid w:val="76271066"/>
    <w:rsid w:val="77FD8BE9"/>
    <w:rsid w:val="78000AED"/>
    <w:rsid w:val="797D617F"/>
    <w:rsid w:val="79A9BD3F"/>
    <w:rsid w:val="7B776F12"/>
    <w:rsid w:val="7B9F014B"/>
    <w:rsid w:val="7BFFFDD0"/>
    <w:rsid w:val="7C1903CF"/>
    <w:rsid w:val="7C336E5F"/>
    <w:rsid w:val="7C8D4919"/>
    <w:rsid w:val="7D7745FE"/>
    <w:rsid w:val="7D7A5F86"/>
    <w:rsid w:val="7E4B683A"/>
    <w:rsid w:val="7E5E656D"/>
    <w:rsid w:val="7E8F2BCB"/>
    <w:rsid w:val="7F37BB4E"/>
    <w:rsid w:val="7FEF918E"/>
    <w:rsid w:val="7FF4FB6F"/>
    <w:rsid w:val="7FF7FF27"/>
    <w:rsid w:val="7FFDF714"/>
    <w:rsid w:val="AF3FCD8C"/>
    <w:rsid w:val="B9FA2A43"/>
    <w:rsid w:val="BF7BA1E4"/>
    <w:rsid w:val="BFDF04FA"/>
    <w:rsid w:val="BFE227EF"/>
    <w:rsid w:val="CF2A1ABD"/>
    <w:rsid w:val="DA7D3CD9"/>
    <w:rsid w:val="DBDC0ADA"/>
    <w:rsid w:val="DEDE2B06"/>
    <w:rsid w:val="EBFA31C2"/>
    <w:rsid w:val="F3F4A11B"/>
    <w:rsid w:val="F9FD7907"/>
    <w:rsid w:val="FAEF933D"/>
    <w:rsid w:val="FB3A4A6A"/>
    <w:rsid w:val="FF6C4049"/>
    <w:rsid w:val="FF78F63F"/>
    <w:rsid w:val="FF8D2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23"/>
    <w:qFormat/>
    <w:uiPriority w:val="0"/>
    <w:pPr>
      <w:jc w:val="left"/>
    </w:pPr>
  </w:style>
  <w:style w:type="paragraph" w:styleId="5">
    <w:name w:val="Body Text"/>
    <w:basedOn w:val="1"/>
    <w:qFormat/>
    <w:uiPriority w:val="0"/>
    <w:pPr>
      <w:spacing w:after="120"/>
    </w:pPr>
  </w:style>
  <w:style w:type="paragraph" w:styleId="6">
    <w:name w:val="Body Text Indent"/>
    <w:basedOn w:val="1"/>
    <w:qFormat/>
    <w:uiPriority w:val="0"/>
    <w:pPr>
      <w:spacing w:after="120"/>
      <w:ind w:left="420" w:leftChars="200"/>
    </w:pPr>
    <w:rPr>
      <w:rFonts w:ascii="Calibri" w:hAnsi="Calibri"/>
    </w:rPr>
  </w:style>
  <w:style w:type="paragraph" w:styleId="7">
    <w:name w:val="Balloon Text"/>
    <w:basedOn w:val="1"/>
    <w:link w:val="21"/>
    <w:qFormat/>
    <w:uiPriority w:val="0"/>
    <w:rPr>
      <w:sz w:val="18"/>
      <w:szCs w:val="18"/>
    </w:rPr>
  </w:style>
  <w:style w:type="paragraph" w:styleId="8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9">
    <w:name w:val="header"/>
    <w:basedOn w:val="1"/>
    <w:link w:val="2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1">
    <w:name w:val="Title"/>
    <w:basedOn w:val="1"/>
    <w:next w:val="1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paragraph" w:styleId="12">
    <w:name w:val="annotation subject"/>
    <w:basedOn w:val="4"/>
    <w:next w:val="4"/>
    <w:link w:val="24"/>
    <w:qFormat/>
    <w:uiPriority w:val="0"/>
    <w:rPr>
      <w:b/>
      <w:bCs/>
    </w:rPr>
  </w:style>
  <w:style w:type="paragraph" w:styleId="13">
    <w:name w:val="Body Text First Indent"/>
    <w:basedOn w:val="5"/>
    <w:qFormat/>
    <w:uiPriority w:val="0"/>
    <w:pPr>
      <w:spacing w:after="0"/>
      <w:ind w:firstLine="200" w:firstLineChars="200"/>
    </w:pPr>
  </w:style>
  <w:style w:type="paragraph" w:styleId="14">
    <w:name w:val="Body Text First Indent 2"/>
    <w:basedOn w:val="6"/>
    <w:qFormat/>
    <w:uiPriority w:val="0"/>
    <w:pPr>
      <w:ind w:firstLine="420" w:firstLineChars="200"/>
    </w:pPr>
  </w:style>
  <w:style w:type="character" w:styleId="17">
    <w:name w:val="Strong"/>
    <w:basedOn w:val="16"/>
    <w:qFormat/>
    <w:uiPriority w:val="0"/>
    <w:rPr>
      <w:b/>
      <w:bCs/>
    </w:rPr>
  </w:style>
  <w:style w:type="character" w:styleId="18">
    <w:name w:val="annotation reference"/>
    <w:basedOn w:val="16"/>
    <w:qFormat/>
    <w:uiPriority w:val="0"/>
    <w:rPr>
      <w:sz w:val="21"/>
      <w:szCs w:val="21"/>
    </w:rPr>
  </w:style>
  <w:style w:type="character" w:customStyle="1" w:styleId="19">
    <w:name w:val="fontstyle01"/>
    <w:qFormat/>
    <w:uiPriority w:val="0"/>
    <w:rPr>
      <w:rFonts w:ascii="仿宋_GB2312" w:hAnsi="仿宋_GB2312" w:eastAsia="仿宋_GB2312" w:cs="仿宋_GB2312"/>
      <w:color w:val="000000"/>
      <w:sz w:val="32"/>
      <w:szCs w:val="32"/>
    </w:rPr>
  </w:style>
  <w:style w:type="paragraph" w:customStyle="1" w:styleId="20">
    <w:name w:val="闻政-正文段落文字"/>
    <w:basedOn w:val="1"/>
    <w:qFormat/>
    <w:uiPriority w:val="3"/>
    <w:pPr>
      <w:spacing w:line="500" w:lineRule="exact"/>
      <w:ind w:firstLine="200"/>
    </w:pPr>
    <w:rPr>
      <w:kern w:val="0"/>
      <w:szCs w:val="28"/>
    </w:rPr>
  </w:style>
  <w:style w:type="character" w:customStyle="1" w:styleId="21">
    <w:name w:val="批注框文本 字符"/>
    <w:basedOn w:val="16"/>
    <w:link w:val="7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22">
    <w:name w:val="页眉 字符"/>
    <w:basedOn w:val="16"/>
    <w:link w:val="9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23">
    <w:name w:val="批注文字 字符"/>
    <w:basedOn w:val="16"/>
    <w:link w:val="4"/>
    <w:qFormat/>
    <w:uiPriority w:val="0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24">
    <w:name w:val="批注主题 字符"/>
    <w:basedOn w:val="23"/>
    <w:link w:val="12"/>
    <w:qFormat/>
    <w:uiPriority w:val="0"/>
    <w:rPr>
      <w:rFonts w:ascii="Times New Roman" w:hAnsi="Times New Roman" w:eastAsia="宋体" w:cs="Times New Roman"/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24</Pages>
  <Words>11154</Words>
  <Characters>11501</Characters>
  <Lines>58</Lines>
  <Paragraphs>16</Paragraphs>
  <TotalTime>12</TotalTime>
  <ScaleCrop>false</ScaleCrop>
  <LinksUpToDate>false</LinksUpToDate>
  <CharactersWithSpaces>11525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2023-03-08T13:13:00Z</dcterms:created>
  <dc:creator>审核人</dc:creator>
  <cp:lastModifiedBy>忆</cp:lastModifiedBy>
  <dcterms:modified xsi:type="dcterms:W3CDTF">2025-11-03T03:06:25Z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A075C2AEC1C54D1693797747003CB0A9_13</vt:lpwstr>
  </property>
  <property fmtid="{D5CDD505-2E9C-101B-9397-08002B2CF9AE}" pid="4" name="KSOTemplateDocerSaveRecord">
    <vt:lpwstr>eyJoZGlkIjoiZWE5M2E4OTRkNmEwYTUyNjM2Mzg3NThiMTA5NmIzZWUiLCJ1c2VySWQiOiI0OTMxMTE3MjUifQ==</vt:lpwstr>
  </property>
</Properties>
</file>