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B32AC">
      <w:pPr>
        <w:shd w:val="clear"/>
        <w:spacing w:line="540" w:lineRule="exact"/>
        <w:jc w:val="center"/>
        <w:rPr>
          <w:rFonts w:hint="default" w:ascii="Times New Roman" w:hAnsi="Times New Roman" w:eastAsia="华文中宋" w:cs="Times New Roman"/>
          <w:b/>
          <w:color w:val="auto"/>
          <w:kern w:val="0"/>
          <w:sz w:val="52"/>
          <w:szCs w:val="52"/>
          <w:highlight w:val="none"/>
        </w:rPr>
      </w:pPr>
    </w:p>
    <w:p w14:paraId="0D20CAED">
      <w:pPr>
        <w:shd w:val="clear"/>
        <w:spacing w:line="540" w:lineRule="exact"/>
        <w:rPr>
          <w:rFonts w:hint="default" w:ascii="Times New Roman" w:hAnsi="Times New Roman" w:eastAsia="华文中宋" w:cs="Times New Roman"/>
          <w:b/>
          <w:color w:val="auto"/>
          <w:kern w:val="0"/>
          <w:sz w:val="52"/>
          <w:szCs w:val="52"/>
          <w:highlight w:val="none"/>
        </w:rPr>
      </w:pPr>
    </w:p>
    <w:p w14:paraId="7C5C047B">
      <w:pPr>
        <w:shd w:val="clear"/>
        <w:spacing w:line="540" w:lineRule="exact"/>
        <w:jc w:val="center"/>
        <w:rPr>
          <w:rFonts w:hint="default" w:ascii="Times New Roman" w:hAnsi="Times New Roman" w:eastAsia="华文中宋" w:cs="Times New Roman"/>
          <w:b/>
          <w:color w:val="auto"/>
          <w:kern w:val="0"/>
          <w:sz w:val="52"/>
          <w:szCs w:val="52"/>
          <w:highlight w:val="none"/>
        </w:rPr>
      </w:pPr>
    </w:p>
    <w:p w14:paraId="70C74FF1">
      <w:pPr>
        <w:shd w:val="clear"/>
        <w:spacing w:line="540" w:lineRule="exact"/>
        <w:jc w:val="center"/>
        <w:rPr>
          <w:rFonts w:hint="default" w:ascii="Times New Roman" w:hAnsi="Times New Roman" w:eastAsia="华文中宋" w:cs="Times New Roman"/>
          <w:b/>
          <w:color w:val="auto"/>
          <w:kern w:val="0"/>
          <w:sz w:val="52"/>
          <w:szCs w:val="52"/>
          <w:highlight w:val="none"/>
        </w:rPr>
      </w:pPr>
    </w:p>
    <w:p w14:paraId="7787C8E0">
      <w:pPr>
        <w:shd w:val="clear"/>
        <w:spacing w:line="540" w:lineRule="exact"/>
        <w:jc w:val="center"/>
        <w:rPr>
          <w:rFonts w:hint="default" w:ascii="Times New Roman" w:hAnsi="Times New Roman" w:eastAsia="方正小标宋_GBK" w:cs="Times New Roman"/>
          <w:color w:val="auto"/>
          <w:kern w:val="0"/>
          <w:sz w:val="48"/>
          <w:szCs w:val="48"/>
          <w:highlight w:val="none"/>
        </w:rPr>
      </w:pPr>
      <w:r>
        <w:rPr>
          <w:rFonts w:hint="eastAsia" w:ascii="Times New Roman" w:hAnsi="Times New Roman" w:eastAsia="方正小标宋_GBK" w:cs="Times New Roman"/>
          <w:color w:val="auto"/>
          <w:kern w:val="0"/>
          <w:sz w:val="48"/>
          <w:szCs w:val="48"/>
          <w:highlight w:val="none"/>
        </w:rPr>
        <w:t>2024年单位资金-托里县哈萨克医医院业务工作经费</w:t>
      </w:r>
      <w:r>
        <w:rPr>
          <w:rFonts w:hint="default" w:ascii="Times New Roman" w:hAnsi="Times New Roman" w:eastAsia="方正小标宋_GBK" w:cs="Times New Roman"/>
          <w:color w:val="auto"/>
          <w:kern w:val="0"/>
          <w:sz w:val="48"/>
          <w:szCs w:val="48"/>
          <w:highlight w:val="none"/>
        </w:rPr>
        <w:t>项目支出绩效评价</w:t>
      </w:r>
    </w:p>
    <w:p w14:paraId="5E622C42">
      <w:pPr>
        <w:shd w:val="clea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报告</w:t>
      </w:r>
    </w:p>
    <w:p w14:paraId="3731870F">
      <w:pPr>
        <w:shd w:val="clear"/>
        <w:spacing w:line="540" w:lineRule="exact"/>
        <w:jc w:val="center"/>
        <w:rPr>
          <w:rFonts w:hint="default" w:ascii="Times New Roman" w:hAnsi="Times New Roman" w:eastAsia="华文中宋" w:cs="Times New Roman"/>
          <w:b/>
          <w:color w:val="auto"/>
          <w:kern w:val="0"/>
          <w:sz w:val="52"/>
          <w:szCs w:val="52"/>
          <w:highlight w:val="none"/>
        </w:rPr>
      </w:pPr>
    </w:p>
    <w:p w14:paraId="31F13EFD">
      <w:pPr>
        <w:shd w:val="clea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14:paraId="134B77D2">
      <w:pPr>
        <w:shd w:val="clear"/>
        <w:spacing w:line="540" w:lineRule="exact"/>
        <w:jc w:val="center"/>
        <w:rPr>
          <w:rFonts w:hint="default" w:ascii="Times New Roman" w:hAnsi="Times New Roman" w:eastAsia="仿宋_GB2312" w:cs="Times New Roman"/>
          <w:color w:val="auto"/>
          <w:kern w:val="0"/>
          <w:sz w:val="30"/>
          <w:szCs w:val="30"/>
          <w:highlight w:val="none"/>
        </w:rPr>
      </w:pPr>
    </w:p>
    <w:p w14:paraId="4D6B9013">
      <w:pPr>
        <w:shd w:val="clear"/>
        <w:spacing w:line="540" w:lineRule="exact"/>
        <w:jc w:val="center"/>
        <w:rPr>
          <w:rFonts w:hint="default" w:ascii="Times New Roman" w:hAnsi="Times New Roman" w:eastAsia="仿宋_GB2312" w:cs="Times New Roman"/>
          <w:color w:val="auto"/>
          <w:kern w:val="0"/>
          <w:sz w:val="30"/>
          <w:szCs w:val="30"/>
          <w:highlight w:val="none"/>
        </w:rPr>
      </w:pPr>
    </w:p>
    <w:p w14:paraId="2F12E508">
      <w:pPr>
        <w:shd w:val="clear"/>
        <w:spacing w:line="540" w:lineRule="exact"/>
        <w:jc w:val="center"/>
        <w:rPr>
          <w:rFonts w:hint="default" w:ascii="Times New Roman" w:hAnsi="Times New Roman" w:eastAsia="仿宋_GB2312" w:cs="Times New Roman"/>
          <w:color w:val="auto"/>
          <w:kern w:val="0"/>
          <w:sz w:val="30"/>
          <w:szCs w:val="30"/>
          <w:highlight w:val="none"/>
        </w:rPr>
      </w:pPr>
    </w:p>
    <w:p w14:paraId="209B8ADE">
      <w:pPr>
        <w:pStyle w:val="11"/>
        <w:shd w:val="clear"/>
        <w:rPr>
          <w:rFonts w:hint="default" w:ascii="Times New Roman" w:hAnsi="Times New Roman" w:cs="Times New Roman"/>
          <w:color w:val="auto"/>
          <w:highlight w:val="none"/>
        </w:rPr>
      </w:pPr>
    </w:p>
    <w:p w14:paraId="0306E615">
      <w:pPr>
        <w:shd w:val="clear"/>
        <w:spacing w:line="540" w:lineRule="exact"/>
        <w:jc w:val="center"/>
        <w:rPr>
          <w:rFonts w:hint="default" w:ascii="Times New Roman" w:hAnsi="Times New Roman" w:eastAsia="仿宋_GB2312" w:cs="Times New Roman"/>
          <w:color w:val="auto"/>
          <w:kern w:val="0"/>
          <w:sz w:val="30"/>
          <w:szCs w:val="30"/>
          <w:highlight w:val="none"/>
        </w:rPr>
      </w:pPr>
    </w:p>
    <w:p w14:paraId="36C5F8F1">
      <w:pPr>
        <w:shd w:val="clear"/>
        <w:spacing w:line="540" w:lineRule="exact"/>
        <w:rPr>
          <w:rFonts w:hint="default" w:ascii="Times New Roman" w:hAnsi="Times New Roman" w:eastAsia="仿宋_GB2312" w:cs="Times New Roman"/>
          <w:color w:val="auto"/>
          <w:kern w:val="0"/>
          <w:sz w:val="30"/>
          <w:szCs w:val="30"/>
          <w:highlight w:val="none"/>
        </w:rPr>
      </w:pPr>
    </w:p>
    <w:p w14:paraId="26E3589F">
      <w:pPr>
        <w:shd w:val="clear"/>
        <w:spacing w:line="700" w:lineRule="exact"/>
        <w:jc w:val="left"/>
        <w:rPr>
          <w:rFonts w:hint="eastAsia" w:ascii="仿宋_GB2312" w:hAnsi="仿宋_GB2312" w:eastAsia="仿宋_GB2312" w:cs="仿宋_GB2312"/>
          <w:color w:val="auto"/>
          <w:kern w:val="0"/>
          <w:sz w:val="32"/>
          <w:szCs w:val="32"/>
          <w:highlight w:val="none"/>
        </w:rPr>
      </w:pPr>
      <w:r>
        <w:rPr>
          <w:rFonts w:hint="default" w:ascii="仿宋_GB2312" w:hAnsi="仿宋_GB2312" w:eastAsia="仿宋_GB2312" w:cs="仿宋_GB2312"/>
          <w:color w:val="auto"/>
          <w:kern w:val="0"/>
          <w:sz w:val="32"/>
          <w:szCs w:val="32"/>
          <w:highlight w:val="none"/>
        </w:rPr>
        <w:t>项目名称：</w:t>
      </w:r>
      <w:bookmarkStart w:id="0" w:name="OLE_LINK6"/>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2024</w:t>
      </w:r>
      <w:r>
        <w:rPr>
          <w:rFonts w:hint="eastAsia" w:ascii="仿宋_GB2312" w:hAnsi="仿宋_GB2312" w:eastAsia="仿宋_GB2312" w:cs="仿宋_GB2312"/>
          <w:color w:val="auto"/>
          <w:kern w:val="0"/>
          <w:sz w:val="32"/>
          <w:szCs w:val="32"/>
          <w:highlight w:val="none"/>
        </w:rPr>
        <w:t>年单位资金-托里县哈萨克医医院业务工作经费</w:t>
      </w:r>
    </w:p>
    <w:bookmarkEnd w:id="0"/>
    <w:p w14:paraId="2ABFCB37">
      <w:pPr>
        <w:shd w:val="clear"/>
        <w:spacing w:line="700" w:lineRule="exact"/>
        <w:jc w:val="left"/>
        <w:rPr>
          <w:rFonts w:hint="default" w:ascii="仿宋_GB2312" w:hAnsi="仿宋_GB2312" w:eastAsia="仿宋_GB2312" w:cs="仿宋_GB2312"/>
          <w:color w:val="auto"/>
          <w:kern w:val="0"/>
          <w:sz w:val="32"/>
          <w:szCs w:val="32"/>
          <w:highlight w:val="none"/>
          <w:lang w:val="en-US" w:eastAsia="zh-CN"/>
        </w:rPr>
      </w:pPr>
      <w:r>
        <w:rPr>
          <w:rFonts w:hint="default" w:ascii="仿宋_GB2312" w:hAnsi="仿宋_GB2312" w:eastAsia="仿宋_GB2312" w:cs="仿宋_GB2312"/>
          <w:color w:val="auto"/>
          <w:kern w:val="0"/>
          <w:sz w:val="32"/>
          <w:szCs w:val="32"/>
          <w:highlight w:val="none"/>
        </w:rPr>
        <w:t>实施单位（公章）：</w:t>
      </w:r>
      <w:r>
        <w:rPr>
          <w:rFonts w:hint="eastAsia" w:ascii="仿宋_GB2312" w:hAnsi="仿宋_GB2312" w:eastAsia="仿宋_GB2312" w:cs="仿宋_GB2312"/>
          <w:color w:val="auto"/>
          <w:kern w:val="0"/>
          <w:sz w:val="32"/>
          <w:szCs w:val="32"/>
          <w:highlight w:val="none"/>
          <w:lang w:val="en-US" w:eastAsia="zh-CN"/>
        </w:rPr>
        <w:t>托里县哈萨克医医院</w:t>
      </w:r>
    </w:p>
    <w:p w14:paraId="5609FE8A">
      <w:pPr>
        <w:shd w:val="clear"/>
        <w:spacing w:line="700" w:lineRule="exact"/>
        <w:jc w:val="left"/>
        <w:rPr>
          <w:rFonts w:hint="eastAsia" w:ascii="仿宋_GB2312" w:hAnsi="仿宋_GB2312" w:eastAsia="仿宋_GB2312" w:cs="仿宋_GB2312"/>
          <w:color w:val="auto"/>
          <w:kern w:val="0"/>
          <w:sz w:val="32"/>
          <w:szCs w:val="32"/>
          <w:highlight w:val="none"/>
          <w:lang w:val="en-US" w:eastAsia="zh-CN"/>
        </w:rPr>
      </w:pPr>
      <w:r>
        <w:rPr>
          <w:rFonts w:hint="default" w:ascii="仿宋_GB2312" w:hAnsi="仿宋_GB2312" w:eastAsia="仿宋_GB2312" w:cs="仿宋_GB2312"/>
          <w:color w:val="auto"/>
          <w:kern w:val="0"/>
          <w:sz w:val="32"/>
          <w:szCs w:val="32"/>
          <w:highlight w:val="none"/>
        </w:rPr>
        <w:t>主管部门（公章）：</w:t>
      </w:r>
      <w:r>
        <w:rPr>
          <w:rFonts w:hint="eastAsia" w:ascii="仿宋_GB2312" w:hAnsi="仿宋_GB2312" w:eastAsia="仿宋_GB2312" w:cs="仿宋_GB2312"/>
          <w:color w:val="auto"/>
          <w:kern w:val="0"/>
          <w:sz w:val="32"/>
          <w:szCs w:val="32"/>
          <w:highlight w:val="none"/>
          <w:lang w:val="en-US" w:eastAsia="zh-CN"/>
        </w:rPr>
        <w:t>托里县卫生健康委员会</w:t>
      </w:r>
    </w:p>
    <w:p w14:paraId="00705042">
      <w:pPr>
        <w:shd w:val="clear"/>
        <w:spacing w:line="700" w:lineRule="exact"/>
        <w:jc w:val="left"/>
        <w:rPr>
          <w:rFonts w:hint="default" w:ascii="仿宋_GB2312" w:hAnsi="仿宋_GB2312" w:eastAsia="仿宋_GB2312" w:cs="仿宋_GB2312"/>
          <w:color w:val="auto"/>
          <w:kern w:val="0"/>
          <w:sz w:val="32"/>
          <w:szCs w:val="32"/>
          <w:highlight w:val="none"/>
          <w:lang w:val="en-US" w:eastAsia="zh-CN"/>
        </w:rPr>
      </w:pPr>
      <w:r>
        <w:rPr>
          <w:rFonts w:hint="default" w:ascii="仿宋_GB2312" w:hAnsi="仿宋_GB2312" w:eastAsia="仿宋_GB2312" w:cs="仿宋_GB2312"/>
          <w:color w:val="auto"/>
          <w:kern w:val="0"/>
          <w:sz w:val="32"/>
          <w:szCs w:val="32"/>
          <w:highlight w:val="none"/>
        </w:rPr>
        <w:t>项目负责人（签章）：</w:t>
      </w:r>
      <w:r>
        <w:rPr>
          <w:rFonts w:hint="eastAsia" w:ascii="仿宋_GB2312" w:hAnsi="仿宋_GB2312" w:eastAsia="仿宋_GB2312" w:cs="仿宋_GB2312"/>
          <w:color w:val="auto"/>
          <w:kern w:val="0"/>
          <w:sz w:val="32"/>
          <w:szCs w:val="32"/>
          <w:highlight w:val="none"/>
          <w:lang w:val="en-US" w:eastAsia="zh-CN"/>
        </w:rPr>
        <w:t>沙木浩</w:t>
      </w:r>
    </w:p>
    <w:p w14:paraId="7D0C3C19">
      <w:pPr>
        <w:shd w:val="clear"/>
        <w:spacing w:line="700" w:lineRule="exact"/>
        <w:jc w:val="left"/>
        <w:rPr>
          <w:rFonts w:hint="default" w:ascii="仿宋_GB2312" w:hAnsi="仿宋_GB2312" w:eastAsia="仿宋_GB2312" w:cs="仿宋_GB2312"/>
          <w:color w:val="auto"/>
          <w:kern w:val="0"/>
          <w:sz w:val="32"/>
          <w:szCs w:val="32"/>
          <w:highlight w:val="none"/>
          <w:lang w:val="en-US" w:eastAsia="zh-CN"/>
        </w:rPr>
      </w:pPr>
      <w:r>
        <w:rPr>
          <w:rFonts w:hint="default" w:ascii="仿宋_GB2312" w:hAnsi="仿宋_GB2312" w:eastAsia="仿宋_GB2312" w:cs="仿宋_GB2312"/>
          <w:color w:val="auto"/>
          <w:kern w:val="0"/>
          <w:sz w:val="32"/>
          <w:szCs w:val="32"/>
          <w:highlight w:val="none"/>
        </w:rPr>
        <w:t>填报时间：</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2025</w:t>
      </w:r>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年</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4</w:t>
      </w:r>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月</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23</w:t>
      </w:r>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日</w:t>
      </w:r>
    </w:p>
    <w:p w14:paraId="3C300EE3">
      <w:pPr>
        <w:shd w:val="clear"/>
        <w:spacing w:line="700" w:lineRule="exact"/>
        <w:ind w:firstLine="1280" w:firstLineChars="400"/>
        <w:jc w:val="left"/>
        <w:rPr>
          <w:rFonts w:hint="default" w:ascii="仿宋_GB2312" w:hAnsi="仿宋_GB2312" w:eastAsia="仿宋_GB2312" w:cs="仿宋_GB2312"/>
          <w:color w:val="auto"/>
          <w:kern w:val="0"/>
          <w:sz w:val="32"/>
          <w:szCs w:val="32"/>
          <w:highlight w:val="none"/>
          <w:lang w:val="en-US" w:eastAsia="zh-CN"/>
        </w:rPr>
        <w:sectPr>
          <w:pgSz w:w="11906" w:h="16838"/>
          <w:pgMar w:top="1440" w:right="1558" w:bottom="1440" w:left="1800" w:header="851" w:footer="992" w:gutter="0"/>
          <w:cols w:space="425" w:num="1"/>
          <w:docGrid w:type="lines" w:linePitch="312" w:charSpace="0"/>
        </w:sectPr>
      </w:pPr>
    </w:p>
    <w:p w14:paraId="74A0F597">
      <w:pPr>
        <w:shd w:val="clea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bookmarkStart w:id="17" w:name="_GoBack"/>
      <w:bookmarkEnd w:id="17"/>
    </w:p>
    <w:p w14:paraId="79EC09C8">
      <w:pPr>
        <w:shd w:val="clea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14:paraId="49964FB0">
      <w:pPr>
        <w:shd w:val="clea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14:paraId="056B2ED4">
      <w:pPr>
        <w:pStyle w:val="5"/>
        <w:keepNext w:val="0"/>
        <w:keepLines w:val="0"/>
        <w:pageBreakBefore w:val="0"/>
        <w:widowControl w:val="0"/>
        <w:shd w:val="clear"/>
        <w:kinsoku/>
        <w:wordWrap/>
        <w:overflowPunct/>
        <w:topLinePunct w:val="0"/>
        <w:autoSpaceDE/>
        <w:autoSpaceDN/>
        <w:bidi w:val="0"/>
        <w:adjustRightInd/>
        <w:spacing w:line="520" w:lineRule="exact"/>
        <w:ind w:firstLine="640" w:firstLineChars="200"/>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pPr>
      <w:r>
        <w:rPr>
          <w:rFonts w:hint="eastAsia" w:ascii="仿宋_GB2312" w:hAnsi="仿宋_GB2312" w:eastAsia="仿宋_GB2312" w:cs="仿宋_GB2312"/>
          <w:color w:val="auto"/>
          <w:kern w:val="2"/>
          <w:sz w:val="32"/>
          <w:szCs w:val="32"/>
          <w:highlight w:val="none"/>
          <w:lang w:val="en-US" w:eastAsia="zh-CN" w:bidi="ar-SA"/>
        </w:rPr>
        <w:t>托里县哈萨克医医院于</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2016年年底成立，2017年3月正式运营，在国家、自治区、地委及相关部门的大力支持下，发展较为迅速，通过近几年发展逐渐成为以中医药（哈萨克医药）特色治疗为主的二级医疗机构（正式文件于2021年11月20日塔城地区卫生健康委批复为二级乙等中医民族医医疗机构）。现核定编制床位80张，实际开放床位共80张。现有事业编干部46人，共有自聘人员61人，取得中级以上职称10人，取得初级以上职称23人。</w:t>
      </w:r>
    </w:p>
    <w:p w14:paraId="2AF433A0">
      <w:pPr>
        <w:pStyle w:val="25"/>
        <w:keepNext w:val="0"/>
        <w:keepLines w:val="0"/>
        <w:pageBreakBefore w:val="0"/>
        <w:widowControl w:val="0"/>
        <w:shd w:val="clear" w:color="auto"/>
        <w:kinsoku/>
        <w:wordWrap/>
        <w:overflowPunct/>
        <w:topLinePunct w:val="0"/>
        <w:autoSpaceDE/>
        <w:autoSpaceDN/>
        <w:bidi w:val="0"/>
        <w:spacing w:before="0" w:beforeAutospacing="0" w:after="0" w:afterAutospacing="0" w:line="520" w:lineRule="exact"/>
        <w:ind w:firstLine="585"/>
        <w:rPr>
          <w:rFonts w:hint="default"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2023年1-10</w:t>
      </w:r>
      <w:r>
        <w:rPr>
          <w:rFonts w:hint="eastAsia" w:ascii="仿宋_GB2312" w:hAnsi="仿宋_GB2312" w:eastAsia="仿宋_GB2312" w:cs="仿宋_GB2312"/>
          <w:color w:val="auto"/>
          <w:kern w:val="2"/>
          <w:sz w:val="32"/>
          <w:szCs w:val="32"/>
          <w:highlight w:val="none"/>
          <w:lang w:val="en-US" w:eastAsia="zh-CN" w:bidi="ar-SA"/>
        </w:rPr>
        <w:t>月份实现总收入</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1253.50</w:t>
      </w:r>
      <w:r>
        <w:rPr>
          <w:rFonts w:hint="eastAsia" w:ascii="仿宋_GB2312" w:hAnsi="仿宋_GB2312" w:eastAsia="仿宋_GB2312" w:cs="仿宋_GB2312"/>
          <w:color w:val="auto"/>
          <w:kern w:val="2"/>
          <w:sz w:val="32"/>
          <w:szCs w:val="32"/>
          <w:highlight w:val="none"/>
          <w:lang w:val="en-US" w:eastAsia="zh-CN" w:bidi="ar-SA"/>
        </w:rPr>
        <w:t>万元，其中财政补助410.55万元，医疗收入</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842.95</w:t>
      </w:r>
      <w:r>
        <w:rPr>
          <w:rFonts w:hint="eastAsia" w:ascii="仿宋_GB2312" w:hAnsi="仿宋_GB2312" w:eastAsia="仿宋_GB2312" w:cs="仿宋_GB2312"/>
          <w:color w:val="auto"/>
          <w:kern w:val="2"/>
          <w:sz w:val="32"/>
          <w:szCs w:val="32"/>
          <w:highlight w:val="none"/>
          <w:lang w:val="en-US" w:eastAsia="zh-CN" w:bidi="ar-SA"/>
        </w:rPr>
        <w:t>万元,其中：住院</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2003</w:t>
      </w:r>
      <w:r>
        <w:rPr>
          <w:rFonts w:hint="eastAsia" w:ascii="仿宋_GB2312" w:hAnsi="仿宋_GB2312" w:eastAsia="仿宋_GB2312" w:cs="仿宋_GB2312"/>
          <w:color w:val="auto"/>
          <w:kern w:val="2"/>
          <w:sz w:val="32"/>
          <w:szCs w:val="32"/>
          <w:highlight w:val="none"/>
          <w:lang w:val="en-US" w:eastAsia="zh-CN" w:bidi="ar-SA"/>
        </w:rPr>
        <w:t>人次，住院收入</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758.91</w:t>
      </w:r>
      <w:r>
        <w:rPr>
          <w:rFonts w:hint="eastAsia" w:ascii="仿宋_GB2312" w:hAnsi="仿宋_GB2312" w:eastAsia="仿宋_GB2312" w:cs="仿宋_GB2312"/>
          <w:color w:val="auto"/>
          <w:kern w:val="2"/>
          <w:sz w:val="32"/>
          <w:szCs w:val="32"/>
          <w:highlight w:val="none"/>
          <w:lang w:val="en-US" w:eastAsia="zh-CN" w:bidi="ar-SA"/>
        </w:rPr>
        <w:t>万元，较去年同期增加</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31.79</w:t>
      </w:r>
      <w:r>
        <w:rPr>
          <w:rFonts w:hint="eastAsia" w:ascii="仿宋_GB2312" w:hAnsi="仿宋_GB2312" w:eastAsia="仿宋_GB2312" w:cs="仿宋_GB2312"/>
          <w:color w:val="auto"/>
          <w:kern w:val="2"/>
          <w:sz w:val="32"/>
          <w:szCs w:val="32"/>
          <w:highlight w:val="none"/>
          <w:lang w:val="en-US" w:eastAsia="zh-CN" w:bidi="ar-SA"/>
        </w:rPr>
        <w:t>%，门诊</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6231</w:t>
      </w:r>
      <w:r>
        <w:rPr>
          <w:rFonts w:hint="eastAsia" w:ascii="仿宋_GB2312" w:hAnsi="仿宋_GB2312" w:eastAsia="仿宋_GB2312" w:cs="仿宋_GB2312"/>
          <w:color w:val="auto"/>
          <w:kern w:val="2"/>
          <w:sz w:val="32"/>
          <w:szCs w:val="32"/>
          <w:highlight w:val="none"/>
          <w:lang w:val="en-US" w:eastAsia="zh-CN" w:bidi="ar-SA"/>
        </w:rPr>
        <w:t>人次，门诊收入</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84.04</w:t>
      </w:r>
      <w:r>
        <w:rPr>
          <w:rFonts w:hint="eastAsia" w:ascii="仿宋_GB2312" w:hAnsi="仿宋_GB2312" w:eastAsia="仿宋_GB2312" w:cs="仿宋_GB2312"/>
          <w:color w:val="auto"/>
          <w:kern w:val="2"/>
          <w:sz w:val="32"/>
          <w:szCs w:val="32"/>
          <w:highlight w:val="none"/>
          <w:lang w:val="en-US" w:eastAsia="zh-CN" w:bidi="ar-SA"/>
        </w:rPr>
        <w:t>万元，较去年同期增加</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97.14</w:t>
      </w:r>
      <w:r>
        <w:rPr>
          <w:rFonts w:hint="eastAsia" w:ascii="仿宋_GB2312" w:hAnsi="仿宋_GB2312" w:eastAsia="仿宋_GB2312" w:cs="仿宋_GB2312"/>
          <w:color w:val="auto"/>
          <w:kern w:val="2"/>
          <w:sz w:val="32"/>
          <w:szCs w:val="32"/>
          <w:highlight w:val="none"/>
          <w:lang w:val="en-US" w:eastAsia="zh-CN" w:bidi="ar-SA"/>
        </w:rPr>
        <w:t>%，医疗服务收入占公立医院收入的比例57.20%，公立医院人员支出占业务支出比例</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62.93</w:t>
      </w:r>
      <w:r>
        <w:rPr>
          <w:rFonts w:hint="eastAsia" w:ascii="仿宋_GB2312" w:hAnsi="仿宋_GB2312" w:eastAsia="仿宋_GB2312" w:cs="仿宋_GB2312"/>
          <w:color w:val="auto"/>
          <w:kern w:val="2"/>
          <w:sz w:val="32"/>
          <w:szCs w:val="32"/>
          <w:highlight w:val="none"/>
          <w:lang w:val="en-US" w:eastAsia="zh-CN" w:bidi="ar-SA"/>
        </w:rPr>
        <w:t>%，公立医院资产负债率</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35.02</w:t>
      </w:r>
      <w:r>
        <w:rPr>
          <w:rFonts w:hint="eastAsia" w:ascii="仿宋_GB2312" w:hAnsi="仿宋_GB2312" w:eastAsia="仿宋_GB2312" w:cs="仿宋_GB2312"/>
          <w:color w:val="auto"/>
          <w:kern w:val="2"/>
          <w:sz w:val="32"/>
          <w:szCs w:val="32"/>
          <w:highlight w:val="none"/>
          <w:lang w:val="en-US" w:eastAsia="zh-CN" w:bidi="ar-SA"/>
        </w:rPr>
        <w:t>%，财政补助收入占公立医院总支出的比例</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31.69</w:t>
      </w:r>
      <w:r>
        <w:rPr>
          <w:rFonts w:hint="eastAsia" w:ascii="仿宋_GB2312" w:hAnsi="仿宋_GB2312" w:eastAsia="仿宋_GB2312" w:cs="仿宋_GB2312"/>
          <w:color w:val="auto"/>
          <w:kern w:val="2"/>
          <w:sz w:val="32"/>
          <w:szCs w:val="32"/>
          <w:highlight w:val="none"/>
          <w:lang w:val="en-US" w:eastAsia="zh-CN" w:bidi="ar-SA"/>
        </w:rPr>
        <w:t>%，药占比（不含中药饮片）：</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4.81</w:t>
      </w:r>
      <w:r>
        <w:rPr>
          <w:rFonts w:hint="eastAsia" w:ascii="仿宋_GB2312" w:hAnsi="仿宋_GB2312" w:eastAsia="仿宋_GB2312" w:cs="仿宋_GB2312"/>
          <w:color w:val="auto"/>
          <w:kern w:val="2"/>
          <w:sz w:val="32"/>
          <w:szCs w:val="32"/>
          <w:highlight w:val="none"/>
          <w:lang w:val="en-US" w:eastAsia="zh-CN" w:bidi="ar-SA"/>
        </w:rPr>
        <w:t>%，以上考核指标数达到公立医院综合改革绩效考核指标标准，目前医院运营状况良好。</w:t>
      </w:r>
    </w:p>
    <w:p w14:paraId="6BD74AFE">
      <w:pPr>
        <w:pStyle w:val="11"/>
        <w:numPr>
          <w:ilvl w:val="0"/>
          <w:numId w:val="0"/>
        </w:numPr>
        <w:shd w:val="clea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14:paraId="29B0CC8C">
      <w:pPr>
        <w:shd w:val="clear"/>
        <w:spacing w:line="560" w:lineRule="exact"/>
        <w:ind w:firstLine="640" w:firstLineChars="200"/>
        <w:rPr>
          <w:rFonts w:hint="default" w:ascii="仿宋_GB2312" w:hAnsi="仿宋_GB2312" w:eastAsia="仿宋_GB2312" w:cs="仿宋_GB2312"/>
          <w:b w:val="0"/>
          <w:bCs w:val="0"/>
          <w:color w:val="auto"/>
          <w:kern w:val="2"/>
          <w:sz w:val="32"/>
          <w:szCs w:val="32"/>
          <w:highlight w:val="none"/>
          <w:lang w:val="en-US" w:eastAsia="zh-CN" w:bidi="ar-SA"/>
        </w:rPr>
      </w:pPr>
      <w:r>
        <w:rPr>
          <w:rFonts w:hint="default" w:ascii="仿宋_GB2312" w:hAnsi="仿宋_GB2312" w:eastAsia="仿宋_GB2312" w:cs="仿宋_GB2312"/>
          <w:b w:val="0"/>
          <w:bCs w:val="0"/>
          <w:color w:val="auto"/>
          <w:kern w:val="2"/>
          <w:sz w:val="32"/>
          <w:szCs w:val="32"/>
          <w:highlight w:val="none"/>
          <w:lang w:val="en-US" w:eastAsia="zh-CN" w:bidi="ar-SA"/>
        </w:rPr>
        <w:t>项目主要内容</w:t>
      </w:r>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：2024</w:t>
      </w:r>
      <w:r>
        <w:rPr>
          <w:rFonts w:hint="default" w:ascii="仿宋_GB2312" w:hAnsi="仿宋_GB2312" w:eastAsia="仿宋_GB2312" w:cs="仿宋_GB2312"/>
          <w:b w:val="0"/>
          <w:bCs w:val="0"/>
          <w:color w:val="auto"/>
          <w:kern w:val="2"/>
          <w:sz w:val="32"/>
          <w:szCs w:val="32"/>
          <w:highlight w:val="none"/>
          <w:lang w:val="en-US" w:eastAsia="zh-CN" w:bidi="ar-SA"/>
        </w:rPr>
        <w:t>年单位资金-托里县哈萨克医医院业务工作资金1050万元，550万元用于聘用人员工资福利和五险缴纳，</w:t>
      </w:r>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500</w:t>
      </w:r>
      <w:r>
        <w:rPr>
          <w:rFonts w:hint="default" w:ascii="仿宋_GB2312" w:hAnsi="仿宋_GB2312" w:eastAsia="仿宋_GB2312" w:cs="仿宋_GB2312"/>
          <w:b w:val="0"/>
          <w:bCs w:val="0"/>
          <w:color w:val="auto"/>
          <w:kern w:val="2"/>
          <w:sz w:val="32"/>
          <w:szCs w:val="32"/>
          <w:highlight w:val="none"/>
          <w:lang w:val="en-US" w:eastAsia="zh-CN" w:bidi="ar-SA"/>
        </w:rPr>
        <w:t>万元用于商品和服务支出，为进一步支持医疗卫生机构提升服务水平和服务能力，主要用于保障聘用人员工资发放及提高工作效率。持续深化医院综合改革，提升医护人员业务能力制度，扩大医改成果，深化基层医疗卫生机构管理体制、保障医务人员合理待遇的原则同步落实补偿政</w:t>
      </w:r>
      <w:r>
        <w:rPr>
          <w:rFonts w:hint="default" w:ascii="仿宋_GB2312" w:hAnsi="仿宋_GB2312" w:eastAsia="仿宋_GB2312" w:cs="仿宋_GB2312"/>
          <w:b w:val="0"/>
          <w:bCs w:val="0"/>
          <w:color w:val="auto"/>
          <w:kern w:val="2"/>
          <w:sz w:val="32"/>
          <w:szCs w:val="32"/>
          <w:highlight w:val="none"/>
          <w:lang w:val="en-US" w:eastAsia="zh-CN" w:bidi="ar-SA"/>
        </w:rPr>
        <w:t>策，建人立稳定的补偿渠道和补偿方式。</w:t>
      </w:r>
    </w:p>
    <w:p w14:paraId="74C8A07A">
      <w:pPr>
        <w:pStyle w:val="3"/>
        <w:keepNext w:val="0"/>
        <w:keepLines w:val="0"/>
        <w:widowControl/>
        <w:suppressLineNumbers w:val="0"/>
        <w:shd w:val="clear"/>
        <w:spacing w:before="0" w:beforeAutospacing="0" w:after="0" w:afterAutospacing="0" w:line="17" w:lineRule="atLeast"/>
        <w:ind w:left="0" w:right="0" w:firstLine="640" w:firstLineChars="200"/>
        <w:rPr>
          <w:rFonts w:hint="default" w:ascii="仿宋_GB2312" w:hAnsi="仿宋_GB2312" w:eastAsia="仿宋_GB2312" w:cs="仿宋_GB2312"/>
          <w:b w:val="0"/>
          <w:bCs w:val="0"/>
          <w:color w:val="auto"/>
          <w:kern w:val="2"/>
          <w:sz w:val="32"/>
          <w:szCs w:val="32"/>
          <w:highlight w:val="none"/>
          <w:lang w:val="en-US" w:eastAsia="zh-CN" w:bidi="ar-SA"/>
        </w:rPr>
      </w:pPr>
      <w:r>
        <w:rPr>
          <w:rFonts w:hint="default" w:ascii="仿宋_GB2312" w:hAnsi="仿宋_GB2312" w:eastAsia="仿宋_GB2312" w:cs="仿宋_GB2312"/>
          <w:b w:val="0"/>
          <w:bCs w:val="0"/>
          <w:color w:val="auto"/>
          <w:kern w:val="2"/>
          <w:sz w:val="32"/>
          <w:szCs w:val="32"/>
          <w:highlight w:val="none"/>
          <w:lang w:val="en-US" w:eastAsia="zh-CN" w:bidi="ar-SA"/>
        </w:rPr>
        <w:t>项目实施情况：2024年单位资金-托里县哈萨克医医院业务工作资金</w:t>
      </w:r>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1050</w:t>
      </w:r>
      <w:r>
        <w:rPr>
          <w:rFonts w:hint="default" w:ascii="仿宋_GB2312" w:hAnsi="仿宋_GB2312" w:eastAsia="仿宋_GB2312" w:cs="仿宋_GB2312"/>
          <w:b w:val="0"/>
          <w:bCs w:val="0"/>
          <w:color w:val="auto"/>
          <w:kern w:val="2"/>
          <w:sz w:val="32"/>
          <w:szCs w:val="32"/>
          <w:highlight w:val="none"/>
          <w:lang w:val="en-US" w:eastAsia="zh-CN" w:bidi="ar-SA"/>
        </w:rPr>
        <w:t>万元，</w:t>
      </w:r>
      <w:r>
        <w:rPr>
          <w:rFonts w:hint="eastAsia" w:ascii="仿宋_GB2312" w:hAnsi="仿宋_GB2312" w:eastAsia="仿宋_GB2312" w:cs="仿宋_GB2312"/>
          <w:b w:val="0"/>
          <w:bCs w:val="0"/>
          <w:color w:val="auto"/>
          <w:kern w:val="2"/>
          <w:sz w:val="32"/>
          <w:szCs w:val="32"/>
          <w:highlight w:val="none"/>
          <w:lang w:val="en-US" w:eastAsia="zh-CN" w:bidi="ar-SA"/>
        </w:rPr>
        <w:t>项目</w:t>
      </w:r>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从</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2024年1月1日</w:t>
      </w:r>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至</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2024年12月25日</w:t>
      </w:r>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的全部资金投入与支出</w:t>
      </w:r>
      <w:r>
        <w:rPr>
          <w:rFonts w:hint="eastAsia" w:ascii="仿宋_GB2312" w:hAnsi="仿宋_GB2312" w:eastAsia="仿宋_GB2312" w:cs="仿宋_GB2312"/>
          <w:b w:val="0"/>
          <w:bCs w:val="0"/>
          <w:color w:val="auto"/>
          <w:kern w:val="2"/>
          <w:sz w:val="32"/>
          <w:szCs w:val="32"/>
          <w:highlight w:val="none"/>
          <w:lang w:val="en-US" w:eastAsia="zh-CN" w:bidi="ar-SA"/>
        </w:rPr>
        <w:t>，主要用于聘用人员工资社保，在职人员工资，社保，住房</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20%</w:t>
      </w:r>
      <w:r>
        <w:rPr>
          <w:rFonts w:hint="eastAsia" w:ascii="仿宋_GB2312" w:hAnsi="仿宋_GB2312" w:eastAsia="仿宋_GB2312" w:cs="仿宋_GB2312"/>
          <w:b w:val="0"/>
          <w:bCs w:val="0"/>
          <w:color w:val="auto"/>
          <w:kern w:val="2"/>
          <w:sz w:val="32"/>
          <w:szCs w:val="32"/>
          <w:highlight w:val="none"/>
          <w:lang w:val="en-US" w:eastAsia="zh-CN" w:bidi="ar-SA"/>
        </w:rPr>
        <w:t>部分，办公费，电费，电话费，水费，医院的办公费，维修费，差旅费，会议费，培训费，劳务费，广告费，宣传费，专用材料费。其中：</w:t>
      </w:r>
      <w:r>
        <w:rPr>
          <w:rFonts w:hint="default" w:ascii="仿宋_GB2312" w:hAnsi="仿宋_GB2312" w:eastAsia="仿宋_GB2312" w:cs="仿宋_GB2312"/>
          <w:b w:val="0"/>
          <w:bCs w:val="0"/>
          <w:color w:val="auto"/>
          <w:kern w:val="2"/>
          <w:sz w:val="32"/>
          <w:szCs w:val="32"/>
          <w:highlight w:val="none"/>
          <w:lang w:val="en-US" w:eastAsia="zh-CN" w:bidi="ar-SA"/>
        </w:rPr>
        <w:t>550万元用于聘用人员工资福利和五险缴纳，500万元用于商品和服务支出，为进一步支持医疗卫生机构提升服务水平和服务能力，主要用于保障聘用人员工资发放及提高工作效率。持续深化医院综合改革，提升医护人员业务能力制度，扩大医改成果，深化基层医疗卫生机构管理体制、保障医务人员合理待遇的原则同步落实补偿政策</w:t>
      </w:r>
      <w:r>
        <w:rPr>
          <w:rFonts w:hint="eastAsia" w:ascii="仿宋_GB2312" w:hAnsi="仿宋_GB2312" w:eastAsia="仿宋_GB2312" w:cs="仿宋_GB2312"/>
          <w:b w:val="0"/>
          <w:bCs w:val="0"/>
          <w:color w:val="auto"/>
          <w:kern w:val="2"/>
          <w:sz w:val="32"/>
          <w:szCs w:val="32"/>
          <w:highlight w:val="none"/>
          <w:lang w:val="en-US" w:eastAsia="zh-CN" w:bidi="ar-SA"/>
        </w:rPr>
        <w:t>。</w:t>
      </w:r>
    </w:p>
    <w:p w14:paraId="7F325C18">
      <w:pPr>
        <w:shd w:val="clea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14:paraId="6A97A3C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034EE242">
      <w:pPr>
        <w:shd w:val="clear"/>
        <w:spacing w:line="560" w:lineRule="exact"/>
        <w:ind w:firstLine="640" w:firstLineChars="200"/>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该项目年初预算数</w:t>
      </w:r>
      <w:r>
        <w:rPr>
          <w:rFonts w:hint="eastAsia" w:ascii="Times New Roman" w:hAnsi="Times New Roman" w:eastAsia="仿宋_GB2312" w:cs="Times New Roman"/>
          <w:color w:val="auto"/>
          <w:sz w:val="32"/>
          <w:szCs w:val="32"/>
          <w:highlight w:val="none"/>
          <w:shd w:val="clear" w:color="auto" w:fill="auto"/>
          <w:lang w:val="en-US" w:eastAsia="zh-CN"/>
        </w:rPr>
        <w:t>1050</w:t>
      </w:r>
      <w:r>
        <w:rPr>
          <w:rFonts w:hint="default" w:ascii="Times New Roman" w:hAnsi="Times New Roman" w:eastAsia="仿宋_GB2312" w:cs="Times New Roman"/>
          <w:color w:val="auto"/>
          <w:sz w:val="32"/>
          <w:szCs w:val="32"/>
          <w:highlight w:val="none"/>
          <w:shd w:val="clear" w:color="auto" w:fill="auto"/>
          <w:lang w:val="en-US" w:eastAsia="zh-CN"/>
        </w:rPr>
        <w:t>万元，全年预算数</w:t>
      </w:r>
      <w:r>
        <w:rPr>
          <w:rFonts w:hint="eastAsia" w:ascii="Times New Roman" w:hAnsi="Times New Roman" w:eastAsia="仿宋_GB2312" w:cs="Times New Roman"/>
          <w:color w:val="auto"/>
          <w:sz w:val="32"/>
          <w:szCs w:val="32"/>
          <w:highlight w:val="none"/>
          <w:shd w:val="clear" w:color="auto" w:fill="auto"/>
          <w:lang w:val="en-US" w:eastAsia="zh-CN"/>
        </w:rPr>
        <w:t>1050</w:t>
      </w:r>
      <w:r>
        <w:rPr>
          <w:rFonts w:hint="default" w:ascii="Times New Roman" w:hAnsi="Times New Roman" w:eastAsia="仿宋_GB2312" w:cs="Times New Roman"/>
          <w:color w:val="auto"/>
          <w:sz w:val="32"/>
          <w:szCs w:val="32"/>
          <w:highlight w:val="none"/>
          <w:shd w:val="clear" w:color="auto" w:fill="auto"/>
          <w:lang w:val="en-US" w:eastAsia="zh-CN"/>
        </w:rPr>
        <w:t>万元，该项目资金已全部落实到位，资金来源为</w:t>
      </w:r>
      <w:r>
        <w:rPr>
          <w:rFonts w:hint="eastAsia" w:ascii="Times New Roman" w:hAnsi="Times New Roman" w:eastAsia="仿宋_GB2312" w:cs="Times New Roman"/>
          <w:color w:val="auto"/>
          <w:sz w:val="32"/>
          <w:szCs w:val="32"/>
          <w:highlight w:val="none"/>
          <w:shd w:val="clear" w:color="auto" w:fill="auto"/>
          <w:lang w:val="en-US" w:eastAsia="zh-CN"/>
        </w:rPr>
        <w:t>事业收入</w:t>
      </w:r>
      <w:r>
        <w:rPr>
          <w:rFonts w:hint="default" w:ascii="Times New Roman" w:hAnsi="Times New Roman" w:eastAsia="仿宋_GB2312" w:cs="Times New Roman"/>
          <w:color w:val="auto"/>
          <w:sz w:val="32"/>
          <w:szCs w:val="32"/>
          <w:highlight w:val="none"/>
          <w:shd w:val="clear" w:color="auto" w:fill="auto"/>
          <w:lang w:val="en-US" w:eastAsia="zh-CN"/>
        </w:rPr>
        <w:t>。</w:t>
      </w:r>
    </w:p>
    <w:p w14:paraId="3BCCCEEC">
      <w:pPr>
        <w:shd w:val="clear"/>
        <w:spacing w:line="560" w:lineRule="exact"/>
        <w:ind w:firstLine="640" w:firstLineChars="200"/>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（2）资金使用情况</w:t>
      </w:r>
    </w:p>
    <w:p w14:paraId="4FCC833C">
      <w:pPr>
        <w:shd w:val="clear"/>
        <w:spacing w:line="560" w:lineRule="exact"/>
        <w:ind w:firstLine="640" w:firstLineChars="200"/>
        <w:rPr>
          <w:rFonts w:hint="default" w:ascii="Times New Roman" w:hAnsi="Times New Roman" w:eastAsia="仿宋_GB2312" w:cs="Times New Roman"/>
          <w:color w:val="auto"/>
          <w:sz w:val="32"/>
          <w:szCs w:val="32"/>
          <w:highlight w:val="none"/>
          <w:shd w:val="clear" w:color="auto" w:fill="auto"/>
          <w:lang w:val="en-US" w:eastAsia="zh-CN"/>
        </w:rPr>
      </w:pPr>
      <w:bookmarkStart w:id="1" w:name="OLE_LINK14"/>
      <w:r>
        <w:rPr>
          <w:rFonts w:hint="default" w:ascii="Times New Roman" w:hAnsi="Times New Roman" w:eastAsia="仿宋_GB2312" w:cs="Times New Roman"/>
          <w:color w:val="auto"/>
          <w:sz w:val="32"/>
          <w:szCs w:val="32"/>
          <w:highlight w:val="none"/>
          <w:shd w:val="clear" w:color="auto" w:fill="auto"/>
          <w:lang w:val="en-US" w:eastAsia="zh-CN"/>
        </w:rPr>
        <w:t>该项目年初预算数</w:t>
      </w:r>
      <w:r>
        <w:rPr>
          <w:rFonts w:hint="eastAsia" w:ascii="Times New Roman" w:hAnsi="Times New Roman" w:eastAsia="仿宋_GB2312" w:cs="Times New Roman"/>
          <w:color w:val="auto"/>
          <w:sz w:val="32"/>
          <w:szCs w:val="32"/>
          <w:highlight w:val="none"/>
          <w:shd w:val="clear" w:color="auto" w:fill="auto"/>
          <w:lang w:val="en-US" w:eastAsia="zh-CN"/>
        </w:rPr>
        <w:t>1050</w:t>
      </w:r>
      <w:r>
        <w:rPr>
          <w:rFonts w:hint="default" w:ascii="Times New Roman" w:hAnsi="Times New Roman" w:eastAsia="仿宋_GB2312" w:cs="Times New Roman"/>
          <w:color w:val="auto"/>
          <w:sz w:val="32"/>
          <w:szCs w:val="32"/>
          <w:highlight w:val="none"/>
          <w:shd w:val="clear" w:color="auto" w:fill="auto"/>
          <w:lang w:val="en-US" w:eastAsia="zh-CN"/>
        </w:rPr>
        <w:t>万元，全年预算数</w:t>
      </w:r>
      <w:r>
        <w:rPr>
          <w:rFonts w:hint="eastAsia" w:ascii="Times New Roman" w:hAnsi="Times New Roman" w:eastAsia="仿宋_GB2312" w:cs="Times New Roman"/>
          <w:color w:val="auto"/>
          <w:sz w:val="32"/>
          <w:szCs w:val="32"/>
          <w:highlight w:val="none"/>
          <w:shd w:val="clear" w:color="auto" w:fill="auto"/>
          <w:lang w:val="en-US" w:eastAsia="zh-CN"/>
        </w:rPr>
        <w:t>1050</w:t>
      </w:r>
      <w:r>
        <w:rPr>
          <w:rFonts w:hint="default" w:ascii="Times New Roman" w:hAnsi="Times New Roman" w:eastAsia="仿宋_GB2312" w:cs="Times New Roman"/>
          <w:color w:val="auto"/>
          <w:sz w:val="32"/>
          <w:szCs w:val="32"/>
          <w:highlight w:val="none"/>
          <w:shd w:val="clear" w:color="auto" w:fill="auto"/>
          <w:lang w:val="en-US" w:eastAsia="zh-CN"/>
        </w:rPr>
        <w:t>万元，全年执行数</w:t>
      </w:r>
      <w:r>
        <w:rPr>
          <w:rFonts w:hint="eastAsia" w:ascii="Times New Roman" w:hAnsi="Times New Roman" w:eastAsia="仿宋_GB2312" w:cs="Times New Roman"/>
          <w:color w:val="auto"/>
          <w:sz w:val="32"/>
          <w:szCs w:val="32"/>
          <w:highlight w:val="none"/>
          <w:shd w:val="clear" w:color="auto" w:fill="auto"/>
          <w:lang w:val="en-US" w:eastAsia="zh-CN"/>
        </w:rPr>
        <w:t>1050</w:t>
      </w:r>
      <w:r>
        <w:rPr>
          <w:rFonts w:hint="default" w:ascii="Times New Roman" w:hAnsi="Times New Roman" w:eastAsia="仿宋_GB2312" w:cs="Times New Roman"/>
          <w:color w:val="auto"/>
          <w:sz w:val="32"/>
          <w:szCs w:val="32"/>
          <w:highlight w:val="none"/>
          <w:shd w:val="clear" w:color="auto" w:fill="auto"/>
          <w:lang w:val="en-US" w:eastAsia="zh-CN"/>
        </w:rPr>
        <w:t>万元，预算执行率为</w:t>
      </w:r>
      <w:r>
        <w:rPr>
          <w:rFonts w:hint="eastAsia" w:ascii="Times New Roman" w:hAnsi="Times New Roman" w:eastAsia="仿宋_GB2312" w:cs="Times New Roman"/>
          <w:color w:val="auto"/>
          <w:sz w:val="32"/>
          <w:szCs w:val="32"/>
          <w:highlight w:val="none"/>
          <w:shd w:val="clear" w:color="auto" w:fill="auto"/>
          <w:lang w:val="en-US" w:eastAsia="zh-CN"/>
        </w:rPr>
        <w:t>100</w:t>
      </w:r>
      <w:r>
        <w:rPr>
          <w:rFonts w:hint="default" w:ascii="Times New Roman" w:hAnsi="Times New Roman" w:eastAsia="仿宋_GB2312" w:cs="Times New Roman"/>
          <w:color w:val="auto"/>
          <w:sz w:val="32"/>
          <w:szCs w:val="32"/>
          <w:highlight w:val="none"/>
          <w:shd w:val="clear" w:color="auto" w:fill="auto"/>
          <w:lang w:val="en-US" w:eastAsia="zh-CN"/>
        </w:rPr>
        <w:t>%，主要用于：</w:t>
      </w:r>
      <w:bookmarkStart w:id="2" w:name="OLE_LINK16"/>
      <w:bookmarkStart w:id="3" w:name="OLE_LINK1"/>
      <w:r>
        <w:rPr>
          <w:rFonts w:hint="eastAsia" w:ascii="Times New Roman" w:hAnsi="Times New Roman" w:eastAsia="仿宋_GB2312" w:cs="Times New Roman"/>
          <w:color w:val="auto"/>
          <w:sz w:val="32"/>
          <w:szCs w:val="32"/>
          <w:highlight w:val="none"/>
          <w:shd w:val="clear" w:color="auto" w:fill="auto"/>
          <w:lang w:val="en-US" w:eastAsia="zh-CN"/>
        </w:rPr>
        <w:t>聘用人员工资社保，在职人员工资，社保，住房20%部分，办公费，电费，电话费，水费，医院的办公费，维修费，差旅费，会议费，培训费，劳务费，广告费，宣传费，专用材料费</w:t>
      </w:r>
      <w:bookmarkEnd w:id="1"/>
      <w:bookmarkEnd w:id="2"/>
      <w:r>
        <w:rPr>
          <w:rFonts w:hint="default" w:ascii="Times New Roman" w:hAnsi="Times New Roman" w:eastAsia="仿宋_GB2312" w:cs="Times New Roman"/>
          <w:color w:val="auto"/>
          <w:sz w:val="32"/>
          <w:szCs w:val="32"/>
          <w:highlight w:val="none"/>
          <w:shd w:val="clear" w:color="auto" w:fill="auto"/>
          <w:lang w:val="en-US" w:eastAsia="zh-CN"/>
        </w:rPr>
        <w:t>。</w:t>
      </w:r>
    </w:p>
    <w:bookmarkEnd w:id="3"/>
    <w:p w14:paraId="19F8325E">
      <w:pPr>
        <w:shd w:val="clea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14:paraId="32E98280">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14:paraId="5207B6B0">
      <w:pPr>
        <w:shd w:val="clear"/>
        <w:spacing w:line="560" w:lineRule="exact"/>
        <w:ind w:firstLine="640" w:firstLineChars="200"/>
        <w:rPr>
          <w:rFonts w:hint="default" w:ascii="Times New Roman" w:hAnsi="Times New Roman" w:eastAsia="仿宋_GB2312" w:cs="Times New Roman"/>
          <w:color w:val="auto"/>
          <w:sz w:val="32"/>
          <w:szCs w:val="32"/>
          <w:highlight w:val="none"/>
          <w:shd w:val="clear" w:color="auto" w:fill="auto"/>
          <w:lang w:val="en-US" w:eastAsia="zh-CN"/>
        </w:rPr>
      </w:pPr>
      <w:r>
        <w:rPr>
          <w:rFonts w:hint="eastAsia" w:ascii="Times New Roman" w:hAnsi="Times New Roman" w:eastAsia="仿宋_GB2312" w:cs="Times New Roman"/>
          <w:color w:val="auto"/>
          <w:sz w:val="32"/>
          <w:szCs w:val="32"/>
          <w:highlight w:val="none"/>
          <w:shd w:val="clear" w:color="auto" w:fill="auto"/>
          <w:lang w:val="en-US" w:eastAsia="zh-CN"/>
        </w:rPr>
        <w:t>2024年单位资金-托里县哈萨克医医院业务工作资金1050万元，550万元用于聘用人员工资福利和五险缴纳，500万元用于商品和服务支出，为进一步支持医疗卫生机构提升服务水平和服务能力，主要用于保障聘用人员工资发放及提高工作效率。持续深化医院综合改革，提升医护人员业务能力制度，扩大医改成果，深化基层医疗卫生机构管理体制、保障医务人员合理待遇的原则同步落实补偿政策，建人立稳定的补偿渠道和补偿方式。</w:t>
      </w:r>
    </w:p>
    <w:p w14:paraId="1284FE90">
      <w:pPr>
        <w:shd w:val="clear"/>
        <w:spacing w:line="560" w:lineRule="exact"/>
        <w:ind w:firstLine="640" w:firstLineChars="200"/>
        <w:rPr>
          <w:rFonts w:hint="eastAsia" w:ascii="Times New Roman" w:hAnsi="Times New Roman" w:eastAsia="黑体"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阶段性目标</w:t>
      </w:r>
      <w:r>
        <w:rPr>
          <w:rFonts w:hint="default" w:ascii="Times New Roman" w:hAnsi="Times New Roman" w:eastAsia="仿宋_GB2312" w:cs="Times New Roman"/>
          <w:color w:val="auto"/>
          <w:sz w:val="32"/>
          <w:szCs w:val="32"/>
          <w:highlight w:val="none"/>
          <w:shd w:val="clear" w:color="auto" w:fill="auto"/>
          <w:lang w:val="en-US" w:eastAsia="zh-CN"/>
        </w:rPr>
        <w:t>该项目年初预算数</w:t>
      </w:r>
      <w:r>
        <w:rPr>
          <w:rFonts w:hint="eastAsia" w:ascii="Times New Roman" w:hAnsi="Times New Roman" w:eastAsia="仿宋_GB2312" w:cs="Times New Roman"/>
          <w:color w:val="auto"/>
          <w:sz w:val="32"/>
          <w:szCs w:val="32"/>
          <w:highlight w:val="none"/>
          <w:shd w:val="clear" w:color="auto" w:fill="auto"/>
          <w:lang w:val="en-US" w:eastAsia="zh-CN"/>
        </w:rPr>
        <w:t>1050</w:t>
      </w:r>
      <w:r>
        <w:rPr>
          <w:rFonts w:hint="default" w:ascii="Times New Roman" w:hAnsi="Times New Roman" w:eastAsia="仿宋_GB2312" w:cs="Times New Roman"/>
          <w:color w:val="auto"/>
          <w:sz w:val="32"/>
          <w:szCs w:val="32"/>
          <w:highlight w:val="none"/>
          <w:shd w:val="clear" w:color="auto" w:fill="auto"/>
          <w:lang w:val="en-US" w:eastAsia="zh-CN"/>
        </w:rPr>
        <w:t>万元，全年预算数</w:t>
      </w:r>
      <w:r>
        <w:rPr>
          <w:rFonts w:hint="eastAsia" w:ascii="Times New Roman" w:hAnsi="Times New Roman" w:eastAsia="仿宋_GB2312" w:cs="Times New Roman"/>
          <w:color w:val="auto"/>
          <w:sz w:val="32"/>
          <w:szCs w:val="32"/>
          <w:highlight w:val="none"/>
          <w:shd w:val="clear" w:color="auto" w:fill="auto"/>
          <w:lang w:val="en-US" w:eastAsia="zh-CN"/>
        </w:rPr>
        <w:t>1050</w:t>
      </w:r>
      <w:r>
        <w:rPr>
          <w:rFonts w:hint="default" w:ascii="Times New Roman" w:hAnsi="Times New Roman" w:eastAsia="仿宋_GB2312" w:cs="Times New Roman"/>
          <w:color w:val="auto"/>
          <w:sz w:val="32"/>
          <w:szCs w:val="32"/>
          <w:highlight w:val="none"/>
          <w:shd w:val="clear" w:color="auto" w:fill="auto"/>
          <w:lang w:val="en-US" w:eastAsia="zh-CN"/>
        </w:rPr>
        <w:t>万元，全年执行数</w:t>
      </w:r>
      <w:r>
        <w:rPr>
          <w:rFonts w:hint="eastAsia" w:ascii="Times New Roman" w:hAnsi="Times New Roman" w:eastAsia="仿宋_GB2312" w:cs="Times New Roman"/>
          <w:color w:val="auto"/>
          <w:sz w:val="32"/>
          <w:szCs w:val="32"/>
          <w:highlight w:val="none"/>
          <w:shd w:val="clear" w:color="auto" w:fill="auto"/>
          <w:lang w:val="en-US" w:eastAsia="zh-CN"/>
        </w:rPr>
        <w:t>1050</w:t>
      </w:r>
      <w:r>
        <w:rPr>
          <w:rFonts w:hint="default" w:ascii="Times New Roman" w:hAnsi="Times New Roman" w:eastAsia="仿宋_GB2312" w:cs="Times New Roman"/>
          <w:color w:val="auto"/>
          <w:sz w:val="32"/>
          <w:szCs w:val="32"/>
          <w:highlight w:val="none"/>
          <w:shd w:val="clear" w:color="auto" w:fill="auto"/>
          <w:lang w:val="en-US" w:eastAsia="zh-CN"/>
        </w:rPr>
        <w:t>万元，预算执行率为</w:t>
      </w:r>
      <w:r>
        <w:rPr>
          <w:rFonts w:hint="eastAsia" w:ascii="Times New Roman" w:hAnsi="Times New Roman" w:eastAsia="仿宋_GB2312" w:cs="Times New Roman"/>
          <w:color w:val="auto"/>
          <w:sz w:val="32"/>
          <w:szCs w:val="32"/>
          <w:highlight w:val="none"/>
          <w:shd w:val="clear" w:color="auto" w:fill="auto"/>
          <w:lang w:val="en-US" w:eastAsia="zh-CN"/>
        </w:rPr>
        <w:t>100</w:t>
      </w:r>
      <w:r>
        <w:rPr>
          <w:rFonts w:hint="default" w:ascii="Times New Roman" w:hAnsi="Times New Roman" w:eastAsia="仿宋_GB2312" w:cs="Times New Roman"/>
          <w:color w:val="auto"/>
          <w:sz w:val="32"/>
          <w:szCs w:val="32"/>
          <w:highlight w:val="none"/>
          <w:shd w:val="clear" w:color="auto" w:fill="auto"/>
          <w:lang w:val="en-US" w:eastAsia="zh-CN"/>
        </w:rPr>
        <w:t>%，主要用于：</w:t>
      </w:r>
      <w:r>
        <w:rPr>
          <w:rFonts w:hint="eastAsia" w:ascii="Times New Roman" w:hAnsi="Times New Roman" w:eastAsia="仿宋_GB2312" w:cs="Times New Roman"/>
          <w:color w:val="auto"/>
          <w:sz w:val="32"/>
          <w:szCs w:val="32"/>
          <w:highlight w:val="none"/>
          <w:shd w:val="clear" w:color="auto" w:fill="auto"/>
          <w:lang w:val="en-US" w:eastAsia="zh-CN"/>
        </w:rPr>
        <w:t>聘用人员工资社保，在职人员工资，社保，住房20%部分，办公费，电费，电话费，水费，医院的办公费，维修费，差旅费，会议费，培训费，劳务费，广告费，宣传费，专用材料费</w:t>
      </w:r>
      <w:r>
        <w:rPr>
          <w:rFonts w:hint="default" w:ascii="Times New Roman" w:hAnsi="Times New Roman" w:eastAsia="黑体" w:cs="Times New Roman"/>
          <w:color w:val="auto"/>
          <w:sz w:val="32"/>
          <w:szCs w:val="32"/>
          <w:highlight w:val="none"/>
        </w:rPr>
        <w:t>二、绩效评价工作开展情况</w:t>
      </w:r>
    </w:p>
    <w:p w14:paraId="78E08454">
      <w:pPr>
        <w:shd w:val="clea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14:paraId="288B66A7">
      <w:pPr>
        <w:pStyle w:val="11"/>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shd w:val="clear" w:color="auto" w:fill="auto"/>
          <w:lang w:val="en-US" w:eastAsia="zh-CN"/>
        </w:rPr>
      </w:pPr>
      <w:r>
        <w:rPr>
          <w:rFonts w:hint="default" w:ascii="Times New Roman" w:hAnsi="Times New Roman" w:eastAsia="仿宋_GB2312" w:cs="Times New Roman"/>
          <w:b w:val="0"/>
          <w:bCs w:val="0"/>
          <w:color w:val="auto"/>
          <w:highlight w:val="none"/>
          <w:shd w:val="clear" w:color="auto" w:fill="auto"/>
          <w:lang w:val="en-US" w:eastAsia="zh-CN"/>
        </w:rPr>
        <w:t>1.绩效评价完整性</w:t>
      </w:r>
    </w:p>
    <w:p w14:paraId="2ADB4999">
      <w:pPr>
        <w:shd w:val="clear"/>
        <w:spacing w:line="560" w:lineRule="exact"/>
        <w:ind w:firstLine="640" w:firstLineChars="200"/>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1E507865">
      <w:pPr>
        <w:shd w:val="clear"/>
        <w:spacing w:line="560" w:lineRule="exact"/>
        <w:ind w:firstLine="640" w:firstLineChars="200"/>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lang w:val="en-US" w:eastAsia="zh-CN"/>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14:paraId="57FE4693">
      <w:pPr>
        <w:shd w:val="clear"/>
        <w:spacing w:line="560" w:lineRule="exact"/>
        <w:ind w:firstLine="640" w:firstLineChars="200"/>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9417E7B">
      <w:pPr>
        <w:shd w:val="clear"/>
        <w:spacing w:line="560" w:lineRule="exact"/>
        <w:ind w:firstLine="640" w:firstLineChars="200"/>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46E06C84">
      <w:pPr>
        <w:shd w:val="clear"/>
        <w:spacing w:line="560" w:lineRule="exact"/>
        <w:ind w:firstLine="640" w:firstLineChars="200"/>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22216D6">
      <w:pPr>
        <w:shd w:val="clear"/>
        <w:spacing w:line="560" w:lineRule="exact"/>
        <w:ind w:firstLine="640" w:firstLineChars="200"/>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lang w:val="en-US" w:eastAsia="zh-CN"/>
        </w:rPr>
        <w:t>2.</w:t>
      </w:r>
      <w:r>
        <w:rPr>
          <w:rFonts w:hint="default" w:ascii="Times New Roman" w:hAnsi="Times New Roman" w:eastAsia="仿宋_GB2312" w:cs="Times New Roman"/>
          <w:color w:val="auto"/>
          <w:sz w:val="32"/>
          <w:szCs w:val="32"/>
          <w:highlight w:val="none"/>
          <w:shd w:val="clear" w:color="auto" w:fill="auto"/>
        </w:rPr>
        <w:t>绩效评价的目的</w:t>
      </w:r>
    </w:p>
    <w:p w14:paraId="282BA3E5">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rPr>
        <w:t>（1）评估项目实施效果</w:t>
      </w:r>
    </w:p>
    <w:p w14:paraId="3A5A6AC8">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rPr>
        <w:t>通过对项目预算执行情况及各项绩效目标达成程度的系统性分析，全面、客观地评估项目在预定周期内的实施效果，包括经济效益、社会效益等多维度指标，为项目后续的改进与优化提供科学依据。</w:t>
      </w:r>
    </w:p>
    <w:p w14:paraId="3B0C3D0D">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rPr>
        <w:t>（2）提升资源利用效率</w:t>
      </w:r>
    </w:p>
    <w:p w14:paraId="5B3ACD4A">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6753E69">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rPr>
        <w:t>（3）强化项目管理责任</w:t>
      </w:r>
    </w:p>
    <w:p w14:paraId="1168D3A6">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710120F">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rPr>
        <w:t>（4）为决策提供支持</w:t>
      </w:r>
    </w:p>
    <w:p w14:paraId="5B10F703">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2528E0A">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rPr>
        <w:t>（5）促进项目持续改进</w:t>
      </w:r>
    </w:p>
    <w:p w14:paraId="01CC1A2D">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61D14B50">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64946E6">
      <w:pPr>
        <w:pStyle w:val="11"/>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shd w:val="clear" w:color="auto" w:fill="auto"/>
        </w:rPr>
      </w:pPr>
      <w:r>
        <w:rPr>
          <w:rFonts w:hint="default" w:ascii="Times New Roman" w:hAnsi="Times New Roman" w:eastAsia="仿宋_GB2312" w:cs="Times New Roman"/>
          <w:b w:val="0"/>
          <w:bCs w:val="0"/>
          <w:color w:val="auto"/>
          <w:highlight w:val="none"/>
          <w:shd w:val="clear" w:color="auto" w:fill="auto"/>
          <w:lang w:val="en-US" w:eastAsia="zh-CN"/>
        </w:rPr>
        <w:t>3</w:t>
      </w:r>
      <w:r>
        <w:rPr>
          <w:rFonts w:hint="default" w:ascii="Times New Roman" w:hAnsi="Times New Roman" w:eastAsia="仿宋_GB2312" w:cs="Times New Roman"/>
          <w:b/>
          <w:bCs/>
          <w:color w:val="auto"/>
          <w:sz w:val="32"/>
          <w:szCs w:val="32"/>
          <w:highlight w:val="none"/>
          <w:shd w:val="clear" w:color="auto" w:fill="auto"/>
          <w:lang w:val="en-US" w:eastAsia="zh-CN"/>
        </w:rPr>
        <w:t>.</w:t>
      </w:r>
      <w:r>
        <w:rPr>
          <w:rFonts w:hint="default" w:ascii="Times New Roman" w:hAnsi="Times New Roman" w:eastAsia="仿宋_GB2312" w:cs="Times New Roman"/>
          <w:b w:val="0"/>
          <w:bCs w:val="0"/>
          <w:color w:val="auto"/>
          <w:highlight w:val="none"/>
          <w:shd w:val="clear" w:color="auto" w:fill="auto"/>
        </w:rPr>
        <w:t>绩效评价的对象</w:t>
      </w:r>
    </w:p>
    <w:p w14:paraId="30408D92">
      <w:pPr>
        <w:pStyle w:val="3"/>
        <w:keepNext w:val="0"/>
        <w:keepLines w:val="0"/>
        <w:widowControl/>
        <w:suppressLineNumbers w:val="0"/>
        <w:shd w:val="clear"/>
        <w:spacing w:before="0" w:beforeAutospacing="0" w:after="0" w:afterAutospacing="0" w:line="17" w:lineRule="atLeast"/>
        <w:ind w:left="0" w:right="0" w:firstLine="0"/>
        <w:rPr>
          <w:rFonts w:hint="default"/>
          <w:color w:val="auto"/>
          <w:highlight w:val="none"/>
          <w:lang w:val="en-US" w:eastAsia="zh-CN"/>
        </w:rPr>
      </w:pPr>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本项目预算绩效评价报告的评价对象是2024年单位资金-托里县哈萨克医医院业务工作经费项目绩效评价及其预算执行情况。该项目由</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托里县哈萨克医</w:t>
      </w:r>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负责实施，旨在</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保障聘用人员工资发放及提高工作效率，持续深化医院综合改革，提升医护人员业务能力制度，保障医务人员合理待遇的原则同步落实补偿政策</w:t>
      </w:r>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。项目预算涵盖</w:t>
      </w:r>
      <w:bookmarkStart w:id="4" w:name="OLE_LINK17"/>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从</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2024年1月1日</w:t>
      </w:r>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至</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2024年12月25日</w:t>
      </w:r>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的全部资金投入与支出</w:t>
      </w:r>
      <w:bookmarkEnd w:id="4"/>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，涉及资金总额为</w:t>
      </w: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1050</w:t>
      </w:r>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万元。</w:t>
      </w:r>
    </w:p>
    <w:p w14:paraId="61E515C9">
      <w:pPr>
        <w:pStyle w:val="3"/>
        <w:keepNext w:val="0"/>
        <w:keepLines w:val="0"/>
        <w:widowControl/>
        <w:suppressLineNumbers w:val="0"/>
        <w:shd w:val="clear"/>
        <w:spacing w:before="0" w:beforeAutospacing="0" w:after="0" w:afterAutospacing="0" w:line="17" w:lineRule="atLeast"/>
        <w:ind w:left="0" w:right="0" w:firstLine="640" w:firstLineChars="200"/>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pPr>
      <w:r>
        <w:rPr>
          <w:rFonts w:hint="eastAsia" w:ascii="Times New Roman" w:hAnsi="Times New Roman" w:eastAsia="仿宋_GB2312" w:cs="Times New Roman"/>
          <w:b w:val="0"/>
          <w:bCs w:val="0"/>
          <w:color w:val="auto"/>
          <w:kern w:val="28"/>
          <w:sz w:val="32"/>
          <w:szCs w:val="32"/>
          <w:highlight w:val="none"/>
          <w:shd w:val="clear" w:color="auto" w:fill="auto"/>
          <w:lang w:val="en-US" w:eastAsia="zh-CN" w:bidi="ar-SA"/>
        </w:rPr>
        <w:t>4</w:t>
      </w:r>
      <w:r>
        <w:rPr>
          <w:rFonts w:hint="default" w:ascii="Times New Roman" w:hAnsi="Times New Roman" w:eastAsia="仿宋_GB2312" w:cs="Times New Roman"/>
          <w:b w:val="0"/>
          <w:bCs w:val="0"/>
          <w:color w:val="auto"/>
          <w:kern w:val="28"/>
          <w:sz w:val="32"/>
          <w:szCs w:val="32"/>
          <w:highlight w:val="none"/>
          <w:shd w:val="clear" w:color="auto" w:fill="auto"/>
          <w:lang w:val="en-US" w:eastAsia="zh-CN" w:bidi="ar-SA"/>
        </w:rPr>
        <w:t>.绩效评价的范围</w:t>
      </w:r>
    </w:p>
    <w:p w14:paraId="28A3B6A5">
      <w:pPr>
        <w:pStyle w:val="11"/>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shd w:val="clear" w:color="auto" w:fill="auto"/>
        </w:rPr>
      </w:pPr>
      <w:r>
        <w:rPr>
          <w:rFonts w:hint="default" w:ascii="Times New Roman" w:hAnsi="Times New Roman" w:eastAsia="仿宋_GB2312" w:cs="Times New Roman"/>
          <w:b w:val="0"/>
          <w:bCs w:val="0"/>
          <w:color w:val="auto"/>
          <w:highlight w:val="none"/>
          <w:shd w:val="clear" w:color="auto" w:fill="auto"/>
        </w:rPr>
        <w:t>本项目预算绩效评价报告的评价范围广泛而全面，涵盖了从项目立项至评价时点期间的所有关键预算活动和财务流程。具体而言，评价范围包括但不限于以下几个方面：</w:t>
      </w:r>
    </w:p>
    <w:p w14:paraId="4A4516CD">
      <w:pPr>
        <w:pStyle w:val="11"/>
        <w:widowControl w:val="0"/>
        <w:numPr>
          <w:ilvl w:val="0"/>
          <w:numId w:val="1"/>
        </w:numPr>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shd w:val="clear" w:color="auto" w:fill="auto"/>
        </w:rPr>
      </w:pPr>
      <w:r>
        <w:rPr>
          <w:rFonts w:hint="default" w:ascii="Times New Roman" w:hAnsi="Times New Roman" w:eastAsia="仿宋_GB2312" w:cs="Times New Roman"/>
          <w:b w:val="0"/>
          <w:bCs w:val="0"/>
          <w:color w:val="auto"/>
          <w:highlight w:val="none"/>
          <w:shd w:val="clear" w:color="auto" w:fill="auto"/>
        </w:rPr>
        <w:t>项目预算编制与执行：全面审视项目预算的编制依据、合理性、科学性以及实际执行情况，包括预算调整的原因和效果。</w:t>
      </w:r>
    </w:p>
    <w:p w14:paraId="5A2E5961">
      <w:pPr>
        <w:pStyle w:val="11"/>
        <w:widowControl w:val="0"/>
        <w:numPr>
          <w:ilvl w:val="0"/>
          <w:numId w:val="1"/>
        </w:numPr>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shd w:val="clear" w:color="auto" w:fill="auto"/>
          <w:lang w:eastAsia="zh-CN"/>
        </w:rPr>
      </w:pPr>
      <w:r>
        <w:rPr>
          <w:rFonts w:hint="default" w:ascii="Times New Roman" w:hAnsi="Times New Roman" w:eastAsia="仿宋_GB2312" w:cs="Times New Roman"/>
          <w:b w:val="0"/>
          <w:bCs w:val="0"/>
          <w:color w:val="auto"/>
          <w:highlight w:val="none"/>
          <w:shd w:val="clear" w:color="auto" w:fill="auto"/>
        </w:rPr>
        <w:t>资金管理：深入分析项目资金的分配、使用和监管情况，确保资金使用的合规性、高效性和透明度。</w:t>
      </w:r>
    </w:p>
    <w:p w14:paraId="14D5939A">
      <w:pPr>
        <w:pStyle w:val="11"/>
        <w:widowControl w:val="0"/>
        <w:numPr>
          <w:ilvl w:val="0"/>
          <w:numId w:val="1"/>
        </w:numPr>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shd w:val="clear" w:color="auto" w:fill="auto"/>
          <w:lang w:eastAsia="zh-CN"/>
        </w:rPr>
      </w:pPr>
      <w:r>
        <w:rPr>
          <w:rFonts w:hint="default" w:ascii="Times New Roman" w:hAnsi="Times New Roman" w:eastAsia="仿宋_GB2312" w:cs="Times New Roman"/>
          <w:b w:val="0"/>
          <w:bCs w:val="0"/>
          <w:color w:val="auto"/>
          <w:highlight w:val="none"/>
          <w:shd w:val="clear" w:color="auto" w:fill="auto"/>
        </w:rPr>
        <w:t>项目实施进度与产出：评估项目是否按照既定计划顺利推进，各项任务是否按时完成，以及项目产出的数量、质量和时效性是否符合预期。</w:t>
      </w:r>
    </w:p>
    <w:p w14:paraId="7F721C2F">
      <w:pPr>
        <w:pStyle w:val="11"/>
        <w:widowControl w:val="0"/>
        <w:numPr>
          <w:ilvl w:val="0"/>
          <w:numId w:val="1"/>
        </w:numPr>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shd w:val="clear" w:color="auto" w:fill="auto"/>
          <w:lang w:eastAsia="zh-CN"/>
        </w:rPr>
      </w:pPr>
      <w:r>
        <w:rPr>
          <w:rFonts w:hint="default" w:ascii="Times New Roman" w:hAnsi="Times New Roman" w:eastAsia="仿宋_GB2312" w:cs="Times New Roman"/>
          <w:b w:val="0"/>
          <w:bCs w:val="0"/>
          <w:color w:val="auto"/>
          <w:highlight w:val="none"/>
          <w:shd w:val="clear" w:color="auto" w:fill="auto"/>
        </w:rPr>
        <w:t>社会</w:t>
      </w:r>
      <w:r>
        <w:rPr>
          <w:rFonts w:hint="default" w:ascii="Times New Roman" w:hAnsi="Times New Roman" w:eastAsia="仿宋_GB2312" w:cs="Times New Roman"/>
          <w:b w:val="0"/>
          <w:bCs w:val="0"/>
          <w:color w:val="auto"/>
          <w:highlight w:val="none"/>
          <w:shd w:val="clear" w:color="auto" w:fill="auto"/>
          <w:lang w:eastAsia="zh-CN"/>
        </w:rPr>
        <w:t>、</w:t>
      </w:r>
      <w:r>
        <w:rPr>
          <w:rFonts w:hint="eastAsia" w:ascii="Times New Roman" w:hAnsi="Times New Roman" w:eastAsia="仿宋_GB2312" w:cs="Times New Roman"/>
          <w:b w:val="0"/>
          <w:bCs w:val="0"/>
          <w:color w:val="auto"/>
          <w:highlight w:val="none"/>
          <w:shd w:val="clear" w:color="auto" w:fill="auto"/>
          <w:lang w:val="en-US" w:eastAsia="zh-CN"/>
        </w:rPr>
        <w:t>生态</w:t>
      </w:r>
      <w:r>
        <w:rPr>
          <w:rFonts w:hint="default" w:ascii="Times New Roman" w:hAnsi="Times New Roman" w:eastAsia="仿宋_GB2312" w:cs="Times New Roman"/>
          <w:b w:val="0"/>
          <w:bCs w:val="0"/>
          <w:color w:val="auto"/>
          <w:highlight w:val="none"/>
          <w:shd w:val="clear" w:color="auto" w:fill="auto"/>
          <w:lang w:val="en-US" w:eastAsia="zh-CN"/>
        </w:rPr>
        <w:t>等</w:t>
      </w:r>
      <w:r>
        <w:rPr>
          <w:rFonts w:hint="default" w:ascii="Times New Roman" w:hAnsi="Times New Roman" w:eastAsia="仿宋_GB2312" w:cs="Times New Roman"/>
          <w:b w:val="0"/>
          <w:bCs w:val="0"/>
          <w:color w:val="auto"/>
          <w:highlight w:val="none"/>
          <w:shd w:val="clear" w:color="auto" w:fill="auto"/>
        </w:rPr>
        <w:t>影响：考察项目对社会、经济等方面的综合影响。</w:t>
      </w:r>
    </w:p>
    <w:p w14:paraId="239E366D">
      <w:pPr>
        <w:shd w:val="clea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14:paraId="7D6EBDE6">
      <w:pPr>
        <w:pStyle w:val="11"/>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14:paraId="1177CF09">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14:paraId="152C3B62">
      <w:pPr>
        <w:pStyle w:val="11"/>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14:paraId="74C9E0F5">
      <w:pPr>
        <w:pStyle w:val="11"/>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14:paraId="37E1272B">
      <w:pPr>
        <w:pStyle w:val="11"/>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14:paraId="2175489C">
      <w:pPr>
        <w:pStyle w:val="11"/>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14:paraId="40178C7F">
      <w:pPr>
        <w:pStyle w:val="11"/>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14:paraId="4B19AAC5">
      <w:pPr>
        <w:shd w:val="clea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6DE5105E">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14:paraId="71AEA596">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7D971585">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14:paraId="10CF618B">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1D4480B2">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14:paraId="0C4F0AA1">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6F515270">
      <w:pPr>
        <w:pStyle w:val="11"/>
        <w:shd w:val="clear"/>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14:paraId="7BDABF12">
      <w:pPr>
        <w:pStyle w:val="11"/>
        <w:widowControl w:val="0"/>
        <w:shd w:val="clear"/>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14:paraId="4BE1ECC1">
      <w:pPr>
        <w:pStyle w:val="11"/>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14:paraId="7728E507">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243ABE41">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481595AD">
      <w:pPr>
        <w:numPr>
          <w:ilvl w:val="0"/>
          <w:numId w:val="2"/>
        </w:num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比较法</w:t>
      </w:r>
      <w:r>
        <w:rPr>
          <w:rFonts w:hint="eastAsia" w:eastAsia="仿宋_GB2312" w:cs="Times New Roman"/>
          <w:color w:val="auto"/>
          <w:spacing w:val="17"/>
          <w:sz w:val="32"/>
          <w:szCs w:val="32"/>
          <w:highlight w:val="none"/>
          <w:lang w:eastAsia="zh-CN"/>
        </w:rPr>
        <w:t>：</w:t>
      </w:r>
      <w:r>
        <w:rPr>
          <w:rFonts w:hint="eastAsia" w:eastAsia="仿宋_GB2312" w:cs="Times New Roman"/>
          <w:color w:val="auto"/>
          <w:spacing w:val="17"/>
          <w:sz w:val="32"/>
          <w:szCs w:val="32"/>
          <w:highlight w:val="none"/>
          <w:lang w:val="en-US" w:eastAsia="zh-CN"/>
        </w:rPr>
        <w:t>通过整理本项目相关资料和数据，评价数量指标的完成情况;通过分析项目的实施情况与绩效目标实现情况，评价项目实施的效果;通过分析项目资金使用情况及产生的效果，评价预算资金分配的合理性。</w:t>
      </w:r>
    </w:p>
    <w:p w14:paraId="7CF51CA8">
      <w:pPr>
        <w:numPr>
          <w:ilvl w:val="0"/>
          <w:numId w:val="0"/>
        </w:numPr>
        <w:shd w:val="clea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（二）公众评判法</w:t>
      </w:r>
      <w:r>
        <w:rPr>
          <w:rFonts w:hint="eastAsia" w:eastAsia="仿宋_GB2312" w:cs="Times New Roman"/>
          <w:color w:val="auto"/>
          <w:spacing w:val="17"/>
          <w:sz w:val="32"/>
          <w:szCs w:val="32"/>
          <w:highlight w:val="none"/>
          <w:lang w:eastAsia="zh-CN"/>
        </w:rPr>
        <w:t>：价组采用实地访谈、远程访谈相结合方式，对本项目的实施情况进行充分调研，了解掌握资金分配、资金管理、资金使用、制度建设、制度执行情况。采用问卷调查方式，对受益对象开展满意度调查，进行综合评价。</w:t>
      </w:r>
    </w:p>
    <w:p w14:paraId="7BFCD952">
      <w:pPr>
        <w:pStyle w:val="11"/>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14:paraId="0FCBC5D4">
      <w:pPr>
        <w:pStyle w:val="11"/>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历史</w:t>
      </w:r>
      <w:r>
        <w:rPr>
          <w:rFonts w:hint="default" w:ascii="Times New Roman" w:hAnsi="Times New Roman" w:eastAsia="仿宋_GB2312" w:cs="Times New Roman"/>
          <w:b w:val="0"/>
          <w:bCs w:val="0"/>
          <w:color w:val="auto"/>
          <w:highlight w:val="none"/>
        </w:rPr>
        <w:t>标准。</w:t>
      </w:r>
    </w:p>
    <w:p w14:paraId="717809B8">
      <w:pPr>
        <w:pStyle w:val="11"/>
        <w:widowControl w:val="0"/>
        <w:numPr>
          <w:ilvl w:val="0"/>
          <w:numId w:val="3"/>
        </w:numPr>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历史标准。</w:t>
      </w:r>
      <w:r>
        <w:rPr>
          <w:rFonts w:hint="eastAsia" w:ascii="Times New Roman" w:hAnsi="Times New Roman" w:eastAsia="仿宋_GB2312" w:cs="Times New Roman"/>
          <w:b w:val="0"/>
          <w:bCs w:val="0"/>
          <w:color w:val="auto"/>
          <w:highlight w:val="none"/>
          <w:lang w:val="en-US" w:eastAsia="zh-CN"/>
        </w:rPr>
        <w:t>历史标准。我单位按照去年的指标完成情况，设定今年的预期目标。通过纵向的不同时间各项指标的完成情况来反映出，今年与去年的不同之处。从而反映出该指标的设定与去年相比是否对社会效益生产更加有意的影响。</w:t>
      </w:r>
    </w:p>
    <w:p w14:paraId="65DF8812">
      <w:pPr>
        <w:pStyle w:val="11"/>
        <w:numPr>
          <w:ilvl w:val="0"/>
          <w:numId w:val="4"/>
        </w:numPr>
        <w:shd w:val="clea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14:paraId="28A15E3F">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14:paraId="4F6451C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w:t>
      </w:r>
      <w:r>
        <w:rPr>
          <w:rFonts w:hint="eastAsia" w:eastAsia="仿宋_GB2312" w:cs="Times New Roman"/>
          <w:color w:val="auto"/>
          <w:sz w:val="32"/>
          <w:szCs w:val="32"/>
          <w:highlight w:val="none"/>
          <w:lang w:val="en-US" w:eastAsia="zh-CN"/>
        </w:rPr>
        <w:t>人员</w:t>
      </w:r>
      <w:r>
        <w:rPr>
          <w:rFonts w:hint="default" w:ascii="Times New Roman" w:hAnsi="Times New Roman" w:eastAsia="仿宋_GB2312" w:cs="Times New Roman"/>
          <w:color w:val="auto"/>
          <w:sz w:val="32"/>
          <w:szCs w:val="32"/>
          <w:highlight w:val="none"/>
        </w:rPr>
        <w:t>、项目管理专业人员及相关领域技术骨干组成，确保从多角度、全方位对项目绩效进行评价。同时，明确了评价工作的目标、范围、重点及时间安排，制定了详细的工作计划，为评价工作的顺利开展奠定了坚实基础。</w:t>
      </w:r>
    </w:p>
    <w:p w14:paraId="457B436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4EDF47AD">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5C8FF368">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2B1890F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015C8C29">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44E60B81">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14758DDE">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1DCA5393">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0DE0EAB">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471A79EE">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F413EA6">
      <w:pPr>
        <w:numPr>
          <w:ilvl w:val="0"/>
          <w:numId w:val="5"/>
        </w:numPr>
        <w:shd w:val="clea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14:paraId="764721AE">
      <w:pPr>
        <w:pStyle w:val="11"/>
        <w:keepNext w:val="0"/>
        <w:keepLines w:val="0"/>
        <w:pageBreakBefore w:val="0"/>
        <w:widowControl/>
        <w:numPr>
          <w:ilvl w:val="0"/>
          <w:numId w:val="6"/>
        </w:numPr>
        <w:shd w:val="clear"/>
        <w:kinsoku/>
        <w:wordWrap/>
        <w:overflowPunct/>
        <w:topLinePunct w:val="0"/>
        <w:autoSpaceDE/>
        <w:autoSpaceDN/>
        <w:bidi w:val="0"/>
        <w:adjustRightInd/>
        <w:snapToGrid/>
        <w:spacing w:before="0" w:after="0" w:line="560" w:lineRule="exact"/>
        <w:ind w:firstLine="643" w:firstLineChars="200"/>
        <w:jc w:val="both"/>
        <w:textAlignment w:val="auto"/>
        <w:rPr>
          <w:rFonts w:hint="default"/>
          <w:color w:val="auto"/>
          <w:highlight w:val="none"/>
          <w:lang w:val="en-US" w:eastAsia="zh-CN"/>
        </w:rPr>
      </w:pPr>
      <w:r>
        <w:rPr>
          <w:rFonts w:hint="default" w:ascii="Times New Roman" w:hAnsi="Times New Roman" w:eastAsia="楷体_GB2312" w:cs="Times New Roman"/>
          <w:color w:val="auto"/>
          <w:highlight w:val="none"/>
          <w:lang w:val="en-US" w:eastAsia="zh-CN"/>
        </w:rPr>
        <w:t>评价情况</w:t>
      </w:r>
    </w:p>
    <w:p w14:paraId="21CD752C">
      <w:pPr>
        <w:shd w:val="clear"/>
        <w:spacing w:line="700" w:lineRule="exact"/>
        <w:ind w:firstLine="640" w:firstLineChars="200"/>
        <w:jc w:val="left"/>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本项目的综合评价基于对项目各方面绩效的深入分析与评估。从项目目标的达成情况来看，</w:t>
      </w:r>
      <w:r>
        <w:rPr>
          <w:rFonts w:hint="eastAsia" w:ascii="Times New Roman" w:hAnsi="Times New Roman" w:eastAsia="仿宋_GB2312" w:cs="Times New Roman"/>
          <w:b w:val="0"/>
          <w:bCs w:val="0"/>
          <w:color w:val="auto"/>
          <w:kern w:val="2"/>
          <w:sz w:val="32"/>
          <w:szCs w:val="32"/>
          <w:highlight w:val="none"/>
          <w:lang w:val="en-US" w:eastAsia="zh-CN" w:bidi="ar-SA"/>
        </w:rPr>
        <w:t>托里县哈萨克医医院业务工作经费项目</w:t>
      </w:r>
      <w:r>
        <w:rPr>
          <w:rFonts w:hint="default" w:ascii="Times New Roman" w:hAnsi="Times New Roman" w:eastAsia="仿宋_GB2312" w:cs="Times New Roman"/>
          <w:b w:val="0"/>
          <w:bCs w:val="0"/>
          <w:color w:val="auto"/>
          <w:kern w:val="2"/>
          <w:sz w:val="32"/>
          <w:szCs w:val="32"/>
          <w:highlight w:val="none"/>
          <w:lang w:val="en-US" w:eastAsia="zh-CN" w:bidi="ar-SA"/>
        </w:rPr>
        <w:t>在</w:t>
      </w:r>
      <w:r>
        <w:rPr>
          <w:rFonts w:hint="eastAsia" w:eastAsia="仿宋_GB2312" w:cs="Times New Roman"/>
          <w:b w:val="0"/>
          <w:bCs w:val="0"/>
          <w:color w:val="auto"/>
          <w:kern w:val="2"/>
          <w:sz w:val="32"/>
          <w:szCs w:val="32"/>
          <w:highlight w:val="none"/>
          <w:lang w:val="en-US" w:eastAsia="zh-CN" w:bidi="ar-SA"/>
        </w:rPr>
        <w:t>发放</w:t>
      </w:r>
      <w:r>
        <w:rPr>
          <w:rFonts w:hint="default" w:ascii="Times New Roman" w:hAnsi="Times New Roman" w:eastAsia="仿宋_GB2312" w:cs="Times New Roman"/>
          <w:b w:val="0"/>
          <w:bCs w:val="0"/>
          <w:color w:val="auto"/>
          <w:kern w:val="2"/>
          <w:sz w:val="32"/>
          <w:szCs w:val="32"/>
          <w:highlight w:val="none"/>
          <w:lang w:val="en-US" w:eastAsia="zh-CN" w:bidi="ar-SA"/>
        </w:rPr>
        <w:t>聘用人员</w:t>
      </w:r>
      <w:r>
        <w:rPr>
          <w:rFonts w:hint="eastAsia" w:ascii="Times New Roman" w:hAnsi="Times New Roman" w:eastAsia="仿宋_GB2312" w:cs="Times New Roman"/>
          <w:b w:val="0"/>
          <w:bCs w:val="0"/>
          <w:color w:val="auto"/>
          <w:kern w:val="2"/>
          <w:sz w:val="32"/>
          <w:szCs w:val="32"/>
          <w:highlight w:val="none"/>
          <w:lang w:val="en-US" w:eastAsia="zh-CN" w:bidi="ar-SA"/>
        </w:rPr>
        <w:t>工资，</w:t>
      </w:r>
      <w:r>
        <w:rPr>
          <w:rFonts w:hint="default" w:ascii="Times New Roman" w:hAnsi="Times New Roman" w:eastAsia="仿宋_GB2312" w:cs="Times New Roman"/>
          <w:b w:val="0"/>
          <w:bCs w:val="0"/>
          <w:color w:val="auto"/>
          <w:kern w:val="2"/>
          <w:sz w:val="32"/>
          <w:szCs w:val="32"/>
          <w:highlight w:val="none"/>
          <w:lang w:val="en-US" w:eastAsia="zh-CN" w:bidi="ar-SA"/>
        </w:rPr>
        <w:t>采购医疗耗材</w:t>
      </w:r>
      <w:r>
        <w:rPr>
          <w:rFonts w:hint="eastAsia" w:ascii="Times New Roman" w:hAnsi="Times New Roman" w:eastAsia="仿宋_GB2312" w:cs="Times New Roman"/>
          <w:b w:val="0"/>
          <w:bCs w:val="0"/>
          <w:color w:val="auto"/>
          <w:kern w:val="2"/>
          <w:sz w:val="32"/>
          <w:szCs w:val="32"/>
          <w:highlight w:val="none"/>
          <w:lang w:val="en-US" w:eastAsia="zh-CN" w:bidi="ar-SA"/>
        </w:rPr>
        <w:t>，</w:t>
      </w:r>
      <w:r>
        <w:rPr>
          <w:rFonts w:hint="eastAsia" w:eastAsia="仿宋_GB2312" w:cs="Times New Roman"/>
          <w:b w:val="0"/>
          <w:bCs w:val="0"/>
          <w:color w:val="auto"/>
          <w:kern w:val="2"/>
          <w:sz w:val="32"/>
          <w:szCs w:val="32"/>
          <w:highlight w:val="none"/>
          <w:lang w:val="en-US" w:eastAsia="zh-CN" w:bidi="ar-SA"/>
        </w:rPr>
        <w:t>开展</w:t>
      </w:r>
      <w:r>
        <w:rPr>
          <w:rFonts w:hint="default" w:ascii="Times New Roman" w:hAnsi="Times New Roman" w:eastAsia="仿宋_GB2312" w:cs="Times New Roman"/>
          <w:b w:val="0"/>
          <w:bCs w:val="0"/>
          <w:color w:val="auto"/>
          <w:kern w:val="2"/>
          <w:sz w:val="32"/>
          <w:szCs w:val="32"/>
          <w:highlight w:val="none"/>
          <w:lang w:val="en-US" w:eastAsia="zh-CN" w:bidi="ar-SA"/>
        </w:rPr>
        <w:t>培训等方面表现出色，达到了预期的标准与要求。同时，</w:t>
      </w:r>
      <w:r>
        <w:rPr>
          <w:rFonts w:hint="eastAsia" w:ascii="Times New Roman" w:hAnsi="Times New Roman" w:eastAsia="仿宋_GB2312" w:cs="Times New Roman"/>
          <w:b w:val="0"/>
          <w:bCs w:val="0"/>
          <w:color w:val="auto"/>
          <w:kern w:val="2"/>
          <w:sz w:val="32"/>
          <w:szCs w:val="32"/>
          <w:highlight w:val="none"/>
          <w:lang w:val="en-US" w:eastAsia="zh-CN" w:bidi="ar-SA"/>
        </w:rPr>
        <w:t>项目也在项目实施过程取得了显著的成效，如持续医院综合改革，巩固实施药品制度，扩大医改成果，深化基层医疗卫生机构管理体制、补偿机制等多个方面的综合改革和要按照保障机构有效运行和健康发展、保障医务人员合理待遇的原则同步落实补偿政策，建立稳定的补偿渠道和补偿方式。提高职工的服务水平，提高社会生活能力，解决了购买</w:t>
      </w:r>
      <w:r>
        <w:rPr>
          <w:rFonts w:hint="eastAsia" w:eastAsia="仿宋_GB2312" w:cs="Times New Roman"/>
          <w:b w:val="0"/>
          <w:bCs w:val="0"/>
          <w:color w:val="auto"/>
          <w:kern w:val="2"/>
          <w:sz w:val="32"/>
          <w:szCs w:val="32"/>
          <w:highlight w:val="none"/>
          <w:lang w:val="en-US" w:eastAsia="zh-CN" w:bidi="ar-SA"/>
        </w:rPr>
        <w:t>哈萨克医</w:t>
      </w:r>
      <w:r>
        <w:rPr>
          <w:rFonts w:hint="eastAsia" w:ascii="Times New Roman" w:hAnsi="Times New Roman" w:eastAsia="仿宋_GB2312" w:cs="Times New Roman"/>
          <w:b w:val="0"/>
          <w:bCs w:val="0"/>
          <w:color w:val="auto"/>
          <w:kern w:val="2"/>
          <w:sz w:val="32"/>
          <w:szCs w:val="32"/>
          <w:highlight w:val="none"/>
          <w:lang w:val="en-US" w:eastAsia="zh-CN" w:bidi="ar-SA"/>
        </w:rPr>
        <w:t>医院医疗器械和医共体乡镇卫生院医疗器械问题，实现了医疗设备的购买，有效的解决了患者</w:t>
      </w:r>
      <w:r>
        <w:rPr>
          <w:rFonts w:hint="eastAsia" w:eastAsia="仿宋_GB2312" w:cs="Times New Roman"/>
          <w:b w:val="0"/>
          <w:bCs w:val="0"/>
          <w:color w:val="auto"/>
          <w:kern w:val="2"/>
          <w:sz w:val="32"/>
          <w:szCs w:val="32"/>
          <w:highlight w:val="none"/>
          <w:lang w:val="en-US" w:eastAsia="zh-CN" w:bidi="ar-SA"/>
        </w:rPr>
        <w:t>看病困难问题。</w:t>
      </w:r>
    </w:p>
    <w:p w14:paraId="18DAB6A3">
      <w:pPr>
        <w:pStyle w:val="3"/>
        <w:keepNext w:val="0"/>
        <w:keepLines w:val="0"/>
        <w:widowControl/>
        <w:suppressLineNumbers w:val="0"/>
        <w:shd w:val="clear"/>
        <w:spacing w:before="0" w:beforeAutospacing="0" w:after="0" w:afterAutospacing="0" w:line="17" w:lineRule="atLeast"/>
        <w:ind w:left="0" w:right="0" w:firstLine="640" w:firstLineChars="200"/>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在项目管理方面</w:t>
      </w:r>
      <w:bookmarkStart w:id="5" w:name="OLE_LINK2"/>
      <w:r>
        <w:rPr>
          <w:rFonts w:hint="default" w:ascii="Times New Roman" w:hAnsi="Times New Roman" w:eastAsia="仿宋_GB2312" w:cs="Times New Roman"/>
          <w:b w:val="0"/>
          <w:bCs w:val="0"/>
          <w:color w:val="auto"/>
          <w:kern w:val="2"/>
          <w:sz w:val="32"/>
          <w:szCs w:val="32"/>
          <w:highlight w:val="none"/>
          <w:lang w:val="en-US" w:eastAsia="zh-CN" w:bidi="ar-SA"/>
        </w:rPr>
        <w:t>托里县哈萨克医医院业务工作经费</w:t>
      </w:r>
      <w:bookmarkEnd w:id="5"/>
      <w:r>
        <w:rPr>
          <w:rFonts w:hint="default" w:ascii="Times New Roman" w:hAnsi="Times New Roman" w:eastAsia="仿宋_GB2312" w:cs="Times New Roman"/>
          <w:b w:val="0"/>
          <w:bCs w:val="0"/>
          <w:color w:val="auto"/>
          <w:kern w:val="2"/>
          <w:sz w:val="32"/>
          <w:szCs w:val="32"/>
          <w:highlight w:val="none"/>
          <w:lang w:val="en-US" w:eastAsia="zh-CN" w:bidi="ar-SA"/>
        </w:rPr>
        <w:t>项目通过有效的规划、组织与协调，项目得以顺利实施，并在预算与时间上保持了良好的控制。</w:t>
      </w:r>
    </w:p>
    <w:p w14:paraId="26B0DC55">
      <w:pPr>
        <w:pStyle w:val="10"/>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w:t>
      </w:r>
      <w:r>
        <w:rPr>
          <w:rFonts w:hint="eastAsia" w:eastAsia="仿宋_GB2312" w:cs="Times New Roman"/>
          <w:color w:val="auto"/>
          <w:sz w:val="32"/>
          <w:szCs w:val="32"/>
          <w:highlight w:val="none"/>
          <w:lang w:val="en-US" w:eastAsia="zh-CN"/>
        </w:rPr>
        <w:t>经济效益</w:t>
      </w:r>
      <w:r>
        <w:rPr>
          <w:rFonts w:hint="default" w:ascii="Times New Roman" w:hAnsi="Times New Roman" w:eastAsia="仿宋_GB2312" w:cs="Times New Roman"/>
          <w:color w:val="auto"/>
          <w:sz w:val="32"/>
          <w:szCs w:val="32"/>
          <w:highlight w:val="none"/>
        </w:rPr>
        <w:t>等方面产生了积极的影响。具体而言，医疗收入、保障住院床位等方面的提升，为项目的利益相关者带来了实实在在的利益。</w:t>
      </w:r>
    </w:p>
    <w:p w14:paraId="5EAEE946">
      <w:pPr>
        <w:pStyle w:val="10"/>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default" w:ascii="Times New Roman" w:hAnsi="Times New Roman" w:eastAsia="仿宋_GB2312" w:cs="Times New Roman"/>
          <w:b w:val="0"/>
          <w:bCs w:val="0"/>
          <w:color w:val="auto"/>
          <w:kern w:val="0"/>
          <w:sz w:val="32"/>
          <w:szCs w:val="32"/>
          <w:highlight w:val="none"/>
          <w:lang w:val="en-US" w:eastAsia="zh-CN" w:bidi="ar"/>
        </w:rPr>
        <w:t>托里县哈萨克医医院业务工作经费</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14:paraId="34183B18">
      <w:pPr>
        <w:pStyle w:val="11"/>
        <w:keepNext w:val="0"/>
        <w:keepLines w:val="0"/>
        <w:pageBreakBefore w:val="0"/>
        <w:widowControl/>
        <w:shd w:val="clear"/>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14:paraId="5B44F0AC">
      <w:pPr>
        <w:pStyle w:val="11"/>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运用绩效评价组制定的评价指标体系以及财政部《项目支出绩效评价管理办法》（财预〔2020〕10号）文件的评分标准，通过数据采集、问卷</w:t>
      </w:r>
      <w:r>
        <w:rPr>
          <w:rFonts w:hint="default" w:ascii="Times New Roman" w:hAnsi="Times New Roman" w:eastAsia="仿宋_GB2312" w:cs="Times New Roman"/>
          <w:b w:val="0"/>
          <w:bCs w:val="0"/>
          <w:color w:val="auto"/>
          <w:highlight w:val="none"/>
        </w:rPr>
        <w:t xml:space="preserve">调查及访谈等方式，对本项目进行客观评价，最终评分结果：总得分为 </w:t>
      </w:r>
      <w:r>
        <w:rPr>
          <w:rFonts w:hint="eastAsia" w:ascii="Times New Roman" w:hAnsi="Times New Roman" w:eastAsia="仿宋_GB2312" w:cs="Times New Roman"/>
          <w:b w:val="0"/>
          <w:bCs w:val="0"/>
          <w:color w:val="auto"/>
          <w:highlight w:val="none"/>
          <w:lang w:val="en-US" w:eastAsia="zh-CN"/>
        </w:rPr>
        <w:t>90</w:t>
      </w:r>
      <w:r>
        <w:rPr>
          <w:rFonts w:hint="default" w:ascii="Times New Roman" w:hAnsi="Times New Roman" w:eastAsia="仿宋_GB2312" w:cs="Times New Roman"/>
          <w:b w:val="0"/>
          <w:bCs w:val="0"/>
          <w:color w:val="auto"/>
          <w:highlight w:val="none"/>
        </w:rPr>
        <w:t>分，属于“优”。其中，项目决策类指标权重为20分，得分为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14:paraId="02528810">
      <w:pPr>
        <w:pStyle w:val="11"/>
        <w:keepNext w:val="0"/>
        <w:keepLines w:val="0"/>
        <w:pageBreakBefore w:val="0"/>
        <w:widowControl/>
        <w:shd w:val="clear"/>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5"/>
        <w:tblW w:w="4998" w:type="pct"/>
        <w:jc w:val="center"/>
        <w:tblLayout w:type="autofit"/>
        <w:tblCellMar>
          <w:top w:w="0" w:type="dxa"/>
          <w:left w:w="108" w:type="dxa"/>
          <w:bottom w:w="0" w:type="dxa"/>
          <w:right w:w="108" w:type="dxa"/>
        </w:tblCellMar>
      </w:tblPr>
      <w:tblGrid>
        <w:gridCol w:w="4508"/>
        <w:gridCol w:w="3116"/>
        <w:gridCol w:w="3272"/>
        <w:gridCol w:w="3272"/>
      </w:tblGrid>
      <w:tr w14:paraId="78DC1A00">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98189C2">
            <w:pPr>
              <w:shd w:val="clea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099"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9B41023">
            <w:pPr>
              <w:shd w:val="clea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1154"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1950A51">
            <w:pPr>
              <w:shd w:val="clea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1154"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AD29E98">
            <w:pPr>
              <w:shd w:val="clea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14:paraId="54F4F457">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322AB18B">
            <w:pPr>
              <w:shd w:val="clea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099" w:type="pct"/>
            <w:tcBorders>
              <w:top w:val="nil"/>
              <w:left w:val="nil"/>
              <w:bottom w:val="single" w:color="auto" w:sz="4" w:space="0"/>
              <w:right w:val="single" w:color="auto" w:sz="4" w:space="0"/>
            </w:tcBorders>
            <w:shd w:val="clear" w:color="auto" w:fill="auto"/>
            <w:vAlign w:val="center"/>
          </w:tcPr>
          <w:p w14:paraId="55417D9D">
            <w:pPr>
              <w:shd w:val="clea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3CCA9DDE">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34D20512">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1B0E6B1E">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20F1710D">
            <w:pPr>
              <w:shd w:val="clea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099" w:type="pct"/>
            <w:tcBorders>
              <w:top w:val="nil"/>
              <w:left w:val="nil"/>
              <w:bottom w:val="single" w:color="auto" w:sz="4" w:space="0"/>
              <w:right w:val="single" w:color="auto" w:sz="4" w:space="0"/>
            </w:tcBorders>
            <w:shd w:val="clear" w:color="auto" w:fill="auto"/>
            <w:vAlign w:val="center"/>
          </w:tcPr>
          <w:p w14:paraId="5F5421C8">
            <w:pPr>
              <w:shd w:val="clea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42F3E4B1">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742056AE">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1FEAD152">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1C2E2202">
            <w:pPr>
              <w:shd w:val="clea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099" w:type="pct"/>
            <w:tcBorders>
              <w:top w:val="nil"/>
              <w:left w:val="nil"/>
              <w:bottom w:val="single" w:color="auto" w:sz="4" w:space="0"/>
              <w:right w:val="single" w:color="auto" w:sz="4" w:space="0"/>
            </w:tcBorders>
            <w:shd w:val="clear" w:color="auto" w:fill="auto"/>
            <w:vAlign w:val="center"/>
          </w:tcPr>
          <w:p w14:paraId="58A970BD">
            <w:pPr>
              <w:shd w:val="clea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1E417F2D">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3346FE07">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5AB136E2">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68D3C2FA">
            <w:pPr>
              <w:shd w:val="clea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099" w:type="pct"/>
            <w:tcBorders>
              <w:top w:val="nil"/>
              <w:left w:val="nil"/>
              <w:bottom w:val="single" w:color="auto" w:sz="4" w:space="0"/>
              <w:right w:val="single" w:color="auto" w:sz="4" w:space="0"/>
            </w:tcBorders>
            <w:shd w:val="clear" w:color="auto" w:fill="auto"/>
            <w:vAlign w:val="center"/>
          </w:tcPr>
          <w:p w14:paraId="2A679CD3">
            <w:pPr>
              <w:shd w:val="clea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579D04F9">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49561D9D">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5BD96F35">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15FFDA76">
            <w:pPr>
              <w:shd w:val="clea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099" w:type="pct"/>
            <w:tcBorders>
              <w:top w:val="nil"/>
              <w:left w:val="nil"/>
              <w:bottom w:val="single" w:color="auto" w:sz="4" w:space="0"/>
              <w:right w:val="single" w:color="auto" w:sz="4" w:space="0"/>
            </w:tcBorders>
            <w:shd w:val="clear" w:color="auto" w:fill="auto"/>
            <w:vAlign w:val="center"/>
          </w:tcPr>
          <w:p w14:paraId="07642C70">
            <w:pPr>
              <w:shd w:val="clea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00EB9C6F">
            <w:pPr>
              <w:shd w:val="clea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676E390A">
            <w:pPr>
              <w:shd w:val="clea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r>
    </w:tbl>
    <w:p w14:paraId="5CD3EC8C">
      <w:pPr>
        <w:shd w:val="clea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14:paraId="0D1EF749">
      <w:pPr>
        <w:pStyle w:val="11"/>
        <w:shd w:val="clear"/>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14:paraId="6DB5D84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7B6F8DAF">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14:paraId="1158E51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14:paraId="7FB389B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E71E3B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14:paraId="5454D83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37AEBDE6">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14:paraId="2B2C0AB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14:paraId="137B615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EDD4F7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14:paraId="58D215F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6A5F8152">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14:paraId="17803B6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14:paraId="6988A9ED">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5666D0B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624742E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295F9E79">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63E2558">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65400E0E">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F4D5E4A">
      <w:pPr>
        <w:pStyle w:val="11"/>
        <w:numPr>
          <w:ilvl w:val="0"/>
          <w:numId w:val="7"/>
        </w:numPr>
        <w:shd w:val="clea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14:paraId="49F1BD2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5E4219BB">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14:paraId="6F5A843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14:paraId="729AE6E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1050</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414C76D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3622722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1050</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0DDD95F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14:paraId="3FD653CE">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5F17988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1570B9F">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7DCDB75E">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5F111DE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14:paraId="5CCA39D5">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30CDD6E1">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14CCF5DE">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251F511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1AD3328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14:paraId="27E82B4C">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14:paraId="058ACC0A">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09BD21A3">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14:paraId="069E0A72">
      <w:pPr>
        <w:pStyle w:val="13"/>
        <w:numPr>
          <w:ilvl w:val="0"/>
          <w:numId w:val="7"/>
        </w:numPr>
        <w:shd w:val="clear"/>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p>
    <w:p w14:paraId="6B49CB9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w:t>
      </w:r>
      <w:r>
        <w:rPr>
          <w:rFonts w:hint="default" w:ascii="Times New Roman" w:hAnsi="Times New Roman" w:eastAsia="仿宋_GB2312" w:cs="Times New Roman"/>
          <w:color w:val="auto"/>
          <w:sz w:val="32"/>
          <w:szCs w:val="32"/>
          <w:highlight w:val="none"/>
          <w:lang w:val="en-US" w:eastAsia="zh-CN"/>
        </w:rPr>
        <w:t>况如下：</w:t>
      </w:r>
    </w:p>
    <w:p w14:paraId="15C9CB9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4A7DC963">
      <w:pPr>
        <w:shd w:val="clear"/>
        <w:spacing w:line="600" w:lineRule="exact"/>
        <w:ind w:firstLine="640" w:firstLineChars="200"/>
        <w:outlineLvl w:val="0"/>
        <w:rPr>
          <w:rFonts w:hint="default" w:eastAsia="仿宋_GB2312" w:cs="Times New Roman"/>
          <w:color w:val="auto"/>
          <w:sz w:val="32"/>
          <w:szCs w:val="32"/>
          <w:highlight w:val="none"/>
          <w:lang w:val="en-US" w:eastAsia="zh-CN"/>
        </w:rPr>
      </w:pPr>
      <w:bookmarkStart w:id="6" w:name="OLE_LINK3"/>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聘用人员数</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56人</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56人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bookmarkStart w:id="7" w:name="OLE_LINK7"/>
      <w:r>
        <w:rPr>
          <w:rFonts w:hint="eastAsia" w:eastAsia="仿宋_GB2312" w:cs="Times New Roman"/>
          <w:color w:val="auto"/>
          <w:sz w:val="32"/>
          <w:szCs w:val="32"/>
          <w:highlight w:val="none"/>
          <w:lang w:val="en-US" w:eastAsia="zh-CN"/>
        </w:rPr>
        <w:t>无偏差。</w:t>
      </w:r>
      <w:bookmarkEnd w:id="7"/>
    </w:p>
    <w:bookmarkEnd w:id="6"/>
    <w:p w14:paraId="40533E39">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采购医疗耗材数</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1000个</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1000个</w:t>
      </w:r>
      <w:r>
        <w:rPr>
          <w:rFonts w:hint="default" w:ascii="Times New Roman" w:hAnsi="Times New Roman" w:eastAsia="仿宋_GB2312" w:cs="Times New Roman"/>
          <w:color w:val="auto"/>
          <w:sz w:val="32"/>
          <w:szCs w:val="32"/>
          <w:highlight w:val="none"/>
        </w:rPr>
        <w:t xml:space="preserve">，指标完成率 </w:t>
      </w:r>
      <w:r>
        <w:rPr>
          <w:rFonts w:hint="eastAsia" w:eastAsia="仿宋_GB2312" w:cs="Times New Roman"/>
          <w:color w:val="auto"/>
          <w:sz w:val="32"/>
          <w:szCs w:val="32"/>
          <w:highlight w:val="none"/>
          <w:lang w:val="en-US" w:eastAsia="zh-CN"/>
        </w:rPr>
        <w:t>100%</w:t>
      </w:r>
      <w:bookmarkStart w:id="8" w:name="OLE_LINK8"/>
      <w:r>
        <w:rPr>
          <w:rFonts w:hint="eastAsia" w:eastAsia="仿宋_GB2312" w:cs="Times New Roman"/>
          <w:color w:val="auto"/>
          <w:sz w:val="32"/>
          <w:szCs w:val="32"/>
          <w:highlight w:val="none"/>
          <w:lang w:val="en-US" w:eastAsia="zh-CN"/>
        </w:rPr>
        <w:t>，无偏差。</w:t>
      </w:r>
      <w:bookmarkEnd w:id="8"/>
    </w:p>
    <w:p w14:paraId="2CE63DF7">
      <w:pPr>
        <w:shd w:val="clear"/>
        <w:spacing w:line="600" w:lineRule="exact"/>
        <w:ind w:firstLine="640" w:firstLineChars="200"/>
        <w:outlineLvl w:val="0"/>
        <w:rPr>
          <w:rFonts w:hint="default"/>
          <w:color w:val="auto"/>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培训次数</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25次</w:t>
      </w:r>
      <w:r>
        <w:rPr>
          <w:rFonts w:hint="default" w:ascii="Times New Roman" w:hAnsi="Times New Roman" w:eastAsia="仿宋_GB2312" w:cs="Times New Roman"/>
          <w:color w:val="auto"/>
          <w:sz w:val="32"/>
          <w:szCs w:val="32"/>
          <w:highlight w:val="none"/>
        </w:rPr>
        <w:t xml:space="preserve"> ，实际完成值：</w:t>
      </w:r>
      <w:r>
        <w:rPr>
          <w:rFonts w:hint="eastAsia" w:eastAsia="仿宋_GB2312" w:cs="Times New Roman"/>
          <w:color w:val="auto"/>
          <w:sz w:val="32"/>
          <w:szCs w:val="32"/>
          <w:highlight w:val="none"/>
          <w:lang w:val="en-US" w:eastAsia="zh-CN"/>
        </w:rPr>
        <w:t>25次</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bookmarkStart w:id="9" w:name="OLE_LINK9"/>
      <w:r>
        <w:rPr>
          <w:rFonts w:hint="eastAsia" w:eastAsia="仿宋_GB2312" w:cs="Times New Roman"/>
          <w:color w:val="auto"/>
          <w:sz w:val="32"/>
          <w:szCs w:val="32"/>
          <w:highlight w:val="none"/>
          <w:lang w:val="en-US" w:eastAsia="zh-CN"/>
        </w:rPr>
        <w:t>，无偏差。</w:t>
      </w:r>
      <w:bookmarkEnd w:id="9"/>
    </w:p>
    <w:p w14:paraId="583706D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bookmarkStart w:id="10" w:name="OLE_LINK5"/>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bookmarkEnd w:id="10"/>
      <w:r>
        <w:rPr>
          <w:rFonts w:hint="default" w:ascii="Times New Roman" w:hAnsi="Times New Roman" w:eastAsia="仿宋_GB2312" w:cs="Times New Roman"/>
          <w:color w:val="auto"/>
          <w:sz w:val="32"/>
          <w:szCs w:val="32"/>
          <w:highlight w:val="none"/>
        </w:rPr>
        <w:t>质量指标：</w:t>
      </w:r>
    </w:p>
    <w:p w14:paraId="0C352DF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医疗器械采购合格率，指标值：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，指标完成率 </w:t>
      </w:r>
      <w:r>
        <w:rPr>
          <w:rFonts w:hint="eastAsia" w:ascii="Times New Roman" w:hAnsi="Times New Roman" w:eastAsia="仿宋_GB2312" w:cs="Times New Roman"/>
          <w:color w:val="auto"/>
          <w:sz w:val="32"/>
          <w:szCs w:val="32"/>
          <w:highlight w:val="none"/>
          <w:lang w:val="en-US" w:eastAsia="zh-CN"/>
        </w:rPr>
        <w:t>100%，无偏差。</w:t>
      </w:r>
    </w:p>
    <w:p w14:paraId="65E3A2A6">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培训合格率，</w:t>
      </w:r>
      <w:bookmarkStart w:id="11" w:name="OLE_LINK4"/>
      <w:r>
        <w:rPr>
          <w:rFonts w:hint="default" w:ascii="Times New Roman" w:hAnsi="Times New Roman" w:eastAsia="仿宋_GB2312" w:cs="Times New Roman"/>
          <w:color w:val="auto"/>
          <w:sz w:val="32"/>
          <w:szCs w:val="32"/>
          <w:highlight w:val="none"/>
        </w:rPr>
        <w:t>指标值</w:t>
      </w:r>
      <w:bookmarkEnd w:id="11"/>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，实际完成值：</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，指标完成率</w:t>
      </w:r>
      <w:r>
        <w:rPr>
          <w:rFonts w:hint="eastAsia" w:ascii="Times New Roman" w:hAnsi="Times New Roman" w:eastAsia="仿宋_GB2312" w:cs="Times New Roman"/>
          <w:color w:val="auto"/>
          <w:sz w:val="32"/>
          <w:szCs w:val="32"/>
          <w:highlight w:val="none"/>
          <w:lang w:val="en-US" w:eastAsia="zh-CN"/>
        </w:rPr>
        <w:t>100%</w:t>
      </w:r>
      <w:bookmarkStart w:id="12" w:name="OLE_LINK11"/>
      <w:r>
        <w:rPr>
          <w:rFonts w:hint="eastAsia" w:ascii="Times New Roman" w:hAnsi="Times New Roman" w:eastAsia="仿宋_GB2312" w:cs="Times New Roman"/>
          <w:color w:val="auto"/>
          <w:sz w:val="32"/>
          <w:szCs w:val="32"/>
          <w:highlight w:val="none"/>
          <w:lang w:val="en-US" w:eastAsia="zh-CN"/>
        </w:rPr>
        <w:t>，无偏差。</w:t>
      </w:r>
      <w:bookmarkEnd w:id="12"/>
    </w:p>
    <w:p w14:paraId="55543910">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③</w:t>
      </w:r>
      <w:r>
        <w:rPr>
          <w:rFonts w:hint="eastAsia" w:ascii="Times New Roman" w:hAnsi="Times New Roman" w:eastAsia="仿宋_GB2312" w:cs="Times New Roman"/>
          <w:color w:val="auto"/>
          <w:sz w:val="32"/>
          <w:szCs w:val="32"/>
          <w:highlight w:val="none"/>
          <w:lang w:val="en-US" w:eastAsia="zh-CN"/>
        </w:rPr>
        <w:t>时效指标</w:t>
      </w:r>
    </w:p>
    <w:p w14:paraId="7EF69097">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w:t>
      </w: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完成时间，指标值：</w:t>
      </w:r>
      <w:bookmarkStart w:id="13" w:name="OLE_LINK10"/>
      <w:r>
        <w:rPr>
          <w:rFonts w:hint="eastAsia" w:ascii="Times New Roman" w:hAnsi="Times New Roman" w:eastAsia="仿宋_GB2312" w:cs="Times New Roman"/>
          <w:color w:val="auto"/>
          <w:sz w:val="32"/>
          <w:szCs w:val="32"/>
          <w:highlight w:val="none"/>
          <w:lang w:val="en-US" w:eastAsia="zh-CN"/>
        </w:rPr>
        <w:t>2024年12月25日</w:t>
      </w:r>
      <w:bookmarkEnd w:id="13"/>
      <w:r>
        <w:rPr>
          <w:rFonts w:hint="default" w:ascii="Times New Roman" w:hAnsi="Times New Roman" w:eastAsia="仿宋_GB2312" w:cs="Times New Roman"/>
          <w:color w:val="auto"/>
          <w:sz w:val="32"/>
          <w:szCs w:val="32"/>
          <w:highlight w:val="none"/>
          <w:lang w:val="en-US" w:eastAsia="zh-CN"/>
        </w:rPr>
        <w:t>，实际完成值：</w:t>
      </w:r>
      <w:r>
        <w:rPr>
          <w:rFonts w:hint="eastAsia" w:ascii="Times New Roman" w:hAnsi="Times New Roman" w:eastAsia="仿宋_GB2312" w:cs="Times New Roman"/>
          <w:color w:val="auto"/>
          <w:sz w:val="32"/>
          <w:szCs w:val="32"/>
          <w:highlight w:val="none"/>
          <w:lang w:val="en-US" w:eastAsia="zh-CN"/>
        </w:rPr>
        <w:t>2024年12月25日</w:t>
      </w:r>
      <w:r>
        <w:rPr>
          <w:rFonts w:hint="default" w:ascii="Times New Roman" w:hAnsi="Times New Roman" w:eastAsia="仿宋_GB2312" w:cs="Times New Roman"/>
          <w:color w:val="auto"/>
          <w:sz w:val="32"/>
          <w:szCs w:val="32"/>
          <w:highlight w:val="none"/>
          <w:lang w:val="en-US" w:eastAsia="zh-CN"/>
        </w:rPr>
        <w:t>，指标完成率</w:t>
      </w:r>
      <w:r>
        <w:rPr>
          <w:rFonts w:hint="eastAsia" w:ascii="Times New Roman" w:hAnsi="Times New Roman" w:eastAsia="仿宋_GB2312" w:cs="Times New Roman"/>
          <w:color w:val="auto"/>
          <w:sz w:val="32"/>
          <w:szCs w:val="32"/>
          <w:highlight w:val="none"/>
          <w:lang w:val="en-US" w:eastAsia="zh-CN"/>
        </w:rPr>
        <w:t>100%</w:t>
      </w:r>
      <w:bookmarkStart w:id="14" w:name="OLE_LINK12"/>
      <w:r>
        <w:rPr>
          <w:rFonts w:hint="eastAsia" w:ascii="Times New Roman" w:hAnsi="Times New Roman" w:eastAsia="仿宋_GB2312" w:cs="Times New Roman"/>
          <w:color w:val="auto"/>
          <w:sz w:val="32"/>
          <w:szCs w:val="32"/>
          <w:highlight w:val="none"/>
          <w:lang w:val="en-US" w:eastAsia="zh-CN"/>
        </w:rPr>
        <w:t>，无偏差。</w:t>
      </w:r>
      <w:bookmarkEnd w:id="14"/>
    </w:p>
    <w:p w14:paraId="10A9BDCC">
      <w:pPr>
        <w:pStyle w:val="13"/>
        <w:numPr>
          <w:ilvl w:val="0"/>
          <w:numId w:val="7"/>
        </w:numPr>
        <w:shd w:val="clea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14:paraId="4B5AFE9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个三级指标构成，权重分为2</w:t>
      </w:r>
      <w:r>
        <w:rPr>
          <w:rFonts w:hint="default" w:ascii="Times New Roman" w:hAnsi="Times New Roman" w:eastAsia="仿宋_GB2312" w:cs="Times New Roman"/>
          <w:color w:val="auto"/>
          <w:sz w:val="32"/>
          <w:szCs w:val="32"/>
          <w:highlight w:val="none"/>
          <w:lang w:val="en-US" w:eastAsia="zh-CN"/>
        </w:rPr>
        <w:t>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w:t>
      </w:r>
      <w:r>
        <w:rPr>
          <w:rFonts w:hint="default" w:ascii="Times New Roman" w:hAnsi="Times New Roman" w:eastAsia="仿宋_GB2312" w:cs="Times New Roman"/>
          <w:color w:val="auto"/>
          <w:sz w:val="32"/>
          <w:szCs w:val="32"/>
          <w:highlight w:val="none"/>
          <w:lang w:val="en-US" w:eastAsia="zh-CN"/>
        </w:rPr>
        <w:t>完成情况如下：</w:t>
      </w:r>
    </w:p>
    <w:p w14:paraId="05B891A0">
      <w:pPr>
        <w:numPr>
          <w:ilvl w:val="0"/>
          <w:numId w:val="8"/>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实施效益</w:t>
      </w:r>
    </w:p>
    <w:p w14:paraId="3A33980D">
      <w:pPr>
        <w:numPr>
          <w:ilvl w:val="0"/>
          <w:numId w:val="0"/>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14:paraId="63FDEC7C">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指标1：医疗收入，指标值：</w:t>
      </w:r>
      <w:bookmarkStart w:id="15" w:name="OLE_LINK13"/>
      <w:r>
        <w:rPr>
          <w:rFonts w:hint="eastAsia" w:eastAsia="仿宋_GB2312" w:cs="Times New Roman"/>
          <w:color w:val="auto"/>
          <w:sz w:val="32"/>
          <w:szCs w:val="32"/>
          <w:highlight w:val="none"/>
          <w:lang w:val="en-US" w:eastAsia="zh-CN"/>
        </w:rPr>
        <w:t>逐年增长</w:t>
      </w:r>
      <w:bookmarkEnd w:id="15"/>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逐年增长</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en-US" w:eastAsia="zh-CN"/>
        </w:rPr>
        <w:t>，无偏差。</w:t>
      </w:r>
    </w:p>
    <w:p w14:paraId="65007353">
      <w:pPr>
        <w:shd w:val="clear"/>
        <w:spacing w:line="600" w:lineRule="exact"/>
        <w:ind w:firstLine="640" w:firstLineChars="200"/>
        <w:outlineLvl w:val="0"/>
        <w:rPr>
          <w:rFonts w:hint="default"/>
          <w:color w:val="auto"/>
          <w:highlight w:val="none"/>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：保障住院床位，指标值：</w:t>
      </w:r>
      <w:r>
        <w:rPr>
          <w:rFonts w:hint="eastAsia" w:ascii="Times New Roman" w:hAnsi="Times New Roman" w:eastAsia="仿宋_GB2312" w:cs="Times New Roman"/>
          <w:color w:val="auto"/>
          <w:sz w:val="32"/>
          <w:szCs w:val="32"/>
          <w:highlight w:val="none"/>
          <w:lang w:val="en-US" w:eastAsia="zh-CN"/>
        </w:rPr>
        <w:t>90</w:t>
      </w:r>
      <w:r>
        <w:rPr>
          <w:rFonts w:hint="eastAsia" w:eastAsia="仿宋_GB2312" w:cs="Times New Roman"/>
          <w:color w:val="auto"/>
          <w:sz w:val="32"/>
          <w:szCs w:val="32"/>
          <w:highlight w:val="none"/>
          <w:lang w:val="en-US" w:eastAsia="zh-CN"/>
        </w:rPr>
        <w:t>个，</w:t>
      </w:r>
      <w:r>
        <w:rPr>
          <w:rFonts w:hint="default" w:ascii="Times New Roman" w:hAnsi="Times New Roman" w:eastAsia="仿宋_GB2312" w:cs="Times New Roman"/>
          <w:color w:val="auto"/>
          <w:sz w:val="32"/>
          <w:szCs w:val="32"/>
          <w:highlight w:val="none"/>
        </w:rPr>
        <w:t>实际完成值：</w:t>
      </w:r>
      <w:r>
        <w:rPr>
          <w:rFonts w:hint="eastAsia" w:ascii="Times New Roman" w:hAnsi="Times New Roman" w:eastAsia="仿宋_GB2312" w:cs="Times New Roman"/>
          <w:color w:val="auto"/>
          <w:sz w:val="32"/>
          <w:szCs w:val="32"/>
          <w:highlight w:val="none"/>
          <w:lang w:val="en-US" w:eastAsia="zh-CN"/>
        </w:rPr>
        <w:t>90</w:t>
      </w:r>
      <w:r>
        <w:rPr>
          <w:rFonts w:hint="eastAsia" w:eastAsia="仿宋_GB2312" w:cs="Times New Roman"/>
          <w:color w:val="auto"/>
          <w:sz w:val="32"/>
          <w:szCs w:val="32"/>
          <w:highlight w:val="none"/>
          <w:lang w:val="en-US" w:eastAsia="zh-CN"/>
        </w:rPr>
        <w:t>个</w:t>
      </w:r>
      <w:r>
        <w:rPr>
          <w:rFonts w:hint="default" w:ascii="Times New Roman" w:hAnsi="Times New Roman" w:eastAsia="仿宋_GB2312" w:cs="Times New Roman"/>
          <w:color w:val="auto"/>
          <w:sz w:val="32"/>
          <w:szCs w:val="32"/>
          <w:highlight w:val="none"/>
        </w:rPr>
        <w:t>，指标完成率</w:t>
      </w:r>
      <w:r>
        <w:rPr>
          <w:rFonts w:hint="eastAsia" w:ascii="Times New Roman" w:hAnsi="Times New Roman" w:eastAsia="仿宋_GB2312" w:cs="Times New Roman"/>
          <w:color w:val="auto"/>
          <w:sz w:val="32"/>
          <w:szCs w:val="32"/>
          <w:highlight w:val="none"/>
          <w:lang w:val="en-US" w:eastAsia="zh-CN"/>
        </w:rPr>
        <w:t>100%，无偏差。</w:t>
      </w:r>
    </w:p>
    <w:p w14:paraId="4BA68B2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14:paraId="718B72C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指标1：服务对象满意度，指标值：</w:t>
      </w:r>
      <w:r>
        <w:rPr>
          <w:rFonts w:hint="eastAsia"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实际完成值：</w:t>
      </w:r>
      <w:r>
        <w:rPr>
          <w:rFonts w:hint="eastAsia" w:ascii="Times New Roman" w:hAnsi="Times New Roman" w:eastAsia="仿宋_GB2312" w:cs="Times New Roman"/>
          <w:color w:val="auto"/>
          <w:sz w:val="32"/>
          <w:szCs w:val="32"/>
          <w:highlight w:val="none"/>
          <w:lang w:val="en-US" w:eastAsia="zh-CN"/>
        </w:rPr>
        <w:t>9</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，指标完成率</w:t>
      </w:r>
      <w:r>
        <w:rPr>
          <w:rFonts w:hint="eastAsia" w:ascii="Times New Roman" w:hAnsi="Times New Roman" w:eastAsia="仿宋_GB2312" w:cs="Times New Roman"/>
          <w:color w:val="auto"/>
          <w:sz w:val="32"/>
          <w:szCs w:val="32"/>
          <w:highlight w:val="none"/>
          <w:lang w:val="en-US" w:eastAsia="zh-CN"/>
        </w:rPr>
        <w:t>100%，无偏差。</w:t>
      </w:r>
    </w:p>
    <w:p w14:paraId="72A5DBC1">
      <w:pPr>
        <w:shd w:val="clear"/>
        <w:spacing w:line="600" w:lineRule="exact"/>
        <w:ind w:firstLine="640" w:firstLineChars="200"/>
        <w:outlineLvl w:val="0"/>
        <w:rPr>
          <w:rFonts w:hint="default"/>
          <w:color w:val="auto"/>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：医务人员满意度，指标值：</w:t>
      </w:r>
      <w:r>
        <w:rPr>
          <w:rFonts w:hint="eastAsia"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实际完成值：</w:t>
      </w:r>
      <w:r>
        <w:rPr>
          <w:rFonts w:hint="eastAsia" w:ascii="Times New Roman" w:hAnsi="Times New Roman" w:eastAsia="仿宋_GB2312" w:cs="Times New Roman"/>
          <w:color w:val="auto"/>
          <w:sz w:val="32"/>
          <w:szCs w:val="32"/>
          <w:highlight w:val="none"/>
          <w:lang w:val="en-US" w:eastAsia="zh-CN"/>
        </w:rPr>
        <w:t>9</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，指标完成率</w:t>
      </w:r>
      <w:r>
        <w:rPr>
          <w:rFonts w:hint="eastAsia" w:ascii="Times New Roman" w:hAnsi="Times New Roman" w:eastAsia="仿宋_GB2312" w:cs="Times New Roman"/>
          <w:color w:val="auto"/>
          <w:sz w:val="32"/>
          <w:szCs w:val="32"/>
          <w:highlight w:val="none"/>
          <w:lang w:val="en-US" w:eastAsia="zh-CN"/>
        </w:rPr>
        <w:t>100%，无偏差。</w:t>
      </w:r>
    </w:p>
    <w:p w14:paraId="4D95EAF9">
      <w:pPr>
        <w:shd w:val="clea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14:paraId="302C0160">
      <w:pPr>
        <w:pStyle w:val="3"/>
        <w:keepNext w:val="0"/>
        <w:keepLines w:val="0"/>
        <w:widowControl/>
        <w:suppressLineNumbers w:val="0"/>
        <w:shd w:val="clear"/>
        <w:spacing w:before="0" w:beforeAutospacing="0" w:after="0" w:afterAutospacing="0" w:line="17" w:lineRule="atLeast"/>
        <w:ind w:left="0" w:right="0" w:firstLine="640" w:firstLineChars="200"/>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托里县哈萨克医医院业务工作经费项目年初预算</w:t>
      </w:r>
      <w:r>
        <w:rPr>
          <w:rFonts w:hint="eastAsia" w:ascii="Times New Roman" w:hAnsi="Times New Roman" w:eastAsia="仿宋_GB2312" w:cs="Times New Roman"/>
          <w:b w:val="0"/>
          <w:bCs w:val="0"/>
          <w:color w:val="auto"/>
          <w:kern w:val="2"/>
          <w:sz w:val="32"/>
          <w:szCs w:val="32"/>
          <w:highlight w:val="none"/>
          <w:lang w:val="en-US" w:eastAsia="zh-CN" w:bidi="ar-SA"/>
        </w:rPr>
        <w:t>1050</w:t>
      </w:r>
      <w:r>
        <w:rPr>
          <w:rFonts w:hint="default" w:ascii="Times New Roman" w:hAnsi="Times New Roman" w:eastAsia="仿宋_GB2312" w:cs="Times New Roman"/>
          <w:b w:val="0"/>
          <w:bCs w:val="0"/>
          <w:color w:val="auto"/>
          <w:kern w:val="2"/>
          <w:sz w:val="32"/>
          <w:szCs w:val="32"/>
          <w:highlight w:val="none"/>
          <w:lang w:val="en-US" w:eastAsia="zh-CN" w:bidi="ar-SA"/>
        </w:rPr>
        <w:t>万元，全年预算</w:t>
      </w:r>
      <w:r>
        <w:rPr>
          <w:rFonts w:hint="eastAsia" w:ascii="Times New Roman" w:hAnsi="Times New Roman" w:eastAsia="仿宋_GB2312" w:cs="Times New Roman"/>
          <w:b w:val="0"/>
          <w:bCs w:val="0"/>
          <w:color w:val="auto"/>
          <w:kern w:val="2"/>
          <w:sz w:val="32"/>
          <w:szCs w:val="32"/>
          <w:highlight w:val="none"/>
          <w:lang w:val="en-US" w:eastAsia="zh-CN" w:bidi="ar-SA"/>
        </w:rPr>
        <w:t>1050</w:t>
      </w:r>
      <w:r>
        <w:rPr>
          <w:rFonts w:hint="default" w:ascii="Times New Roman" w:hAnsi="Times New Roman" w:eastAsia="仿宋_GB2312" w:cs="Times New Roman"/>
          <w:b w:val="0"/>
          <w:bCs w:val="0"/>
          <w:color w:val="auto"/>
          <w:kern w:val="2"/>
          <w:sz w:val="32"/>
          <w:szCs w:val="32"/>
          <w:highlight w:val="none"/>
          <w:lang w:val="en-US" w:eastAsia="zh-CN" w:bidi="ar-SA"/>
        </w:rPr>
        <w:t>万元，实际支出</w:t>
      </w:r>
      <w:r>
        <w:rPr>
          <w:rFonts w:hint="eastAsia" w:ascii="Times New Roman" w:hAnsi="Times New Roman" w:eastAsia="仿宋_GB2312" w:cs="Times New Roman"/>
          <w:b w:val="0"/>
          <w:bCs w:val="0"/>
          <w:color w:val="auto"/>
          <w:kern w:val="2"/>
          <w:sz w:val="32"/>
          <w:szCs w:val="32"/>
          <w:highlight w:val="none"/>
          <w:lang w:val="en-US" w:eastAsia="zh-CN" w:bidi="ar-SA"/>
        </w:rPr>
        <w:t>1050</w:t>
      </w:r>
      <w:r>
        <w:rPr>
          <w:rFonts w:hint="default" w:ascii="Times New Roman" w:hAnsi="Times New Roman" w:eastAsia="仿宋_GB2312" w:cs="Times New Roman"/>
          <w:b w:val="0"/>
          <w:bCs w:val="0"/>
          <w:color w:val="auto"/>
          <w:kern w:val="2"/>
          <w:sz w:val="32"/>
          <w:szCs w:val="32"/>
          <w:highlight w:val="none"/>
          <w:lang w:val="en-US" w:eastAsia="zh-CN" w:bidi="ar-SA"/>
        </w:rPr>
        <w:t>万元，预算执行率为</w:t>
      </w:r>
      <w:r>
        <w:rPr>
          <w:rFonts w:hint="eastAsia" w:ascii="Times New Roman" w:hAnsi="Times New Roman" w:eastAsia="仿宋_GB2312" w:cs="Times New Roman"/>
          <w:b w:val="0"/>
          <w:bCs w:val="0"/>
          <w:color w:val="auto"/>
          <w:kern w:val="2"/>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%，项目绩效指标总体完成率为</w:t>
      </w:r>
      <w:r>
        <w:rPr>
          <w:rFonts w:hint="eastAsia" w:ascii="Times New Roman" w:hAnsi="Times New Roman" w:eastAsia="仿宋_GB2312" w:cs="Times New Roman"/>
          <w:b w:val="0"/>
          <w:bCs w:val="0"/>
          <w:color w:val="auto"/>
          <w:kern w:val="2"/>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default" w:ascii="Times New Roman" w:hAnsi="Times New Roman" w:eastAsia="仿宋_GB2312" w:cs="Times New Roman"/>
          <w:b w:val="0"/>
          <w:bCs w:val="0"/>
          <w:color w:val="auto"/>
          <w:kern w:val="2"/>
          <w:sz w:val="32"/>
          <w:szCs w:val="32"/>
          <w:highlight w:val="none"/>
          <w:lang w:val="en-US" w:eastAsia="zh-Hans" w:bidi="ar-SA"/>
        </w:rPr>
        <w:t>总体</w:t>
      </w:r>
      <w:r>
        <w:rPr>
          <w:rFonts w:hint="default" w:ascii="Times New Roman" w:hAnsi="Times New Roman" w:eastAsia="仿宋_GB2312" w:cs="Times New Roman"/>
          <w:b w:val="0"/>
          <w:bCs w:val="0"/>
          <w:color w:val="auto"/>
          <w:kern w:val="2"/>
          <w:sz w:val="32"/>
          <w:szCs w:val="32"/>
          <w:highlight w:val="none"/>
          <w:lang w:val="en-US" w:eastAsia="zh-CN" w:bidi="ar-SA"/>
        </w:rPr>
        <w:t>偏差率为</w:t>
      </w:r>
      <w:r>
        <w:rPr>
          <w:rFonts w:hint="eastAsia" w:ascii="Times New Roman" w:hAnsi="Times New Roman" w:eastAsia="仿宋_GB2312" w:cs="Times New Roman"/>
          <w:b w:val="0"/>
          <w:bCs w:val="0"/>
          <w:color w:val="auto"/>
          <w:kern w:val="2"/>
          <w:sz w:val="32"/>
          <w:szCs w:val="32"/>
          <w:highlight w:val="none"/>
          <w:lang w:val="en-US" w:eastAsia="zh-CN" w:bidi="ar-SA"/>
        </w:rPr>
        <w:t>0</w:t>
      </w:r>
      <w:r>
        <w:rPr>
          <w:rFonts w:hint="default" w:ascii="Times New Roman" w:hAnsi="Times New Roman" w:eastAsia="仿宋_GB2312" w:cs="Times New Roman"/>
          <w:b w:val="0"/>
          <w:bCs w:val="0"/>
          <w:color w:val="auto"/>
          <w:kern w:val="2"/>
          <w:sz w:val="32"/>
          <w:szCs w:val="32"/>
          <w:highlight w:val="none"/>
          <w:lang w:val="en-US" w:eastAsia="zh-CN" w:bidi="ar-SA"/>
        </w:rPr>
        <w:t>%。</w:t>
      </w:r>
    </w:p>
    <w:p w14:paraId="2DD0D17A">
      <w:pPr>
        <w:shd w:val="clear"/>
        <w:spacing w:line="560" w:lineRule="exact"/>
        <w:ind w:firstLine="640" w:firstLineChars="200"/>
        <w:rPr>
          <w:rStyle w:val="19"/>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14:paraId="3F0DB410">
      <w:pPr>
        <w:shd w:val="clea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14:paraId="33EB8048">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AA349B0">
      <w:pPr>
        <w:pStyle w:val="11"/>
        <w:shd w:val="clear"/>
        <w:spacing w:before="0" w:after="0" w:line="560" w:lineRule="exact"/>
        <w:ind w:firstLine="640" w:firstLineChars="200"/>
        <w:jc w:val="left"/>
        <w:rPr>
          <w:rFonts w:hint="default" w:ascii="Times New Roman" w:hAnsi="Times New Roman" w:eastAsia="仿宋_GB2312" w:cs="Times New Roman"/>
          <w:b w:val="0"/>
          <w:bCs w:val="0"/>
          <w:color w:val="auto"/>
          <w:kern w:val="2"/>
          <w:highlight w:val="none"/>
        </w:rPr>
      </w:pPr>
      <w:r>
        <w:rPr>
          <w:rFonts w:hint="default" w:ascii="Times New Roman" w:hAnsi="Times New Roman" w:eastAsia="仿宋_GB2312" w:cs="Times New Roman"/>
          <w:b w:val="0"/>
          <w:bCs w:val="0"/>
          <w:color w:val="auto"/>
          <w:kern w:val="2"/>
          <w:highlight w:val="none"/>
        </w:rPr>
        <w:t>严格坚持先做事、后验收、再拨付的原则，</w:t>
      </w:r>
      <w:r>
        <w:rPr>
          <w:rFonts w:hint="eastAsia" w:ascii="Times New Roman" w:hAnsi="Times New Roman" w:eastAsia="仿宋_GB2312" w:cs="Times New Roman"/>
          <w:b w:val="0"/>
          <w:bCs w:val="0"/>
          <w:color w:val="auto"/>
          <w:kern w:val="2"/>
          <w:highlight w:val="none"/>
          <w:lang w:eastAsia="zh-CN"/>
        </w:rPr>
        <w:t>杜绝</w:t>
      </w:r>
      <w:r>
        <w:rPr>
          <w:rFonts w:hint="default" w:ascii="Times New Roman" w:hAnsi="Times New Roman" w:eastAsia="仿宋_GB2312" w:cs="Times New Roman"/>
          <w:b w:val="0"/>
          <w:bCs w:val="0"/>
          <w:color w:val="auto"/>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118E9E1A">
      <w:pPr>
        <w:keepNext/>
        <w:keepLines/>
        <w:numPr>
          <w:ilvl w:val="0"/>
          <w:numId w:val="9"/>
        </w:numPr>
        <w:shd w:val="clea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14:paraId="1990E05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04A300C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2.因轮岗、调动</w:t>
      </w:r>
      <w:r>
        <w:rPr>
          <w:rFonts w:hint="eastAsia"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因素使我单位绩效工作人员流动频繁，</w:t>
      </w:r>
      <w:r>
        <w:rPr>
          <w:rFonts w:hint="eastAsia" w:ascii="Times New Roman" w:hAnsi="Times New Roman" w:eastAsia="仿宋_GB2312" w:cs="Times New Roman"/>
          <w:color w:val="auto"/>
          <w:sz w:val="32"/>
          <w:szCs w:val="32"/>
          <w:highlight w:val="none"/>
          <w:lang w:val="en-US" w:eastAsia="zh-CN"/>
        </w:rPr>
        <w:t>造成</w:t>
      </w:r>
      <w:r>
        <w:rPr>
          <w:rFonts w:hint="default" w:ascii="Times New Roman" w:hAnsi="Times New Roman" w:eastAsia="仿宋_GB2312" w:cs="Times New Roman"/>
          <w:color w:val="auto"/>
          <w:sz w:val="32"/>
          <w:szCs w:val="32"/>
          <w:highlight w:val="none"/>
          <w:lang w:val="en-US" w:eastAsia="zh-CN"/>
        </w:rPr>
        <w:t>工作衔接不到位的情况。</w:t>
      </w:r>
    </w:p>
    <w:p w14:paraId="55819D54">
      <w:pPr>
        <w:shd w:val="clea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14:paraId="28BE443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14:paraId="366E6CB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14:paraId="475C73D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0190C439">
      <w:pPr>
        <w:shd w:val="clear"/>
        <w:spacing w:line="600" w:lineRule="exact"/>
        <w:ind w:firstLine="640" w:firstLineChars="200"/>
        <w:outlineLvl w:val="0"/>
        <w:rPr>
          <w:rFonts w:hint="default" w:ascii="Times New Roman" w:hAnsi="Times New Roman" w:cs="Times New Roman"/>
          <w:color w:val="auto"/>
          <w:sz w:val="22"/>
          <w:szCs w:val="28"/>
          <w:highlight w:val="none"/>
        </w:rPr>
      </w:pPr>
      <w:r>
        <w:rPr>
          <w:rFonts w:hint="default" w:ascii="Times New Roman" w:hAnsi="Times New Roman" w:eastAsia="仿宋_GB2312" w:cs="Times New Roman"/>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highlight w:val="none"/>
        </w:rPr>
        <w:t>。</w:t>
      </w:r>
    </w:p>
    <w:p w14:paraId="468D111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4AD65199">
      <w:pPr>
        <w:shd w:val="clea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16" w:name="page8"/>
      <w:bookmarkEnd w:id="16"/>
      <w:r>
        <w:rPr>
          <w:rFonts w:hint="default" w:ascii="Times New Roman" w:hAnsi="Times New Roman" w:eastAsia="黑体" w:cs="Times New Roman"/>
          <w:color w:val="auto"/>
          <w:sz w:val="32"/>
          <w:szCs w:val="32"/>
          <w:highlight w:val="none"/>
        </w:rPr>
        <w:t>明的问题</w:t>
      </w:r>
    </w:p>
    <w:p w14:paraId="5E743E14">
      <w:pPr>
        <w:pStyle w:val="14"/>
        <w:shd w:val="clear"/>
        <w:spacing w:after="0" w:line="560" w:lineRule="exact"/>
        <w:ind w:left="0" w:leftChars="0" w:firstLine="640"/>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lang w:eastAsia="zh-Hans"/>
        </w:rPr>
        <w:t>本项目无其他需说明的问题。</w:t>
      </w:r>
    </w:p>
    <w:sectPr>
      <w:footerReference r:id="rId3" w:type="default"/>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0699D3F8">
        <w:pPr>
          <w:pStyle w:val="8"/>
          <w:jc w:val="center"/>
        </w:pPr>
        <w:r>
          <w:fldChar w:fldCharType="begin"/>
        </w:r>
        <w:r>
          <w:instrText xml:space="preserve">PAGE   \* MERGEFORMAT</w:instrText>
        </w:r>
        <w:r>
          <w:fldChar w:fldCharType="separate"/>
        </w:r>
        <w:r>
          <w:rPr>
            <w:lang w:val="zh-CN"/>
          </w:rPr>
          <w:t>13</w:t>
        </w:r>
        <w:r>
          <w:fldChar w:fldCharType="end"/>
        </w:r>
      </w:p>
    </w:sdtContent>
  </w:sdt>
  <w:p w14:paraId="56C479F0">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5A1E50"/>
    <w:multiLevelType w:val="singleLevel"/>
    <w:tmpl w:val="8E5A1E50"/>
    <w:lvl w:ilvl="0" w:tentative="0">
      <w:start w:val="1"/>
      <w:numFmt w:val="chineseCounting"/>
      <w:suff w:val="nothing"/>
      <w:lvlText w:val="（%1）"/>
      <w:lvlJc w:val="left"/>
      <w:rPr>
        <w:rFonts w:hint="eastAsia"/>
      </w:rPr>
    </w:lvl>
  </w:abstractNum>
  <w:abstractNum w:abstractNumId="1">
    <w:nsid w:val="E73A1138"/>
    <w:multiLevelType w:val="singleLevel"/>
    <w:tmpl w:val="E73A1138"/>
    <w:lvl w:ilvl="0" w:tentative="0">
      <w:start w:val="1"/>
      <w:numFmt w:val="chineseCounting"/>
      <w:suff w:val="nothing"/>
      <w:lvlText w:val="（%1）"/>
      <w:lvlJc w:val="left"/>
      <w:rPr>
        <w:rFonts w:hint="eastAsia"/>
      </w:rPr>
    </w:lvl>
  </w:abstractNum>
  <w:abstractNum w:abstractNumId="2">
    <w:nsid w:val="F44CD179"/>
    <w:multiLevelType w:val="singleLevel"/>
    <w:tmpl w:val="F44CD179"/>
    <w:lvl w:ilvl="0" w:tentative="0">
      <w:start w:val="1"/>
      <w:numFmt w:val="decimal"/>
      <w:suff w:val="nothing"/>
      <w:lvlText w:val="（%1）"/>
      <w:lvlJc w:val="left"/>
    </w:lvl>
  </w:abstractNum>
  <w:abstractNum w:abstractNumId="3">
    <w:nsid w:val="F4CD2B0F"/>
    <w:multiLevelType w:val="singleLevel"/>
    <w:tmpl w:val="F4CD2B0F"/>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27813159"/>
    <w:multiLevelType w:val="singleLevel"/>
    <w:tmpl w:val="27813159"/>
    <w:lvl w:ilvl="0" w:tentative="0">
      <w:start w:val="3"/>
      <w:numFmt w:val="chineseCounting"/>
      <w:suff w:val="nothing"/>
      <w:lvlText w:val="（%1）"/>
      <w:lvlJc w:val="left"/>
      <w:rPr>
        <w:rFonts w:hint="eastAsia"/>
      </w:rPr>
    </w:lvl>
  </w:abstractNum>
  <w:abstractNum w:abstractNumId="7">
    <w:nsid w:val="6FAA0AB1"/>
    <w:multiLevelType w:val="singleLevel"/>
    <w:tmpl w:val="6FAA0AB1"/>
    <w:lvl w:ilvl="0" w:tentative="0">
      <w:start w:val="2"/>
      <w:numFmt w:val="chineseCounting"/>
      <w:suff w:val="nothing"/>
      <w:lvlText w:val="（%1）"/>
      <w:lvlJc w:val="left"/>
      <w:rPr>
        <w:rFonts w:hint="eastAsia"/>
      </w:rPr>
    </w:lvl>
  </w:abstractNum>
  <w:abstractNum w:abstractNumId="8">
    <w:nsid w:val="74565051"/>
    <w:multiLevelType w:val="singleLevel"/>
    <w:tmpl w:val="74565051"/>
    <w:lvl w:ilvl="0" w:tentative="0">
      <w:start w:val="1"/>
      <w:numFmt w:val="decimal"/>
      <w:lvlText w:val="%1."/>
      <w:lvlJc w:val="left"/>
      <w:pPr>
        <w:tabs>
          <w:tab w:val="left" w:pos="312"/>
        </w:tabs>
      </w:pPr>
    </w:lvl>
  </w:abstractNum>
  <w:num w:numId="1">
    <w:abstractNumId w:val="3"/>
  </w:num>
  <w:num w:numId="2">
    <w:abstractNumId w:val="0"/>
  </w:num>
  <w:num w:numId="3">
    <w:abstractNumId w:val="2"/>
  </w:num>
  <w:num w:numId="4">
    <w:abstractNumId w:val="6"/>
  </w:num>
  <w:num w:numId="5">
    <w:abstractNumId w:val="5"/>
  </w:num>
  <w:num w:numId="6">
    <w:abstractNumId w:val="1"/>
  </w:num>
  <w:num w:numId="7">
    <w:abstractNumId w:val="7"/>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kZTBhODBlNzE5YTc5ZjcyZTE0MTBjZDc4OTc1MzQifQ=="/>
  </w:docVars>
  <w:rsids>
    <w:rsidRoot w:val="FF6C4049"/>
    <w:rsid w:val="006F7242"/>
    <w:rsid w:val="007B168A"/>
    <w:rsid w:val="008B2CFE"/>
    <w:rsid w:val="00F26FF6"/>
    <w:rsid w:val="01610122"/>
    <w:rsid w:val="01B33BE5"/>
    <w:rsid w:val="0211200E"/>
    <w:rsid w:val="02510197"/>
    <w:rsid w:val="02BC3862"/>
    <w:rsid w:val="03EC461B"/>
    <w:rsid w:val="040D00EE"/>
    <w:rsid w:val="07397B77"/>
    <w:rsid w:val="07D41594"/>
    <w:rsid w:val="08D31DDF"/>
    <w:rsid w:val="09704503"/>
    <w:rsid w:val="09C435FB"/>
    <w:rsid w:val="0A595E3B"/>
    <w:rsid w:val="0AC42355"/>
    <w:rsid w:val="0AD007F3"/>
    <w:rsid w:val="0B293A5F"/>
    <w:rsid w:val="0B3C19E4"/>
    <w:rsid w:val="0C165A3C"/>
    <w:rsid w:val="0D3F4828"/>
    <w:rsid w:val="0E215F2D"/>
    <w:rsid w:val="0E3C619F"/>
    <w:rsid w:val="0F6273CA"/>
    <w:rsid w:val="0FBD50BE"/>
    <w:rsid w:val="100F38EC"/>
    <w:rsid w:val="10BA3678"/>
    <w:rsid w:val="10FB3427"/>
    <w:rsid w:val="11170296"/>
    <w:rsid w:val="114F1D45"/>
    <w:rsid w:val="11CB6444"/>
    <w:rsid w:val="12C66037"/>
    <w:rsid w:val="12CD1ABC"/>
    <w:rsid w:val="13471461"/>
    <w:rsid w:val="13B90F01"/>
    <w:rsid w:val="145258F6"/>
    <w:rsid w:val="149D7FF6"/>
    <w:rsid w:val="1554671D"/>
    <w:rsid w:val="155E4C4D"/>
    <w:rsid w:val="169C1327"/>
    <w:rsid w:val="16A668AC"/>
    <w:rsid w:val="173128B3"/>
    <w:rsid w:val="17E40D5E"/>
    <w:rsid w:val="181066D2"/>
    <w:rsid w:val="19C23A5A"/>
    <w:rsid w:val="1B8425EC"/>
    <w:rsid w:val="1B8A48C1"/>
    <w:rsid w:val="1C671E73"/>
    <w:rsid w:val="1C93375D"/>
    <w:rsid w:val="1D322C47"/>
    <w:rsid w:val="1DCF7229"/>
    <w:rsid w:val="1F6A33F9"/>
    <w:rsid w:val="21341C72"/>
    <w:rsid w:val="21A96898"/>
    <w:rsid w:val="21FE57EE"/>
    <w:rsid w:val="22353CA2"/>
    <w:rsid w:val="23616034"/>
    <w:rsid w:val="23696C97"/>
    <w:rsid w:val="24480FA2"/>
    <w:rsid w:val="25227A45"/>
    <w:rsid w:val="26AC3A6A"/>
    <w:rsid w:val="26C75410"/>
    <w:rsid w:val="29421319"/>
    <w:rsid w:val="29D549F3"/>
    <w:rsid w:val="29E34509"/>
    <w:rsid w:val="2A3F4BF5"/>
    <w:rsid w:val="2B9D7E25"/>
    <w:rsid w:val="2C7C7A3B"/>
    <w:rsid w:val="2D526117"/>
    <w:rsid w:val="2DB94441"/>
    <w:rsid w:val="2E314855"/>
    <w:rsid w:val="2EA14510"/>
    <w:rsid w:val="2F364819"/>
    <w:rsid w:val="2FD63906"/>
    <w:rsid w:val="30404F85"/>
    <w:rsid w:val="309309C8"/>
    <w:rsid w:val="30D047F9"/>
    <w:rsid w:val="33436CE5"/>
    <w:rsid w:val="34385609"/>
    <w:rsid w:val="34AC732B"/>
    <w:rsid w:val="34B219A6"/>
    <w:rsid w:val="364B62C9"/>
    <w:rsid w:val="370C44D4"/>
    <w:rsid w:val="37215DAE"/>
    <w:rsid w:val="373317AA"/>
    <w:rsid w:val="385A79C4"/>
    <w:rsid w:val="38CA40DD"/>
    <w:rsid w:val="39161734"/>
    <w:rsid w:val="395F2B56"/>
    <w:rsid w:val="3BBA0580"/>
    <w:rsid w:val="3BECE841"/>
    <w:rsid w:val="3CCD215A"/>
    <w:rsid w:val="3CDE204C"/>
    <w:rsid w:val="3D363C36"/>
    <w:rsid w:val="3E9C3F6D"/>
    <w:rsid w:val="3FF7797D"/>
    <w:rsid w:val="41AE4076"/>
    <w:rsid w:val="41F8791C"/>
    <w:rsid w:val="42CB4E20"/>
    <w:rsid w:val="43415254"/>
    <w:rsid w:val="43A7763B"/>
    <w:rsid w:val="44E61ECF"/>
    <w:rsid w:val="46690BD8"/>
    <w:rsid w:val="49B4660E"/>
    <w:rsid w:val="49F70BF1"/>
    <w:rsid w:val="4A5C2781"/>
    <w:rsid w:val="4B4340EE"/>
    <w:rsid w:val="4D680607"/>
    <w:rsid w:val="501F0559"/>
    <w:rsid w:val="503D507A"/>
    <w:rsid w:val="505B6584"/>
    <w:rsid w:val="50B45B65"/>
    <w:rsid w:val="51FA74D0"/>
    <w:rsid w:val="52AA4A52"/>
    <w:rsid w:val="52D4036E"/>
    <w:rsid w:val="539445F9"/>
    <w:rsid w:val="539D3AD1"/>
    <w:rsid w:val="55436A98"/>
    <w:rsid w:val="56551179"/>
    <w:rsid w:val="59943D66"/>
    <w:rsid w:val="59E051FD"/>
    <w:rsid w:val="59E6355E"/>
    <w:rsid w:val="5B821531"/>
    <w:rsid w:val="5BFF6039"/>
    <w:rsid w:val="5D76A616"/>
    <w:rsid w:val="5D7F20B9"/>
    <w:rsid w:val="5DAC7D0E"/>
    <w:rsid w:val="5EA64B0D"/>
    <w:rsid w:val="5F697B29"/>
    <w:rsid w:val="5F98B5AF"/>
    <w:rsid w:val="5FFE8511"/>
    <w:rsid w:val="5FFEACE2"/>
    <w:rsid w:val="609D5BF6"/>
    <w:rsid w:val="61073070"/>
    <w:rsid w:val="61B9080E"/>
    <w:rsid w:val="61DF3FED"/>
    <w:rsid w:val="642B176B"/>
    <w:rsid w:val="643EE26D"/>
    <w:rsid w:val="64744EC0"/>
    <w:rsid w:val="656019A0"/>
    <w:rsid w:val="65F242EE"/>
    <w:rsid w:val="66024B2B"/>
    <w:rsid w:val="666D7E19"/>
    <w:rsid w:val="6675128C"/>
    <w:rsid w:val="672C1A82"/>
    <w:rsid w:val="680E64F1"/>
    <w:rsid w:val="68376930"/>
    <w:rsid w:val="68795C50"/>
    <w:rsid w:val="68F91E38"/>
    <w:rsid w:val="6A5938E3"/>
    <w:rsid w:val="6A6B1A26"/>
    <w:rsid w:val="6B2E6153"/>
    <w:rsid w:val="6B3158B9"/>
    <w:rsid w:val="6BA02A3F"/>
    <w:rsid w:val="6BB87D88"/>
    <w:rsid w:val="6C105349"/>
    <w:rsid w:val="6C1E5A53"/>
    <w:rsid w:val="6CEB5339"/>
    <w:rsid w:val="6EDF20AF"/>
    <w:rsid w:val="6F5C41AC"/>
    <w:rsid w:val="6FAF6C78"/>
    <w:rsid w:val="70707D0C"/>
    <w:rsid w:val="716167CC"/>
    <w:rsid w:val="718A7AD1"/>
    <w:rsid w:val="72A44BC2"/>
    <w:rsid w:val="72D655D0"/>
    <w:rsid w:val="7317C656"/>
    <w:rsid w:val="734ED73F"/>
    <w:rsid w:val="73A429A0"/>
    <w:rsid w:val="73C82B32"/>
    <w:rsid w:val="73F94DAE"/>
    <w:rsid w:val="740863C9"/>
    <w:rsid w:val="74220495"/>
    <w:rsid w:val="747D1B6F"/>
    <w:rsid w:val="749E5641"/>
    <w:rsid w:val="74CA6436"/>
    <w:rsid w:val="75A629FF"/>
    <w:rsid w:val="76271066"/>
    <w:rsid w:val="771F6F0D"/>
    <w:rsid w:val="77FD8BE9"/>
    <w:rsid w:val="78000AED"/>
    <w:rsid w:val="78291766"/>
    <w:rsid w:val="79975AC4"/>
    <w:rsid w:val="79A9BD3F"/>
    <w:rsid w:val="7A6E4D4F"/>
    <w:rsid w:val="7AC83E23"/>
    <w:rsid w:val="7B776F12"/>
    <w:rsid w:val="7BF40325"/>
    <w:rsid w:val="7BFFFDD0"/>
    <w:rsid w:val="7C336E5F"/>
    <w:rsid w:val="7C8D4919"/>
    <w:rsid w:val="7D7A5F86"/>
    <w:rsid w:val="7E4B683A"/>
    <w:rsid w:val="7E5E656D"/>
    <w:rsid w:val="7E8F2BCB"/>
    <w:rsid w:val="7F2552DD"/>
    <w:rsid w:val="7F37BB4E"/>
    <w:rsid w:val="7FD91282"/>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w:basedOn w:val="1"/>
    <w:next w:val="6"/>
    <w:qFormat/>
    <w:uiPriority w:val="0"/>
    <w:pPr>
      <w:spacing w:after="120"/>
    </w:pPr>
  </w:style>
  <w:style w:type="paragraph" w:styleId="6">
    <w:name w:val="Body Text Indent"/>
    <w:basedOn w:val="1"/>
    <w:next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 w:type="paragraph" w:customStyle="1" w:styleId="25">
    <w:name w:val="p16"/>
    <w:basedOn w:val="1"/>
    <w:qFormat/>
    <w:uiPriority w:val="0"/>
    <w:pPr>
      <w:adjustRightInd/>
      <w:snapToGrid/>
      <w:spacing w:before="100" w:beforeAutospacing="1" w:after="100" w:afterAutospacing="1"/>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10363</Words>
  <Characters>10767</Characters>
  <Lines>58</Lines>
  <Paragraphs>16</Paragraphs>
  <TotalTime>122</TotalTime>
  <ScaleCrop>false</ScaleCrop>
  <LinksUpToDate>false</LinksUpToDate>
  <CharactersWithSpaces>10777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来财&amp;十个勤天</cp:lastModifiedBy>
  <dcterms:modified xsi:type="dcterms:W3CDTF">2025-10-31T07:45:56Z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4FE461C9BBD24482B22B9A14B3490125</vt:lpwstr>
  </property>
  <property fmtid="{D5CDD505-2E9C-101B-9397-08002B2CF9AE}" pid="4" name="KSOTemplateDocerSaveRecord">
    <vt:lpwstr>eyJoZGlkIjoiNTM1NjJiMTUwNmFhZWNlZmQwNDVjMDAxNDMwM2IwMDkiLCJ1c2VySWQiOiIzNzI2MDMzNTYifQ==</vt:lpwstr>
  </property>
</Properties>
</file>