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873EC"/>
    <w:p w14:paraId="2D4345E9">
      <w:pPr>
        <w:spacing w:line="540" w:lineRule="exact"/>
        <w:jc w:val="center"/>
        <w:rPr>
          <w:rFonts w:hint="default" w:ascii="Times New Roman" w:hAnsi="Times New Roman" w:eastAsia="华文中宋" w:cs="Times New Roman"/>
          <w:b/>
          <w:kern w:val="0"/>
          <w:sz w:val="52"/>
          <w:szCs w:val="52"/>
        </w:rPr>
      </w:pPr>
    </w:p>
    <w:p w14:paraId="13D47370">
      <w:pPr>
        <w:spacing w:line="540" w:lineRule="exact"/>
        <w:rPr>
          <w:rFonts w:hint="default" w:ascii="Times New Roman" w:hAnsi="Times New Roman" w:eastAsia="华文中宋" w:cs="Times New Roman"/>
          <w:b/>
          <w:kern w:val="0"/>
          <w:sz w:val="52"/>
          <w:szCs w:val="52"/>
        </w:rPr>
      </w:pPr>
    </w:p>
    <w:p w14:paraId="20AE264F">
      <w:pPr>
        <w:spacing w:line="540" w:lineRule="exact"/>
        <w:jc w:val="center"/>
        <w:rPr>
          <w:rFonts w:hint="default" w:ascii="Times New Roman" w:hAnsi="Times New Roman" w:eastAsia="华文中宋" w:cs="Times New Roman"/>
          <w:b/>
          <w:kern w:val="0"/>
          <w:sz w:val="52"/>
          <w:szCs w:val="52"/>
        </w:rPr>
      </w:pPr>
    </w:p>
    <w:p w14:paraId="2BD62DB0">
      <w:pPr>
        <w:spacing w:line="540" w:lineRule="exact"/>
        <w:jc w:val="center"/>
        <w:rPr>
          <w:rFonts w:hint="default" w:ascii="Times New Roman" w:hAnsi="Times New Roman" w:eastAsia="华文中宋" w:cs="Times New Roman"/>
          <w:b/>
          <w:kern w:val="0"/>
          <w:sz w:val="52"/>
          <w:szCs w:val="52"/>
        </w:rPr>
      </w:pPr>
    </w:p>
    <w:p w14:paraId="6C27F425">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lang w:val="en-US" w:eastAsia="zh-CN"/>
        </w:rPr>
        <w:t>托里县人民政府聘请政府法律顾问，保障政府行政行为合法有效</w:t>
      </w:r>
      <w:r>
        <w:rPr>
          <w:rFonts w:hint="default" w:ascii="Times New Roman" w:hAnsi="Times New Roman" w:eastAsia="方正小标宋_GBK" w:cs="Times New Roman"/>
          <w:kern w:val="0"/>
          <w:sz w:val="48"/>
          <w:szCs w:val="48"/>
        </w:rPr>
        <w:t>项目支出绩效评价报告</w:t>
      </w:r>
    </w:p>
    <w:p w14:paraId="65966501">
      <w:pPr>
        <w:spacing w:line="540" w:lineRule="exact"/>
        <w:jc w:val="center"/>
        <w:rPr>
          <w:rFonts w:hint="default" w:ascii="Times New Roman" w:hAnsi="Times New Roman" w:eastAsia="华文中宋" w:cs="Times New Roman"/>
          <w:b/>
          <w:kern w:val="0"/>
          <w:sz w:val="52"/>
          <w:szCs w:val="52"/>
        </w:rPr>
      </w:pPr>
    </w:p>
    <w:p w14:paraId="0F5341F2">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67335055">
      <w:pPr>
        <w:spacing w:line="540" w:lineRule="exact"/>
        <w:jc w:val="center"/>
        <w:rPr>
          <w:rFonts w:hint="default" w:ascii="Times New Roman" w:hAnsi="Times New Roman" w:eastAsia="仿宋_GB2312" w:cs="Times New Roman"/>
          <w:kern w:val="0"/>
          <w:sz w:val="30"/>
          <w:szCs w:val="30"/>
        </w:rPr>
      </w:pPr>
    </w:p>
    <w:p w14:paraId="4491643E">
      <w:pPr>
        <w:spacing w:line="540" w:lineRule="exact"/>
        <w:jc w:val="center"/>
        <w:rPr>
          <w:rFonts w:hint="default" w:ascii="Times New Roman" w:hAnsi="Times New Roman" w:eastAsia="仿宋_GB2312" w:cs="Times New Roman"/>
          <w:kern w:val="0"/>
          <w:sz w:val="30"/>
          <w:szCs w:val="30"/>
        </w:rPr>
      </w:pPr>
    </w:p>
    <w:p w14:paraId="1B58132C">
      <w:pPr>
        <w:spacing w:line="540" w:lineRule="exact"/>
        <w:jc w:val="center"/>
        <w:rPr>
          <w:rFonts w:hint="default" w:ascii="Times New Roman" w:hAnsi="Times New Roman" w:eastAsia="仿宋_GB2312" w:cs="Times New Roman"/>
          <w:kern w:val="0"/>
          <w:sz w:val="30"/>
          <w:szCs w:val="30"/>
        </w:rPr>
      </w:pPr>
    </w:p>
    <w:p w14:paraId="632E2D27">
      <w:pPr>
        <w:pStyle w:val="9"/>
        <w:rPr>
          <w:rFonts w:hint="default" w:ascii="Times New Roman" w:hAnsi="Times New Roman" w:cs="Times New Roman"/>
        </w:rPr>
      </w:pPr>
    </w:p>
    <w:p w14:paraId="3319CB33">
      <w:pPr>
        <w:spacing w:line="540" w:lineRule="exact"/>
        <w:jc w:val="center"/>
        <w:rPr>
          <w:rFonts w:hint="default" w:ascii="Times New Roman" w:hAnsi="Times New Roman" w:eastAsia="仿宋_GB2312" w:cs="Times New Roman"/>
          <w:kern w:val="0"/>
          <w:sz w:val="30"/>
          <w:szCs w:val="30"/>
        </w:rPr>
      </w:pPr>
    </w:p>
    <w:p w14:paraId="4346F55A">
      <w:pPr>
        <w:spacing w:line="540" w:lineRule="exact"/>
        <w:rPr>
          <w:rFonts w:hint="default" w:ascii="Times New Roman" w:hAnsi="Times New Roman" w:eastAsia="仿宋_GB2312" w:cs="Times New Roman"/>
          <w:kern w:val="0"/>
          <w:sz w:val="30"/>
          <w:szCs w:val="30"/>
        </w:rPr>
      </w:pPr>
    </w:p>
    <w:p w14:paraId="05C5A58A">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val="en-US" w:eastAsia="zh-CN"/>
        </w:rPr>
        <w:t>托里县人民政府聘请政府法律顾问，保障政府行政行为合法有效</w:t>
      </w:r>
      <w:r>
        <w:rPr>
          <w:rFonts w:hint="default" w:ascii="Times New Roman" w:hAnsi="Times New Roman" w:eastAsia="仿宋_GB2312" w:cs="Times New Roman"/>
          <w:kern w:val="0"/>
          <w:sz w:val="36"/>
          <w:szCs w:val="36"/>
        </w:rPr>
        <w:t>项目</w:t>
      </w:r>
    </w:p>
    <w:p w14:paraId="4901DE23">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托里县人民政府办公室</w:t>
      </w:r>
    </w:p>
    <w:p w14:paraId="658C14E3">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托里县人民政府办公室</w:t>
      </w:r>
    </w:p>
    <w:p w14:paraId="641CC21A">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白文明</w:t>
      </w:r>
    </w:p>
    <w:p w14:paraId="2DDF6877">
      <w:pPr>
        <w:spacing w:line="700" w:lineRule="exact"/>
        <w:ind w:firstLine="1440" w:firstLineChars="400"/>
        <w:jc w:val="left"/>
        <w:rPr>
          <w:rStyle w:val="15"/>
          <w:rFonts w:hint="default" w:ascii="Times New Roman" w:hAnsi="Times New Roman" w:eastAsia="黑体" w:cs="Times New Roman"/>
          <w:b w:val="0"/>
          <w:spacing w:val="-4"/>
          <w:sz w:val="32"/>
          <w:szCs w:val="32"/>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 xml:space="preserve">16 </w:t>
      </w:r>
      <w:r>
        <w:rPr>
          <w:rFonts w:hint="default" w:ascii="Times New Roman" w:hAnsi="Times New Roman" w:eastAsia="仿宋_GB2312" w:cs="Times New Roman"/>
          <w:kern w:val="0"/>
          <w:sz w:val="36"/>
          <w:szCs w:val="36"/>
        </w:rPr>
        <w:t>日</w:t>
      </w:r>
    </w:p>
    <w:p w14:paraId="4CE3DAF4">
      <w:pPr>
        <w:spacing w:line="540" w:lineRule="exact"/>
        <w:ind w:firstLine="640"/>
        <w:rPr>
          <w:rStyle w:val="15"/>
          <w:rFonts w:hint="default" w:ascii="Times New Roman" w:hAnsi="Times New Roman" w:eastAsia="黑体" w:cs="Times New Roman"/>
          <w:b w:val="0"/>
          <w:spacing w:val="-4"/>
          <w:sz w:val="32"/>
          <w:szCs w:val="32"/>
        </w:rPr>
      </w:pPr>
    </w:p>
    <w:p w14:paraId="5FF18C7D">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562E37B">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D4BC8F4">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693537B6">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EDFD3F2">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现在，国家讲究法治政府的建设，政府需要依法行政。为了改善政府的行政方式，提高政府的行政效率，缓解社会矛盾，因此政府聘请法律顾问。</w:t>
      </w:r>
    </w:p>
    <w:p w14:paraId="08871C88">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一、政府聘请法律顾问是依法行政的需要</w:t>
      </w:r>
    </w:p>
    <w:p w14:paraId="7F951BC0">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政府依法执政成为政府工作的基本准则。然而，由于政府工作的复杂性和多样性，现有政府法制工作人员无法对各个领域的法律都精通。因此，政府需要与政府法制机构合作的法律人才，以协助政府处理法律事务。高层次的法律人才也能为政府行政决策和管理提供法律意见和建议，确保政府行为符合法律框架。</w:t>
      </w:r>
    </w:p>
    <w:p w14:paraId="01D11558">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二、政府聘请法律顾问是政府规范性文件正确制定的需要</w:t>
      </w:r>
    </w:p>
    <w:p w14:paraId="3B5216A8">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随着我国立法体系的完善，政府承担着地方规章和规范性文件的制定任务。在规则制定过程中，法律论证成为必不可少的程序。同时，政府工作透明度的提高要求政府文件的合法性和可行性经过严格的论证。因此，政府需要法律专家来完成这一工作。</w:t>
      </w:r>
    </w:p>
    <w:p w14:paraId="7D6DD917">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三、政府聘请法律顾问是解决重大项目投资问题的需要</w:t>
      </w:r>
    </w:p>
    <w:p w14:paraId="5FB70D78">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作为行政机关，政府承担着大型基础设施建设的投资、建设和管理责任。这些项目涉及众多法律问题，并且由于其投资周期长、资金巨大，法律风险也逐年增大。因此，在项目可行性研究阶段，法律可行性研究是必不可少的。项目涉及的法律文件从起草到履行都需要法律专家的参与。此外，对于项目的融资等重大问题，也需要法律顾问进行法律框架设计。</w:t>
      </w:r>
    </w:p>
    <w:p w14:paraId="036AD017">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四、政府聘请法律顾问是解决政府作为一般民事主体涉及的法律关系的需要</w:t>
      </w:r>
    </w:p>
    <w:p w14:paraId="67394809">
      <w:pPr>
        <w:pStyle w:val="9"/>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政府作为一个民事主体，与其他民事主体之间会发生大量的民事法律关系，如政府采购等。在这些民事法律关系发生时，法律顾问的参与对于预防法律风险和解决纠纷至关重要。政府对法律的依存度大大提高，因此政府急需精通法律的人员来协助政府工作。政府聘请法律顾问已经成为一个客观存在的现实需求。</w:t>
      </w:r>
    </w:p>
    <w:p w14:paraId="26B26DBB">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750B605D">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托里县政府法律顾问项目资金16万元，用于聘请1名法律顾问，通过咨询法律相关意见，加强社会主义法治文化建设，建设法治政府，为政府及时提供法律服务，降低风险。提升政府公信力，群众满意度达到95%。</w:t>
      </w:r>
    </w:p>
    <w:p w14:paraId="3E3EC8E6">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项目实施情况：截止2024年12月托里县政府法律顾问项目资金</w:t>
      </w:r>
      <w:r>
        <w:rPr>
          <w:rFonts w:hint="eastAsia" w:eastAsia="仿宋_GB2312" w:cs="Times New Roman"/>
          <w:sz w:val="32"/>
          <w:szCs w:val="32"/>
          <w:lang w:val="en-US" w:eastAsia="zh-CN"/>
        </w:rPr>
        <w:t>已使用</w:t>
      </w:r>
      <w:r>
        <w:rPr>
          <w:rFonts w:hint="default" w:ascii="Times New Roman" w:hAnsi="Times New Roman" w:eastAsia="仿宋_GB2312" w:cs="Times New Roman"/>
          <w:sz w:val="32"/>
          <w:szCs w:val="32"/>
        </w:rPr>
        <w:t>16万元，聘请</w:t>
      </w:r>
      <w:r>
        <w:rPr>
          <w:rFonts w:hint="eastAsia" w:eastAsia="仿宋_GB2312" w:cs="Times New Roman"/>
          <w:sz w:val="32"/>
          <w:szCs w:val="32"/>
          <w:lang w:val="en-US" w:eastAsia="zh-CN"/>
        </w:rPr>
        <w:t>了</w:t>
      </w:r>
      <w:r>
        <w:rPr>
          <w:rFonts w:hint="default" w:ascii="Times New Roman" w:hAnsi="Times New Roman" w:eastAsia="仿宋_GB2312" w:cs="Times New Roman"/>
          <w:sz w:val="32"/>
          <w:szCs w:val="32"/>
        </w:rPr>
        <w:t>1名法律顾问，</w:t>
      </w:r>
      <w:r>
        <w:rPr>
          <w:rFonts w:hint="eastAsia" w:eastAsia="仿宋_GB2312" w:cs="Times New Roman"/>
          <w:sz w:val="32"/>
          <w:szCs w:val="32"/>
          <w:lang w:val="en-US" w:eastAsia="zh-CN"/>
        </w:rPr>
        <w:t>提供了10次</w:t>
      </w:r>
      <w:r>
        <w:rPr>
          <w:rFonts w:hint="default" w:ascii="Times New Roman" w:hAnsi="Times New Roman" w:eastAsia="仿宋_GB2312" w:cs="Times New Roman"/>
          <w:sz w:val="32"/>
          <w:szCs w:val="32"/>
        </w:rPr>
        <w:t>法律咨询</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通过咨询法律相关意见，加强</w:t>
      </w:r>
      <w:r>
        <w:rPr>
          <w:rFonts w:hint="eastAsia" w:eastAsia="仿宋_GB2312" w:cs="Times New Roman"/>
          <w:sz w:val="32"/>
          <w:szCs w:val="32"/>
          <w:lang w:val="en-US" w:eastAsia="zh-CN"/>
        </w:rPr>
        <w:t>了</w:t>
      </w:r>
      <w:r>
        <w:rPr>
          <w:rFonts w:hint="default" w:ascii="Times New Roman" w:hAnsi="Times New Roman" w:eastAsia="仿宋_GB2312" w:cs="Times New Roman"/>
          <w:sz w:val="32"/>
          <w:szCs w:val="32"/>
        </w:rPr>
        <w:t>社会主义法治文化建设，建设法治政府，为政府及时提供法律服务，降低风险。提升政府公信力。</w:t>
      </w:r>
    </w:p>
    <w:p w14:paraId="535BC6BA">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250CEE6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1CA2BB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04BF991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356E881">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聘请1名法律顾问提供10次法律咨询服务，</w:t>
      </w:r>
      <w:r>
        <w:rPr>
          <w:rFonts w:hint="default" w:eastAsia="仿宋_GB2312" w:cs="Times New Roman"/>
          <w:sz w:val="32"/>
          <w:szCs w:val="32"/>
          <w:highlight w:val="none"/>
          <w:lang w:val="en-US" w:eastAsia="zh-CN"/>
        </w:rPr>
        <w:t>通过咨询法律相关意见，加强社会主义法治文化建设，建设法治政府，为政府及时提供法律服务，降低风险。</w:t>
      </w:r>
    </w:p>
    <w:p w14:paraId="77F5079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EC58EE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799A1C6F">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托里县政府法律顾问项目资金16万元，用于聘请1名法律顾问，通过咨询法律相关意见，加强社会主义法治文化建设，建设法治政府，为政府及时提供法律服务，降低风险。提升政府公信力，群众满意度达到95%。</w:t>
      </w:r>
    </w:p>
    <w:p w14:paraId="01ACE190">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21CC1DD3">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1. 项目启动阶段（第1-2个月）：明确政府对法律顾问的需求，制定详尽的服务内容与要求。通过规范流程筛选合适的法律顾问。与选定的法律顾问签订合同</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确定双方联络方式与沟通机制，构建工作框架。</w:t>
      </w:r>
    </w:p>
    <w:p w14:paraId="45DA702C">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2. 项目执行阶段（第3-11个月）：法律顾问为政府日常行政决策提供专业法律意见，对各类合同、协议进行严格审查，确保合法合规。参与政府规范性文件的起草、论证和修改，保障文件符合法律法规。处理行政复议、行政诉讼等法律纠纷，维护政府合法权益。开展法律知识培训，增强政府工作人员的法治意识和法律素养。</w:t>
      </w:r>
    </w:p>
    <w:p w14:paraId="5BDEB7B9">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3. 项目收尾阶段（第12个月）：法律顾问全面总结服务期间的工作，整理法律意见、审查记录等资料并提交给政府。政府依据预先设定的考核指标，对法律顾问的工作表现、服务质量、成果成效等进行综合考核评估。召开总结会议，双方交流合作经验与问题，为后续合作或改进提供参考。</w:t>
      </w:r>
    </w:p>
    <w:p w14:paraId="498DF955">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235B7F24">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7E5EE16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18E6670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32A76B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023CF431">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E31EF0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667F81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66CB25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5FCC9E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213041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718D7E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8ACC4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0BF96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67F01B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28343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B272A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93F72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37C063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7545E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F0143F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68351A2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托里县人民政府聘请政府法律顾问，保障政府行政行为合法有效</w:t>
      </w:r>
      <w:r>
        <w:rPr>
          <w:rFonts w:hint="default" w:ascii="Times New Roman" w:hAnsi="Times New Roman" w:eastAsia="仿宋_GB2312" w:cs="Times New Roman"/>
          <w:b w:val="0"/>
          <w:bCs w:val="0"/>
          <w:highlight w:val="none"/>
        </w:rPr>
        <w:t>项目及其预算执行情况。该项目由</w:t>
      </w:r>
      <w:r>
        <w:rPr>
          <w:rFonts w:hint="eastAsia" w:ascii="Times New Roman" w:hAnsi="Times New Roman" w:eastAsia="仿宋_GB2312" w:cs="Times New Roman"/>
          <w:b w:val="0"/>
          <w:bCs w:val="0"/>
          <w:highlight w:val="none"/>
          <w:lang w:val="en-US" w:eastAsia="zh-CN"/>
        </w:rPr>
        <w:t>托里县人民政府办公室</w:t>
      </w:r>
      <w:r>
        <w:rPr>
          <w:rFonts w:hint="default" w:ascii="Times New Roman" w:hAnsi="Times New Roman" w:eastAsia="仿宋_GB2312" w:cs="Times New Roman"/>
          <w:b w:val="0"/>
          <w:bCs w:val="0"/>
          <w:highlight w:val="none"/>
        </w:rPr>
        <w:t>负责实施，旨在通过咨询法律相关意见，加强社会主义法治文化建设，建设法治政府，为政府及时提供法律服务，降低风险。项目预算涵盖从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16</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2BF71CB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4ECE9FF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73CF5AFB">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0BD2761B">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E23D26F">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6539193">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p>
    <w:p w14:paraId="0D65DBAE">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4BA1B43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3DB6B2B1">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5F3B1334">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5F4220A9">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229E350A">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BC5D7C0">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09704A2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5AB887DA">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6C688D3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088F2DF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343B5E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278D2546">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7E2982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4347BBE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622B71A2">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7E3848BB">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19BF9A9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02B9C62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162465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B91AC5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r>
        <w:rPr>
          <w:rFonts w:hint="eastAsia" w:eastAsia="仿宋_GB2312" w:cs="Times New Roman"/>
          <w:color w:val="000000"/>
          <w:spacing w:val="17"/>
          <w:sz w:val="32"/>
          <w:szCs w:val="32"/>
          <w:highlight w:val="none"/>
          <w:lang w:val="en-US" w:eastAsia="zh-CN"/>
        </w:rPr>
        <w:t>我单位通过聘请1名法律顾问，使其提供10次法律咨询服务，从而提升政府公信力。选用该方法可以帮助政府评估聘请法律顾问的成本与带来的效益。成本主要是支付给法律顾问的费用等，效益则包括减少的法律风险损失、提高的行政决策质量、提升的政府形象等。通过分析，政府能确定聘请法律顾问是否能以合理的成本获得足够的效益，从而做出科学的决策。</w:t>
      </w:r>
      <w:r>
        <w:rPr>
          <w:rFonts w:hint="default" w:ascii="Times New Roman" w:hAnsi="Times New Roman" w:eastAsia="仿宋_GB2312" w:cs="Times New Roman"/>
          <w:color w:val="000000"/>
          <w:spacing w:val="17"/>
          <w:sz w:val="32"/>
          <w:szCs w:val="32"/>
          <w:highlight w:val="none"/>
        </w:rPr>
        <w:t xml:space="preserve"> </w:t>
      </w:r>
    </w:p>
    <w:p w14:paraId="6747A68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二</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在政府聘请法律顾问项目中应用公众评判法，能让政府了解社会对项目的看法，发现项目实施过程中存在的问题，以便及时改进和完善，提高项目的实施效果和公众满意度。</w:t>
      </w:r>
    </w:p>
    <w:p w14:paraId="079F482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0A0FF08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w:t>
      </w:r>
      <w:r>
        <w:rPr>
          <w:rFonts w:hint="default" w:ascii="Times New Roman" w:hAnsi="Times New Roman" w:eastAsia="仿宋_GB2312" w:cs="Times New Roman"/>
          <w:b w:val="0"/>
          <w:bCs w:val="0"/>
          <w:highlight w:val="none"/>
        </w:rPr>
        <w:t>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default" w:ascii="Times New Roman" w:hAnsi="Times New Roman" w:eastAsia="仿宋_GB2312" w:cs="Times New Roman"/>
          <w:b w:val="0"/>
          <w:bCs w:val="0"/>
        </w:rPr>
        <w:t>。</w:t>
      </w:r>
    </w:p>
    <w:p w14:paraId="787BF55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计划标准是一种评估参照尺度，基于预先设定的计划目标、指标与要求构建。在政府聘请法律顾问项目里，计划标准涵盖服务内容、时间进度、质量指标等规划。比如规定法律顾问提供法律</w:t>
      </w:r>
      <w:r>
        <w:rPr>
          <w:rFonts w:hint="eastAsia" w:ascii="Times New Roman" w:hAnsi="Times New Roman" w:eastAsia="仿宋_GB2312" w:cs="Times New Roman"/>
          <w:b w:val="0"/>
          <w:bCs w:val="0"/>
          <w:lang w:val="en-US" w:eastAsia="zh-CN"/>
        </w:rPr>
        <w:t>咨询</w:t>
      </w:r>
      <w:r>
        <w:rPr>
          <w:rFonts w:hint="default" w:ascii="Times New Roman" w:hAnsi="Times New Roman" w:eastAsia="仿宋_GB2312" w:cs="Times New Roman"/>
          <w:b w:val="0"/>
          <w:bCs w:val="0"/>
        </w:rPr>
        <w:t>次数等。通过对比实际执行和计划标准，可判断项目是否按规划推进，偏差在哪，以便及时调整策略，保障项目达成预期目标。</w:t>
      </w:r>
    </w:p>
    <w:p w14:paraId="3598FA64">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386B20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1A7E5A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14B914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2AE6ED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79E527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CDA7D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851B4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4DAA21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78E8B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03A564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98141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B6703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13A7397">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4953E703">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340291DB">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托里县人民政府聘请政府法律顾问，保障政府行政行为合法有效</w:t>
      </w:r>
      <w:r>
        <w:rPr>
          <w:rFonts w:hint="default" w:ascii="Times New Roman" w:hAnsi="Times New Roman" w:eastAsia="仿宋_GB2312" w:cs="Times New Roman"/>
          <w:sz w:val="32"/>
          <w:szCs w:val="32"/>
          <w:highlight w:val="none"/>
        </w:rPr>
        <w:t>项目在提供法律咨询、法律顾问合同履约合规率等方面表现出色，达到了预期的标准与要求。同时，项目也在</w:t>
      </w:r>
      <w:r>
        <w:rPr>
          <w:rFonts w:hint="eastAsia" w:eastAsia="仿宋_GB2312" w:cs="Times New Roman"/>
          <w:color w:val="auto"/>
          <w:sz w:val="32"/>
          <w:szCs w:val="32"/>
          <w:highlight w:val="none"/>
          <w:lang w:val="en-US" w:eastAsia="zh-CN"/>
        </w:rPr>
        <w:t>咨询成果应用方面</w:t>
      </w:r>
      <w:r>
        <w:rPr>
          <w:rFonts w:hint="default" w:ascii="Times New Roman" w:hAnsi="Times New Roman" w:eastAsia="仿宋_GB2312" w:cs="Times New Roman"/>
          <w:sz w:val="32"/>
          <w:szCs w:val="32"/>
          <w:highlight w:val="none"/>
        </w:rPr>
        <w:t>取得了显著的成效，提升政府公信力、为政府及时提供法律服务，降低风险等。</w:t>
      </w:r>
    </w:p>
    <w:p w14:paraId="18D5387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托里县人民政府办公室</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FF272B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从项目效益的角度来看，本项目不仅实现了预期的社会效益指标</w:t>
      </w:r>
      <w:r>
        <w:rPr>
          <w:rFonts w:hint="eastAsia" w:eastAsia="仿宋_GB2312" w:cs="Times New Roman"/>
          <w:sz w:val="32"/>
          <w:szCs w:val="32"/>
          <w:highlight w:val="none"/>
          <w:lang w:val="en-US" w:eastAsia="zh-CN"/>
        </w:rPr>
        <w:t>（选填）</w:t>
      </w:r>
      <w:r>
        <w:rPr>
          <w:rFonts w:hint="default" w:ascii="Times New Roman" w:hAnsi="Times New Roman" w:eastAsia="仿宋_GB2312" w:cs="Times New Roman"/>
          <w:sz w:val="32"/>
          <w:szCs w:val="32"/>
          <w:highlight w:val="none"/>
        </w:rPr>
        <w:t>等方面产生了积极的影响。具体而言，[提升政府公信力]、[为政府及时提供法律服务，降低风险]等方面的提升，为项目的利益相关者带来了实实在在的利益。</w:t>
      </w:r>
    </w:p>
    <w:p w14:paraId="590BFC8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green"/>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val="en-US" w:eastAsia="zh-CN"/>
        </w:rPr>
        <w:t>托里县人民政府聘请政府法律顾问，保障政府行政行为合法有效</w:t>
      </w:r>
      <w:r>
        <w:rPr>
          <w:rFonts w:hint="default" w:ascii="Times New Roman" w:hAnsi="Times New Roman" w:eastAsia="仿宋_GB2312" w:cs="Times New Roman"/>
          <w:sz w:val="32"/>
          <w:szCs w:val="32"/>
          <w:highlight w:val="none"/>
        </w:rPr>
        <w:t>项目]在绩效评价中表现出色，达到了项目的预期目标，并在多个方面取得了显著的成效。</w:t>
      </w:r>
    </w:p>
    <w:p w14:paraId="1A88106C">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1D880F3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w:t>
      </w:r>
      <w:r>
        <w:rPr>
          <w:rFonts w:hint="default" w:ascii="Times New Roman" w:hAnsi="Times New Roman" w:eastAsia="仿宋_GB2312" w:cs="Times New Roman"/>
          <w:b w:val="0"/>
          <w:bCs w:val="0"/>
          <w:highlight w:val="none"/>
        </w:rPr>
        <w:t>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7B54A852">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2"/>
        <w:tblW w:w="14165" w:type="dxa"/>
        <w:jc w:val="center"/>
        <w:tblLayout w:type="fixed"/>
        <w:tblCellMar>
          <w:top w:w="0" w:type="dxa"/>
          <w:left w:w="108" w:type="dxa"/>
          <w:bottom w:w="0" w:type="dxa"/>
          <w:right w:w="108" w:type="dxa"/>
        </w:tblCellMar>
      </w:tblPr>
      <w:tblGrid>
        <w:gridCol w:w="4507"/>
        <w:gridCol w:w="3115"/>
        <w:gridCol w:w="3271"/>
        <w:gridCol w:w="3272"/>
      </w:tblGrid>
      <w:tr w14:paraId="7F225C37">
        <w:tblPrEx>
          <w:tblCellMar>
            <w:top w:w="0" w:type="dxa"/>
            <w:left w:w="108" w:type="dxa"/>
            <w:bottom w:w="0" w:type="dxa"/>
            <w:right w:w="108" w:type="dxa"/>
          </w:tblCellMar>
        </w:tblPrEx>
        <w:trPr>
          <w:trHeight w:val="90" w:hRule="atLeast"/>
          <w:tblHeader/>
          <w:jc w:val="center"/>
        </w:trPr>
        <w:tc>
          <w:tcPr>
            <w:tcW w:w="4507" w:type="dxa"/>
            <w:tcBorders>
              <w:top w:val="single" w:color="auto" w:sz="4" w:space="0"/>
              <w:left w:val="single" w:color="auto" w:sz="4" w:space="0"/>
              <w:bottom w:val="single" w:color="auto" w:sz="4" w:space="0"/>
              <w:right w:val="single" w:color="auto" w:sz="4" w:space="0"/>
            </w:tcBorders>
            <w:shd w:val="clear" w:color="000000" w:fill="BEBEBE"/>
            <w:vAlign w:val="center"/>
          </w:tcPr>
          <w:p w14:paraId="68D97C5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3115" w:type="dxa"/>
            <w:tcBorders>
              <w:top w:val="single" w:color="auto" w:sz="4" w:space="0"/>
              <w:left w:val="nil"/>
              <w:bottom w:val="single" w:color="auto" w:sz="4" w:space="0"/>
              <w:right w:val="single" w:color="auto" w:sz="4" w:space="0"/>
            </w:tcBorders>
            <w:shd w:val="clear" w:color="000000" w:fill="BEBEBE"/>
            <w:vAlign w:val="center"/>
          </w:tcPr>
          <w:p w14:paraId="7DB4EF1B">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3271" w:type="dxa"/>
            <w:tcBorders>
              <w:top w:val="single" w:color="auto" w:sz="4" w:space="0"/>
              <w:left w:val="nil"/>
              <w:bottom w:val="single" w:color="auto" w:sz="4" w:space="0"/>
              <w:right w:val="single" w:color="auto" w:sz="4" w:space="0"/>
            </w:tcBorders>
            <w:shd w:val="clear" w:color="000000" w:fill="BEBEBE"/>
            <w:vAlign w:val="center"/>
          </w:tcPr>
          <w:p w14:paraId="7C318FF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3272" w:type="dxa"/>
            <w:tcBorders>
              <w:top w:val="single" w:color="auto" w:sz="4" w:space="0"/>
              <w:left w:val="nil"/>
              <w:bottom w:val="single" w:color="auto" w:sz="4" w:space="0"/>
              <w:right w:val="single" w:color="auto" w:sz="4" w:space="0"/>
            </w:tcBorders>
            <w:shd w:val="clear" w:color="000000" w:fill="BEBEBE"/>
            <w:vAlign w:val="center"/>
          </w:tcPr>
          <w:p w14:paraId="664C51E5">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5E7D0422">
        <w:tblPrEx>
          <w:tblCellMar>
            <w:top w:w="0" w:type="dxa"/>
            <w:left w:w="108" w:type="dxa"/>
            <w:bottom w:w="0" w:type="dxa"/>
            <w:right w:w="108" w:type="dxa"/>
          </w:tblCellMar>
        </w:tblPrEx>
        <w:trPr>
          <w:trHeight w:val="340" w:hRule="atLeast"/>
          <w:jc w:val="center"/>
        </w:trPr>
        <w:tc>
          <w:tcPr>
            <w:tcW w:w="4507" w:type="dxa"/>
            <w:tcBorders>
              <w:top w:val="nil"/>
              <w:left w:val="single" w:color="auto" w:sz="4" w:space="0"/>
              <w:bottom w:val="single" w:color="auto" w:sz="4" w:space="0"/>
              <w:right w:val="single" w:color="auto" w:sz="4" w:space="0"/>
            </w:tcBorders>
            <w:shd w:val="clear" w:color="auto" w:fill="auto"/>
            <w:vAlign w:val="center"/>
          </w:tcPr>
          <w:p w14:paraId="0C5A5C4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3115" w:type="dxa"/>
            <w:tcBorders>
              <w:top w:val="nil"/>
              <w:left w:val="nil"/>
              <w:bottom w:val="single" w:color="auto" w:sz="4" w:space="0"/>
              <w:right w:val="single" w:color="auto" w:sz="4" w:space="0"/>
            </w:tcBorders>
            <w:shd w:val="clear" w:color="auto" w:fill="auto"/>
            <w:vAlign w:val="center"/>
          </w:tcPr>
          <w:p w14:paraId="4DFA03D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3271" w:type="dxa"/>
            <w:tcBorders>
              <w:top w:val="nil"/>
              <w:left w:val="nil"/>
              <w:bottom w:val="single" w:color="auto" w:sz="4" w:space="0"/>
              <w:right w:val="single" w:color="auto" w:sz="4" w:space="0"/>
            </w:tcBorders>
            <w:shd w:val="clear" w:color="auto" w:fill="auto"/>
            <w:vAlign w:val="center"/>
          </w:tcPr>
          <w:p w14:paraId="39A3150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3272" w:type="dxa"/>
            <w:tcBorders>
              <w:top w:val="nil"/>
              <w:left w:val="nil"/>
              <w:bottom w:val="single" w:color="auto" w:sz="4" w:space="0"/>
              <w:right w:val="single" w:color="auto" w:sz="4" w:space="0"/>
            </w:tcBorders>
            <w:shd w:val="clear" w:color="auto" w:fill="auto"/>
            <w:vAlign w:val="center"/>
          </w:tcPr>
          <w:p w14:paraId="6B76880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38B03820">
        <w:tblPrEx>
          <w:tblCellMar>
            <w:top w:w="0" w:type="dxa"/>
            <w:left w:w="108" w:type="dxa"/>
            <w:bottom w:w="0" w:type="dxa"/>
            <w:right w:w="108" w:type="dxa"/>
          </w:tblCellMar>
        </w:tblPrEx>
        <w:trPr>
          <w:trHeight w:val="340" w:hRule="atLeast"/>
          <w:jc w:val="center"/>
        </w:trPr>
        <w:tc>
          <w:tcPr>
            <w:tcW w:w="4507" w:type="dxa"/>
            <w:tcBorders>
              <w:top w:val="nil"/>
              <w:left w:val="single" w:color="auto" w:sz="4" w:space="0"/>
              <w:bottom w:val="single" w:color="auto" w:sz="4" w:space="0"/>
              <w:right w:val="single" w:color="auto" w:sz="4" w:space="0"/>
            </w:tcBorders>
            <w:shd w:val="clear" w:color="auto" w:fill="auto"/>
            <w:vAlign w:val="center"/>
          </w:tcPr>
          <w:p w14:paraId="1A46697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3115" w:type="dxa"/>
            <w:tcBorders>
              <w:top w:val="nil"/>
              <w:left w:val="nil"/>
              <w:bottom w:val="single" w:color="auto" w:sz="4" w:space="0"/>
              <w:right w:val="single" w:color="auto" w:sz="4" w:space="0"/>
            </w:tcBorders>
            <w:shd w:val="clear" w:color="auto" w:fill="auto"/>
            <w:vAlign w:val="center"/>
          </w:tcPr>
          <w:p w14:paraId="6FB62316">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3271" w:type="dxa"/>
            <w:tcBorders>
              <w:top w:val="nil"/>
              <w:left w:val="nil"/>
              <w:bottom w:val="single" w:color="auto" w:sz="4" w:space="0"/>
              <w:right w:val="single" w:color="auto" w:sz="4" w:space="0"/>
            </w:tcBorders>
            <w:shd w:val="clear" w:color="auto" w:fill="auto"/>
            <w:vAlign w:val="center"/>
          </w:tcPr>
          <w:p w14:paraId="0A57D5C7">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20</w:t>
            </w:r>
          </w:p>
        </w:tc>
        <w:tc>
          <w:tcPr>
            <w:tcW w:w="3272" w:type="dxa"/>
            <w:tcBorders>
              <w:top w:val="nil"/>
              <w:left w:val="nil"/>
              <w:bottom w:val="single" w:color="auto" w:sz="4" w:space="0"/>
              <w:right w:val="single" w:color="auto" w:sz="4" w:space="0"/>
            </w:tcBorders>
            <w:shd w:val="clear" w:color="auto" w:fill="auto"/>
            <w:vAlign w:val="center"/>
          </w:tcPr>
          <w:p w14:paraId="26580A88">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100%</w:t>
            </w:r>
          </w:p>
        </w:tc>
      </w:tr>
      <w:tr w14:paraId="01A4A881">
        <w:tblPrEx>
          <w:tblCellMar>
            <w:top w:w="0" w:type="dxa"/>
            <w:left w:w="108" w:type="dxa"/>
            <w:bottom w:w="0" w:type="dxa"/>
            <w:right w:w="108" w:type="dxa"/>
          </w:tblCellMar>
        </w:tblPrEx>
        <w:trPr>
          <w:trHeight w:val="340" w:hRule="atLeast"/>
          <w:jc w:val="center"/>
        </w:trPr>
        <w:tc>
          <w:tcPr>
            <w:tcW w:w="4507" w:type="dxa"/>
            <w:tcBorders>
              <w:top w:val="nil"/>
              <w:left w:val="single" w:color="auto" w:sz="4" w:space="0"/>
              <w:bottom w:val="single" w:color="auto" w:sz="4" w:space="0"/>
              <w:right w:val="single" w:color="auto" w:sz="4" w:space="0"/>
            </w:tcBorders>
            <w:shd w:val="clear" w:color="auto" w:fill="auto"/>
            <w:vAlign w:val="center"/>
          </w:tcPr>
          <w:p w14:paraId="2F03B16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3115" w:type="dxa"/>
            <w:tcBorders>
              <w:top w:val="nil"/>
              <w:left w:val="nil"/>
              <w:bottom w:val="single" w:color="auto" w:sz="4" w:space="0"/>
              <w:right w:val="single" w:color="auto" w:sz="4" w:space="0"/>
            </w:tcBorders>
            <w:shd w:val="clear" w:color="auto" w:fill="auto"/>
            <w:vAlign w:val="center"/>
          </w:tcPr>
          <w:p w14:paraId="4C16002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3271" w:type="dxa"/>
            <w:tcBorders>
              <w:top w:val="nil"/>
              <w:left w:val="nil"/>
              <w:bottom w:val="single" w:color="auto" w:sz="4" w:space="0"/>
              <w:right w:val="single" w:color="auto" w:sz="4" w:space="0"/>
            </w:tcBorders>
            <w:shd w:val="clear" w:color="auto" w:fill="auto"/>
            <w:vAlign w:val="center"/>
          </w:tcPr>
          <w:p w14:paraId="4A8313F1">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40</w:t>
            </w:r>
          </w:p>
        </w:tc>
        <w:tc>
          <w:tcPr>
            <w:tcW w:w="3272" w:type="dxa"/>
            <w:tcBorders>
              <w:top w:val="nil"/>
              <w:left w:val="nil"/>
              <w:bottom w:val="single" w:color="auto" w:sz="4" w:space="0"/>
              <w:right w:val="single" w:color="auto" w:sz="4" w:space="0"/>
            </w:tcBorders>
            <w:shd w:val="clear" w:color="auto" w:fill="auto"/>
            <w:vAlign w:val="center"/>
          </w:tcPr>
          <w:p w14:paraId="7EBF85FE">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100%</w:t>
            </w:r>
          </w:p>
        </w:tc>
      </w:tr>
      <w:tr w14:paraId="17398DB8">
        <w:tblPrEx>
          <w:tblCellMar>
            <w:top w:w="0" w:type="dxa"/>
            <w:left w:w="108" w:type="dxa"/>
            <w:bottom w:w="0" w:type="dxa"/>
            <w:right w:w="108" w:type="dxa"/>
          </w:tblCellMar>
        </w:tblPrEx>
        <w:trPr>
          <w:trHeight w:val="340" w:hRule="atLeast"/>
          <w:jc w:val="center"/>
        </w:trPr>
        <w:tc>
          <w:tcPr>
            <w:tcW w:w="4507" w:type="dxa"/>
            <w:tcBorders>
              <w:top w:val="nil"/>
              <w:left w:val="single" w:color="auto" w:sz="4" w:space="0"/>
              <w:bottom w:val="single" w:color="auto" w:sz="4" w:space="0"/>
              <w:right w:val="single" w:color="auto" w:sz="4" w:space="0"/>
            </w:tcBorders>
            <w:shd w:val="clear" w:color="auto" w:fill="auto"/>
            <w:vAlign w:val="center"/>
          </w:tcPr>
          <w:p w14:paraId="2C58C5B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3115" w:type="dxa"/>
            <w:tcBorders>
              <w:top w:val="nil"/>
              <w:left w:val="nil"/>
              <w:bottom w:val="single" w:color="auto" w:sz="4" w:space="0"/>
              <w:right w:val="single" w:color="auto" w:sz="4" w:space="0"/>
            </w:tcBorders>
            <w:shd w:val="clear" w:color="auto" w:fill="auto"/>
            <w:vAlign w:val="center"/>
          </w:tcPr>
          <w:p w14:paraId="0BB37F65">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3271" w:type="dxa"/>
            <w:tcBorders>
              <w:top w:val="nil"/>
              <w:left w:val="nil"/>
              <w:bottom w:val="single" w:color="auto" w:sz="4" w:space="0"/>
              <w:right w:val="single" w:color="auto" w:sz="4" w:space="0"/>
            </w:tcBorders>
            <w:shd w:val="clear" w:color="auto" w:fill="auto"/>
            <w:vAlign w:val="center"/>
          </w:tcPr>
          <w:p w14:paraId="059335D0">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20</w:t>
            </w:r>
          </w:p>
        </w:tc>
        <w:tc>
          <w:tcPr>
            <w:tcW w:w="3272" w:type="dxa"/>
            <w:tcBorders>
              <w:top w:val="nil"/>
              <w:left w:val="nil"/>
              <w:bottom w:val="single" w:color="auto" w:sz="4" w:space="0"/>
              <w:right w:val="single" w:color="auto" w:sz="4" w:space="0"/>
            </w:tcBorders>
            <w:shd w:val="clear" w:color="auto" w:fill="auto"/>
            <w:vAlign w:val="center"/>
          </w:tcPr>
          <w:p w14:paraId="79C0495A">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100%</w:t>
            </w:r>
          </w:p>
        </w:tc>
      </w:tr>
      <w:tr w14:paraId="5F5A4F3A">
        <w:tblPrEx>
          <w:tblCellMar>
            <w:top w:w="0" w:type="dxa"/>
            <w:left w:w="108" w:type="dxa"/>
            <w:bottom w:w="0" w:type="dxa"/>
            <w:right w:w="108" w:type="dxa"/>
          </w:tblCellMar>
        </w:tblPrEx>
        <w:trPr>
          <w:trHeight w:val="340" w:hRule="atLeast"/>
          <w:jc w:val="center"/>
        </w:trPr>
        <w:tc>
          <w:tcPr>
            <w:tcW w:w="4507" w:type="dxa"/>
            <w:tcBorders>
              <w:top w:val="nil"/>
              <w:left w:val="single" w:color="auto" w:sz="4" w:space="0"/>
              <w:bottom w:val="single" w:color="auto" w:sz="4" w:space="0"/>
              <w:right w:val="single" w:color="auto" w:sz="4" w:space="0"/>
            </w:tcBorders>
            <w:shd w:val="clear" w:color="auto" w:fill="auto"/>
            <w:vAlign w:val="center"/>
          </w:tcPr>
          <w:p w14:paraId="39632164">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3115" w:type="dxa"/>
            <w:tcBorders>
              <w:top w:val="nil"/>
              <w:left w:val="nil"/>
              <w:bottom w:val="single" w:color="auto" w:sz="4" w:space="0"/>
              <w:right w:val="single" w:color="auto" w:sz="4" w:space="0"/>
            </w:tcBorders>
            <w:shd w:val="clear" w:color="auto" w:fill="auto"/>
            <w:vAlign w:val="center"/>
          </w:tcPr>
          <w:p w14:paraId="6A10F55F">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3271" w:type="dxa"/>
            <w:tcBorders>
              <w:top w:val="nil"/>
              <w:left w:val="nil"/>
              <w:bottom w:val="single" w:color="auto" w:sz="4" w:space="0"/>
              <w:right w:val="single" w:color="auto" w:sz="4" w:space="0"/>
            </w:tcBorders>
            <w:shd w:val="clear" w:color="auto" w:fill="auto"/>
            <w:vAlign w:val="center"/>
          </w:tcPr>
          <w:p w14:paraId="06A1EDE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3272" w:type="dxa"/>
            <w:tcBorders>
              <w:top w:val="nil"/>
              <w:left w:val="nil"/>
              <w:bottom w:val="single" w:color="auto" w:sz="4" w:space="0"/>
              <w:right w:val="single" w:color="auto" w:sz="4" w:space="0"/>
            </w:tcBorders>
            <w:shd w:val="clear" w:color="auto" w:fill="auto"/>
            <w:vAlign w:val="center"/>
          </w:tcPr>
          <w:p w14:paraId="123B685B">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5D0692F0">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126B5268">
      <w:pPr>
        <w:pStyle w:val="9"/>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13D393F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6957E33">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426BF3E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54D11A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A1720B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677120B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F2616B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E1B8C1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25CBA1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9858B2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270B064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127F1C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4D56F2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613801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6395C7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B7F0B4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3DFA16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02438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A217F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82B4D74">
      <w:pPr>
        <w:pStyle w:val="9"/>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51F087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3205ACF">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459C155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52081BF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59656BD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55AAB28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B55049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0C5B7E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51C08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E1115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8B31F56">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4CBCDBF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3763E2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A2CA6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448DB2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CC74FA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529582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3E1696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171835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574C9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F18D6E5">
      <w:pPr>
        <w:pStyle w:val="10"/>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Start w:id="1" w:name="_GoBack"/>
      <w:bookmarkEnd w:id="1"/>
    </w:p>
    <w:p w14:paraId="6A53E48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w:t>
      </w:r>
      <w:r>
        <w:rPr>
          <w:rFonts w:hint="default" w:ascii="Times New Roman" w:hAnsi="Times New Roman" w:eastAsia="仿宋_GB2312" w:cs="Times New Roman"/>
          <w:sz w:val="32"/>
          <w:szCs w:val="32"/>
          <w:highlight w:val="none"/>
          <w:lang w:val="en-US" w:eastAsia="zh-CN"/>
        </w:rPr>
        <w:t>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w:t>
      </w:r>
      <w:r>
        <w:rPr>
          <w:rFonts w:hint="default" w:ascii="Times New Roman" w:hAnsi="Times New Roman" w:eastAsia="仿宋_GB2312" w:cs="Times New Roman"/>
          <w:sz w:val="32"/>
          <w:szCs w:val="32"/>
          <w:lang w:val="en-US" w:eastAsia="zh-CN"/>
        </w:rPr>
        <w:t>指标完成情况如下：</w:t>
      </w:r>
    </w:p>
    <w:p w14:paraId="0EEEC95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2F345D3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聘请法律顾问人数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p>
    <w:p w14:paraId="08763FC5">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提供法律咨询次数</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w:t>
      </w:r>
      <w:r>
        <w:rPr>
          <w:rFonts w:hint="eastAsia" w:eastAsia="仿宋_GB2312" w:cs="Times New Roman"/>
          <w:sz w:val="32"/>
          <w:szCs w:val="32"/>
          <w:highlight w:val="none"/>
          <w:lang w:val="en-US" w:eastAsia="zh-CN"/>
        </w:rPr>
        <w:t>10次</w:t>
      </w:r>
      <w:r>
        <w:rPr>
          <w:rFonts w:hint="default" w:ascii="Times New Roman" w:hAnsi="Times New Roman" w:eastAsia="仿宋_GB2312" w:cs="Times New Roman"/>
          <w:sz w:val="32"/>
          <w:szCs w:val="32"/>
          <w:highlight w:val="none"/>
        </w:rPr>
        <w:t>，实际完成值：</w:t>
      </w:r>
      <w:r>
        <w:rPr>
          <w:rFonts w:hint="eastAsia" w:ascii="宋体" w:hAnsi="宋体" w:eastAsia="宋体" w:cs="宋体"/>
          <w:sz w:val="32"/>
          <w:szCs w:val="32"/>
          <w:highlight w:val="none"/>
          <w:lang w:val="en-US" w:eastAsia="zh-CN"/>
        </w:rPr>
        <w:t>≧</w:t>
      </w:r>
      <w:r>
        <w:rPr>
          <w:rFonts w:hint="eastAsia" w:eastAsia="仿宋_GB2312" w:cs="Times New Roman"/>
          <w:sz w:val="32"/>
          <w:szCs w:val="32"/>
          <w:highlight w:val="none"/>
          <w:lang w:val="en-US" w:eastAsia="zh-CN"/>
        </w:rPr>
        <w:t>10次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p>
    <w:p w14:paraId="7F82B5C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p>
    <w:p w14:paraId="3866CD65">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法律顾问合同履约合格率</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ascii="宋体" w:hAnsi="宋体" w:eastAsia="宋体" w:cs="宋体"/>
          <w:sz w:val="32"/>
          <w:szCs w:val="32"/>
          <w:highlight w:val="none"/>
          <w:lang w:val="en-US"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p>
    <w:p w14:paraId="309D1E7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③</w:t>
      </w:r>
      <w:r>
        <w:rPr>
          <w:rFonts w:hint="eastAsia" w:eastAsia="仿宋_GB2312" w:cs="Times New Roman"/>
          <w:sz w:val="32"/>
          <w:szCs w:val="32"/>
          <w:highlight w:val="none"/>
          <w:lang w:val="en-US" w:eastAsia="zh-CN"/>
        </w:rPr>
        <w:t>时效指标</w:t>
      </w:r>
      <w:r>
        <w:rPr>
          <w:rFonts w:hint="default" w:ascii="Times New Roman" w:hAnsi="Times New Roman" w:eastAsia="仿宋_GB2312" w:cs="Times New Roman"/>
          <w:sz w:val="32"/>
          <w:szCs w:val="32"/>
          <w:highlight w:val="none"/>
        </w:rPr>
        <w:t>：</w:t>
      </w:r>
    </w:p>
    <w:p w14:paraId="6A706C38">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法律顾问聘用期限</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2024年12月25日</w:t>
      </w:r>
      <w:r>
        <w:rPr>
          <w:rFonts w:hint="default" w:ascii="Times New Roman" w:hAnsi="Times New Roman" w:eastAsia="仿宋_GB2312" w:cs="Times New Roman"/>
          <w:sz w:val="32"/>
          <w:szCs w:val="32"/>
          <w:highlight w:val="none"/>
        </w:rPr>
        <w:t>，实际完成值：</w:t>
      </w:r>
      <w:r>
        <w:rPr>
          <w:rFonts w:hint="eastAsia" w:ascii="宋体" w:hAnsi="宋体" w:eastAsia="宋体" w:cs="宋体"/>
          <w:sz w:val="32"/>
          <w:szCs w:val="32"/>
          <w:highlight w:val="none"/>
          <w:lang w:val="en-US" w:eastAsia="zh-CN"/>
        </w:rPr>
        <w:t>2024年12月25日</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p>
    <w:p w14:paraId="652D818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经济成本指标</w:t>
      </w:r>
      <w:r>
        <w:rPr>
          <w:rFonts w:hint="default" w:ascii="Times New Roman" w:hAnsi="Times New Roman" w:eastAsia="仿宋_GB2312" w:cs="Times New Roman"/>
          <w:sz w:val="32"/>
          <w:szCs w:val="32"/>
          <w:highlight w:val="none"/>
        </w:rPr>
        <w:t>：</w:t>
      </w:r>
    </w:p>
    <w:p w14:paraId="2E752A3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聘请法律顾问经费</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w:t>
      </w:r>
      <w:r>
        <w:rPr>
          <w:rFonts w:hint="eastAsia" w:ascii="宋体" w:hAnsi="宋体" w:cs="宋体"/>
          <w:sz w:val="32"/>
          <w:szCs w:val="32"/>
          <w:highlight w:val="none"/>
          <w:lang w:val="en-US" w:eastAsia="zh-CN"/>
        </w:rPr>
        <w:t>16万元/人</w:t>
      </w:r>
      <w:r>
        <w:rPr>
          <w:rFonts w:hint="default" w:ascii="Times New Roman" w:hAnsi="Times New Roman" w:eastAsia="仿宋_GB2312" w:cs="Times New Roman"/>
          <w:sz w:val="32"/>
          <w:szCs w:val="32"/>
          <w:highlight w:val="none"/>
        </w:rPr>
        <w:t>，实际完成值：</w:t>
      </w:r>
      <w:r>
        <w:rPr>
          <w:rFonts w:hint="eastAsia" w:ascii="宋体" w:hAnsi="宋体" w:eastAsia="宋体" w:cs="宋体"/>
          <w:sz w:val="32"/>
          <w:szCs w:val="32"/>
          <w:highlight w:val="none"/>
          <w:lang w:val="en-US" w:eastAsia="zh-CN"/>
        </w:rPr>
        <w:t>≦</w:t>
      </w:r>
      <w:r>
        <w:rPr>
          <w:rFonts w:hint="eastAsia" w:ascii="宋体" w:hAnsi="宋体" w:cs="宋体"/>
          <w:sz w:val="32"/>
          <w:szCs w:val="32"/>
          <w:highlight w:val="none"/>
          <w:lang w:val="en-US" w:eastAsia="zh-CN"/>
        </w:rPr>
        <w:t>16万元/人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p>
    <w:p w14:paraId="3390C879">
      <w:pPr>
        <w:pStyle w:val="10"/>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2F45AF4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w:t>
      </w:r>
      <w:r>
        <w:rPr>
          <w:rFonts w:hint="default" w:ascii="Times New Roman" w:hAnsi="Times New Roman" w:eastAsia="仿宋_GB2312" w:cs="Times New Roman"/>
          <w:sz w:val="32"/>
          <w:szCs w:val="32"/>
          <w:highlight w:val="none"/>
          <w:lang w:val="en-US" w:eastAsia="zh-CN"/>
        </w:rPr>
        <w:t>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w:t>
      </w:r>
      <w:r>
        <w:rPr>
          <w:rFonts w:hint="default" w:ascii="Times New Roman" w:hAnsi="Times New Roman" w:eastAsia="仿宋_GB2312" w:cs="Times New Roman"/>
          <w:sz w:val="32"/>
          <w:szCs w:val="32"/>
          <w:lang w:val="en-US" w:eastAsia="zh-CN"/>
        </w:rPr>
        <w:t>及满意度指标完成情况如下：</w:t>
      </w:r>
    </w:p>
    <w:p w14:paraId="387BE75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1CE8D738">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提升政府公信力</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有效提升</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有效提升</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%，偏差原因：</w:t>
      </w:r>
      <w:r>
        <w:rPr>
          <w:rFonts w:hint="eastAsia" w:eastAsia="仿宋_GB2312" w:cs="Times New Roman"/>
          <w:sz w:val="32"/>
          <w:szCs w:val="32"/>
          <w:highlight w:val="none"/>
          <w:lang w:val="en-US" w:eastAsia="zh-CN"/>
        </w:rPr>
        <w:t>无。</w:t>
      </w:r>
    </w:p>
    <w:p w14:paraId="74A980E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②满意度</w:t>
      </w:r>
      <w:r>
        <w:rPr>
          <w:rFonts w:hint="default" w:ascii="Times New Roman" w:hAnsi="Times New Roman" w:eastAsia="仿宋_GB2312" w:cs="Times New Roman"/>
          <w:sz w:val="32"/>
          <w:szCs w:val="32"/>
          <w:highlight w:val="none"/>
        </w:rPr>
        <w:t>指标：</w:t>
      </w:r>
    </w:p>
    <w:p w14:paraId="2C4E7408">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群众满意度</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w:t>
      </w:r>
      <w:r>
        <w:rPr>
          <w:rFonts w:hint="eastAsia" w:ascii="宋体" w:hAnsi="宋体" w:cs="宋体"/>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ascii="宋体" w:hAnsi="宋体" w:eastAsia="宋体" w:cs="宋体"/>
          <w:sz w:val="32"/>
          <w:szCs w:val="32"/>
          <w:highlight w:val="none"/>
          <w:lang w:val="en-US" w:eastAsia="zh-CN"/>
        </w:rPr>
        <w:t>≧</w:t>
      </w:r>
      <w:r>
        <w:rPr>
          <w:rFonts w:hint="eastAsia" w:ascii="宋体" w:hAnsi="宋体" w:cs="宋体"/>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w:t>
      </w:r>
    </w:p>
    <w:p w14:paraId="2AD37139">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746A6737">
      <w:pPr>
        <w:pStyle w:val="20"/>
        <w:spacing w:line="560" w:lineRule="exact"/>
        <w:ind w:firstLine="640"/>
        <w:rPr>
          <w:rFonts w:hint="default" w:ascii="Times New Roman" w:hAnsi="Times New Roman" w:eastAsia="方正仿宋_GBK" w:cs="Times New Roman"/>
          <w:sz w:val="32"/>
          <w:szCs w:val="32"/>
          <w:highlight w:val="none"/>
        </w:rPr>
      </w:pPr>
      <w:r>
        <w:rPr>
          <w:rFonts w:hint="eastAsia" w:ascii="Times New Roman" w:hAnsi="Times New Roman" w:eastAsia="方正仿宋_GBK" w:cs="Times New Roman"/>
          <w:sz w:val="32"/>
          <w:szCs w:val="32"/>
          <w:highlight w:val="none"/>
          <w:lang w:val="en-US" w:eastAsia="zh-CN"/>
        </w:rPr>
        <w:t>托里县人民政府聘请政府法律顾问，保障政府行政行为合法有效</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16</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16</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16</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%，总体偏差率为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r>
        <w:rPr>
          <w:rFonts w:hint="eastAsia" w:ascii="Times New Roman" w:hAnsi="Times New Roman" w:cs="Times New Roman"/>
          <w:highlight w:val="none"/>
          <w:lang w:eastAsia="zh-CN"/>
        </w:rPr>
        <w:t>，</w:t>
      </w:r>
      <w:r>
        <w:rPr>
          <w:rFonts w:hint="eastAsia" w:eastAsia="方正仿宋_GBK" w:cs="Times New Roman"/>
          <w:sz w:val="32"/>
          <w:szCs w:val="32"/>
          <w:highlight w:val="none"/>
          <w:lang w:val="en-US" w:eastAsia="zh-CN"/>
        </w:rPr>
        <w:t>无偏差</w:t>
      </w:r>
      <w:r>
        <w:rPr>
          <w:rFonts w:hint="default" w:ascii="Times New Roman" w:hAnsi="Times New Roman" w:eastAsia="方正仿宋_GBK" w:cs="Times New Roman"/>
          <w:sz w:val="32"/>
          <w:szCs w:val="32"/>
          <w:highlight w:val="none"/>
        </w:rPr>
        <w:t>。</w:t>
      </w:r>
    </w:p>
    <w:p w14:paraId="20A33E12">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2D9A672D">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6E84A5F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E4AE439">
      <w:pPr>
        <w:pStyle w:val="9"/>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BF9DDA5">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616FFE0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4A2C64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0C512F9B">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4A08BC9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1DB7654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0257D43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DC92C8C">
      <w:pPr>
        <w:shd w:val="clear" w:color="auto" w:fill="auto"/>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71FC60B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55D01D6">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34124AD">
      <w:pPr>
        <w:pStyle w:val="11"/>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0D9AB7C4">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14B6596B">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66F2B1CC">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66A98B1B">
      <w:pPr>
        <w:rPr>
          <w:rFonts w:hint="default" w:ascii="Times New Roman" w:hAnsi="Times New Roman" w:cs="Times New Roma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A81BA1-A330-455A-A20B-CB49E3CF4D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D5D2A56-A2AB-4890-8744-BB786C067505}"/>
  </w:font>
  <w:font w:name="华文中宋">
    <w:altName w:val="宋体"/>
    <w:panose1 w:val="02010600040101010101"/>
    <w:charset w:val="86"/>
    <w:family w:val="auto"/>
    <w:pitch w:val="default"/>
    <w:sig w:usb0="00000000" w:usb1="00000000" w:usb2="00000000" w:usb3="00000000" w:csb0="0004009F" w:csb1="DFD70000"/>
    <w:embedRegular r:id="rId3" w:fontKey="{07740BD6-1FD0-49E1-86E9-4C8C0A9D330E}"/>
  </w:font>
  <w:font w:name="方正小标宋_GBK">
    <w:panose1 w:val="02000000000000000000"/>
    <w:charset w:val="86"/>
    <w:family w:val="script"/>
    <w:pitch w:val="default"/>
    <w:sig w:usb0="A00002BF" w:usb1="38CF7CFA" w:usb2="00082016" w:usb3="00000000" w:csb0="00040001" w:csb1="00000000"/>
    <w:embedRegular r:id="rId4" w:fontKey="{4465AD39-BE89-4B39-8251-D603348B6E24}"/>
  </w:font>
  <w:font w:name="楷体_GB2312">
    <w:panose1 w:val="02010609030101010101"/>
    <w:charset w:val="86"/>
    <w:family w:val="auto"/>
    <w:pitch w:val="default"/>
    <w:sig w:usb0="00000001" w:usb1="080E0000" w:usb2="00000000" w:usb3="00000000" w:csb0="00040000" w:csb1="00000000"/>
    <w:embedRegular r:id="rId5" w:fontKey="{B8EA5D24-F270-444F-886C-BAAB5CAD4A74}"/>
  </w:font>
  <w:font w:name="方正仿宋_GBK">
    <w:panose1 w:val="02000000000000000000"/>
    <w:charset w:val="86"/>
    <w:family w:val="auto"/>
    <w:pitch w:val="default"/>
    <w:sig w:usb0="A00002BF" w:usb1="38CF7CFA" w:usb2="00082016" w:usb3="00000000" w:csb0="00040001" w:csb1="00000000"/>
    <w:embedRegular r:id="rId6" w:fontKey="{F5A34C20-5ABC-42FF-B71C-5D25E6044C0E}"/>
  </w:font>
  <w:font w:name="楷体">
    <w:panose1 w:val="02010609060101010101"/>
    <w:charset w:val="86"/>
    <w:family w:val="modern"/>
    <w:pitch w:val="default"/>
    <w:sig w:usb0="800002BF" w:usb1="38CF7CFA" w:usb2="00000016" w:usb3="00000000" w:csb0="00040001" w:csb1="00000000"/>
    <w:embedRegular r:id="rId7" w:fontKey="{F745DA96-5C08-4593-A2EC-A7941A2D5A91}"/>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1A53A13">
        <w:pPr>
          <w:pStyle w:val="6"/>
          <w:jc w:val="center"/>
        </w:pPr>
        <w:r>
          <w:fldChar w:fldCharType="begin"/>
        </w:r>
        <w:r>
          <w:instrText xml:space="preserve">PAGE   \* MERGEFORMAT</w:instrText>
        </w:r>
        <w:r>
          <w:fldChar w:fldCharType="separate"/>
        </w:r>
        <w:r>
          <w:rPr>
            <w:lang w:val="zh-CN"/>
          </w:rPr>
          <w:t>13</w:t>
        </w:r>
        <w:r>
          <w:fldChar w:fldCharType="end"/>
        </w:r>
      </w:p>
    </w:sdtContent>
  </w:sdt>
  <w:p w14:paraId="6D28FA8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05EB0B43"/>
    <w:rsid w:val="3CEF115C"/>
    <w:rsid w:val="47017EB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96DF82404D0A486E97CF0FAC48A934AD_13</vt:lpwstr>
  </property>
  <property fmtid="{D5CDD505-2E9C-101B-9397-08002B2CF9AE}" pid="4" name="KSOTemplateDocerSaveRecord">
    <vt:lpwstr>eyJoZGlkIjoiOGIxNmYzY2ZkZmQ1Y2UyNjU5NzkxYzdmMWRjOTEwNTUiLCJ1c2VySWQiOiIyODEwNTYxOTAifQ==</vt:lpwstr>
  </property>
</Properties>
</file>

<file path=customXml/itemProps1.xml><?xml version="1.0" encoding="utf-8"?>
<ds:datastoreItem xmlns:ds="http://schemas.openxmlformats.org/officeDocument/2006/customXml" ds:itemID="{a6c1c401-bfe2-441f-9b87-06b21434ebe3}">
  <ds:schemaRefs/>
</ds:datastoreItem>
</file>

<file path=docProps/app.xml><?xml version="1.0" encoding="utf-8"?>
<Properties xmlns="http://schemas.openxmlformats.org/officeDocument/2006/extended-properties" xmlns:vt="http://schemas.openxmlformats.org/officeDocument/2006/docPropsVTypes">
  <Template>Normal</Template>
  <Pages>22</Pages>
  <Words>153</Words>
  <Characters>160</Characters>
  <Lines>58</Lines>
  <Paragraphs>16</Paragraphs>
  <TotalTime>7</TotalTime>
  <ScaleCrop>false</ScaleCrop>
  <LinksUpToDate>false</LinksUpToDate>
  <CharactersWithSpaces>161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2025-11-03T02:18:20Z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96DF82404D0A486E97CF0FAC48A934AD_13</vt:lpwstr>
  </property>
  <property fmtid="{D5CDD505-2E9C-101B-9397-08002B2CF9AE}" pid="4" name="KSOTemplateDocerSaveRecord">
    <vt:lpwstr>eyJoZGlkIjoiZjZjY2YzNDY3YWM4YThjNjdkZTk2MDAwYjE2OGQzNDQiLCJ1c2VySWQiOiIzNzI2MDMzNTYifQ==</vt:lpwstr>
  </property>
</Properties>
</file>