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托里县边防事务中心2024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BF4BEE4">
      <w:r>
        <w:br w:type="page"/>
      </w:r>
    </w:p>
    <w:p w14:paraId="062EE40B">
      <w:pPr>
        <w:spacing w:line="640" w:lineRule="exact"/>
        <w:jc w:val="center"/>
        <w:outlineLvl w:val="1"/>
      </w:pPr>
      <w:r>
        <w:rPr>
          <w:rFonts w:ascii="黑体" w:hAnsi="黑体" w:eastAsia="黑体"/>
          <w:sz w:val="32"/>
        </w:rPr>
        <w:t>第一部分 单位概况</w:t>
      </w:r>
    </w:p>
    <w:p w14:paraId="44D891B0">
      <w:pPr>
        <w:spacing w:line="640" w:lineRule="exact"/>
        <w:ind w:firstLine="640"/>
        <w:jc w:val="both"/>
        <w:outlineLvl w:val="2"/>
      </w:pPr>
      <w:r>
        <w:rPr>
          <w:rFonts w:ascii="黑体" w:hAnsi="黑体" w:eastAsia="黑体"/>
          <w:sz w:val="32"/>
        </w:rPr>
        <w:t>一、主要职能</w:t>
      </w:r>
    </w:p>
    <w:p w14:paraId="1E64A04D">
      <w:pPr>
        <w:spacing w:line="580" w:lineRule="exact"/>
        <w:ind w:firstLine="640"/>
        <w:jc w:val="both"/>
      </w:pPr>
      <w:r>
        <w:rPr>
          <w:rFonts w:ascii="仿宋_GB2312" w:hAnsi="仿宋_GB2312" w:eastAsia="仿宋_GB2312"/>
          <w:sz w:val="32"/>
        </w:rPr>
        <w:t>在县委、县政府领导下，深入贯彻落实新时代党的治疆方略，贯彻落实自治区党委反恐</w:t>
      </w:r>
      <w:r>
        <w:rPr>
          <w:rFonts w:hint="eastAsia" w:ascii="仿宋_GB2312" w:hAnsi="仿宋_GB2312" w:eastAsia="仿宋_GB2312"/>
          <w:sz w:val="32"/>
          <w:lang w:val="en-US" w:eastAsia="zh-CN"/>
        </w:rPr>
        <w:t>维护社会稳定</w:t>
      </w:r>
      <w:r>
        <w:rPr>
          <w:rFonts w:ascii="仿宋_GB2312" w:hAnsi="仿宋_GB2312" w:eastAsia="仿宋_GB2312"/>
          <w:sz w:val="32"/>
        </w:rPr>
        <w:t>“组合拳”，凝聚党政军警兵民合力，扎实做好新形势下</w:t>
      </w:r>
      <w:r>
        <w:rPr>
          <w:rFonts w:hint="eastAsia" w:ascii="仿宋_GB2312" w:hAnsi="仿宋_GB2312" w:eastAsia="仿宋_GB2312"/>
          <w:sz w:val="32"/>
          <w:lang w:eastAsia="zh-CN"/>
        </w:rPr>
        <w:t>BJ</w:t>
      </w:r>
      <w:r>
        <w:rPr>
          <w:rFonts w:ascii="仿宋_GB2312" w:hAnsi="仿宋_GB2312" w:eastAsia="仿宋_GB2312"/>
          <w:sz w:val="32"/>
        </w:rPr>
        <w:t>管控工作。建立健全常态化管边机制，统筹协调“六位一体”成员单位，贯彻落实党中央、国务院有关边海防工作的各项方针政策和法律法规，研究拟定工作计划和具体落实措施，不断提升发现、预警、拦阻、处置能力。</w:t>
      </w:r>
    </w:p>
    <w:p w14:paraId="1D6BD4B8">
      <w:pPr>
        <w:spacing w:line="640" w:lineRule="exact"/>
        <w:ind w:firstLine="640"/>
        <w:jc w:val="both"/>
        <w:outlineLvl w:val="2"/>
      </w:pPr>
      <w:r>
        <w:rPr>
          <w:rFonts w:ascii="黑体" w:hAnsi="黑体" w:eastAsia="黑体"/>
          <w:sz w:val="32"/>
        </w:rPr>
        <w:t>二、机构设置及人员情况</w:t>
      </w:r>
    </w:p>
    <w:p w14:paraId="2AD45859">
      <w:pPr>
        <w:spacing w:line="580" w:lineRule="exact"/>
        <w:ind w:firstLine="640"/>
        <w:jc w:val="both"/>
      </w:pPr>
      <w:r>
        <w:rPr>
          <w:rFonts w:ascii="仿宋_GB2312" w:hAnsi="仿宋_GB2312" w:eastAsia="仿宋_GB2312"/>
          <w:sz w:val="32"/>
        </w:rPr>
        <w:t>本单位机构设置及人员情况不予公开。</w:t>
      </w:r>
    </w:p>
    <w:p w14:paraId="7C21A313">
      <w:r>
        <w:br w:type="page"/>
      </w:r>
    </w:p>
    <w:p w14:paraId="4A89847D">
      <w:pPr>
        <w:spacing w:line="240" w:lineRule="auto"/>
        <w:jc w:val="center"/>
        <w:outlineLvl w:val="1"/>
      </w:pPr>
      <w:r>
        <w:rPr>
          <w:rFonts w:ascii="黑体" w:hAnsi="黑体" w:eastAsia="黑体"/>
          <w:sz w:val="32"/>
        </w:rPr>
        <w:t>第二部分 部门决算情况说明</w:t>
      </w:r>
    </w:p>
    <w:p w14:paraId="33BFF776">
      <w:pPr>
        <w:spacing w:line="640" w:lineRule="exact"/>
        <w:ind w:firstLine="640"/>
        <w:jc w:val="both"/>
        <w:outlineLvl w:val="2"/>
      </w:pPr>
      <w:r>
        <w:rPr>
          <w:rFonts w:ascii="黑体" w:hAnsi="黑体" w:eastAsia="黑体"/>
          <w:sz w:val="32"/>
        </w:rPr>
        <w:t>一、收入支出决算总体情况说明</w:t>
      </w:r>
    </w:p>
    <w:p w14:paraId="0859CC1A">
      <w:pPr>
        <w:spacing w:line="580" w:lineRule="exact"/>
        <w:ind w:firstLine="640"/>
        <w:jc w:val="both"/>
      </w:pPr>
      <w:r>
        <w:rPr>
          <w:rFonts w:ascii="仿宋_GB2312" w:hAnsi="仿宋_GB2312" w:eastAsia="仿宋_GB2312"/>
          <w:b/>
          <w:sz w:val="32"/>
        </w:rPr>
        <w:t>2024年度收入总计1,059.70万元，</w:t>
      </w:r>
      <w:r>
        <w:rPr>
          <w:rFonts w:ascii="仿宋_GB2312" w:hAnsi="仿宋_GB2312" w:eastAsia="仿宋_GB2312"/>
          <w:b w:val="0"/>
          <w:sz w:val="32"/>
        </w:rPr>
        <w:t>其中：本年收入合计1,059.70万元，使用非财政拨款结余（含专用结余）0.00万元，年初结转和结余0.00万元。</w:t>
      </w:r>
    </w:p>
    <w:p w14:paraId="69FEA6BF">
      <w:pPr>
        <w:spacing w:line="580" w:lineRule="exact"/>
        <w:ind w:firstLine="640"/>
        <w:jc w:val="both"/>
      </w:pPr>
      <w:r>
        <w:rPr>
          <w:rFonts w:ascii="仿宋_GB2312" w:hAnsi="仿宋_GB2312" w:eastAsia="仿宋_GB2312"/>
          <w:b/>
          <w:sz w:val="32"/>
        </w:rPr>
        <w:t>2024年度支出总计1,059.70万元，</w:t>
      </w:r>
      <w:r>
        <w:rPr>
          <w:rFonts w:ascii="仿宋_GB2312" w:hAnsi="仿宋_GB2312" w:eastAsia="仿宋_GB2312"/>
          <w:b w:val="0"/>
          <w:sz w:val="32"/>
        </w:rPr>
        <w:t>其中：本年支出合计1,059.70万元，结余分配0.00万元，年末结转和结余0.00万元。</w:t>
      </w:r>
    </w:p>
    <w:p w14:paraId="781A6683">
      <w:pPr>
        <w:spacing w:line="580" w:lineRule="exact"/>
        <w:ind w:firstLine="640"/>
        <w:jc w:val="both"/>
      </w:pPr>
      <w:r>
        <w:rPr>
          <w:rFonts w:ascii="仿宋_GB2312" w:hAnsi="仿宋_GB2312" w:eastAsia="仿宋_GB2312"/>
          <w:b w:val="0"/>
          <w:sz w:val="32"/>
        </w:rPr>
        <w:t>收入支出总体与上年相比，增加184.13万元，增长21.03%，主要原因是：本年增加HBY生活补助、边防基础设施建设维修维护项目、新增</w:t>
      </w:r>
      <w:r>
        <w:rPr>
          <w:rFonts w:hint="eastAsia" w:ascii="仿宋_GB2312" w:hAnsi="仿宋_GB2312" w:eastAsia="仿宋_GB2312"/>
          <w:b w:val="0"/>
          <w:sz w:val="32"/>
          <w:lang w:eastAsia="zh-CN"/>
        </w:rPr>
        <w:t>BJ</w:t>
      </w:r>
      <w:r>
        <w:rPr>
          <w:rFonts w:ascii="仿宋_GB2312" w:hAnsi="仿宋_GB2312" w:eastAsia="仿宋_GB2312"/>
          <w:b w:val="0"/>
          <w:sz w:val="32"/>
        </w:rPr>
        <w:t>车辆租赁项目等，导致较上年增幅较大。</w:t>
      </w:r>
    </w:p>
    <w:p w14:paraId="3B966C4B">
      <w:pPr>
        <w:spacing w:line="640" w:lineRule="exact"/>
        <w:ind w:firstLine="640"/>
        <w:jc w:val="both"/>
        <w:outlineLvl w:val="2"/>
      </w:pPr>
      <w:r>
        <w:rPr>
          <w:rFonts w:ascii="黑体" w:hAnsi="黑体" w:eastAsia="黑体"/>
          <w:sz w:val="32"/>
        </w:rPr>
        <w:t>二、收入决算情况说明</w:t>
      </w:r>
    </w:p>
    <w:p w14:paraId="7A326922">
      <w:pPr>
        <w:spacing w:line="580" w:lineRule="exact"/>
        <w:ind w:firstLine="640"/>
        <w:jc w:val="both"/>
      </w:pPr>
      <w:r>
        <w:rPr>
          <w:rFonts w:ascii="仿宋_GB2312" w:hAnsi="仿宋_GB2312" w:eastAsia="仿宋_GB2312"/>
          <w:b/>
          <w:sz w:val="32"/>
        </w:rPr>
        <w:t>本年收入1,059.70万元，</w:t>
      </w:r>
      <w:r>
        <w:rPr>
          <w:rFonts w:ascii="仿宋_GB2312" w:hAnsi="仿宋_GB2312" w:eastAsia="仿宋_GB2312"/>
          <w:b w:val="0"/>
          <w:sz w:val="32"/>
        </w:rPr>
        <w:t>其中：财政拨款收入1,059.70万元，占100.00%；上级补助收入0.00万元，占0.00%；事业收入0.00万元，占0.00%；经营收入0.00万元，占0.00%；附属单位上缴收入0.00万元，占0.00%；其他收入0.00万元，占0.00%。</w:t>
      </w:r>
    </w:p>
    <w:p w14:paraId="390CE968">
      <w:pPr>
        <w:spacing w:line="640" w:lineRule="exact"/>
        <w:ind w:firstLine="640"/>
        <w:jc w:val="both"/>
        <w:outlineLvl w:val="2"/>
      </w:pPr>
      <w:r>
        <w:rPr>
          <w:rFonts w:ascii="黑体" w:hAnsi="黑体" w:eastAsia="黑体"/>
          <w:sz w:val="32"/>
        </w:rPr>
        <w:t>三、支出决算情况说明</w:t>
      </w:r>
    </w:p>
    <w:p w14:paraId="4F65B83B">
      <w:pPr>
        <w:spacing w:line="580" w:lineRule="exact"/>
        <w:ind w:firstLine="640"/>
        <w:jc w:val="both"/>
      </w:pPr>
      <w:r>
        <w:rPr>
          <w:rFonts w:ascii="仿宋_GB2312" w:hAnsi="仿宋_GB2312" w:eastAsia="仿宋_GB2312"/>
          <w:b/>
          <w:sz w:val="32"/>
        </w:rPr>
        <w:t>本年支出1,059.70万元，</w:t>
      </w:r>
      <w:r>
        <w:rPr>
          <w:rFonts w:ascii="仿宋_GB2312" w:hAnsi="仿宋_GB2312" w:eastAsia="仿宋_GB2312"/>
          <w:b w:val="0"/>
          <w:sz w:val="32"/>
        </w:rPr>
        <w:t>其中：基本支出78.25万元，占7.38%；项目支出981.45万元，占92.62%；上缴上级支出0.00万元，占0.00%；经营支出0.00万元，占0.00%；对附属单位补助支出0.00万元，占0.00%。</w:t>
      </w:r>
    </w:p>
    <w:p w14:paraId="6A79658C">
      <w:pPr>
        <w:spacing w:line="640" w:lineRule="exact"/>
        <w:ind w:firstLine="640"/>
        <w:jc w:val="both"/>
        <w:outlineLvl w:val="2"/>
      </w:pPr>
      <w:r>
        <w:rPr>
          <w:rFonts w:ascii="黑体" w:hAnsi="黑体" w:eastAsia="黑体"/>
          <w:sz w:val="32"/>
        </w:rPr>
        <w:t>四、财政拨款收入支出决算总体情况说明</w:t>
      </w:r>
    </w:p>
    <w:p w14:paraId="1D03613D">
      <w:pPr>
        <w:spacing w:line="580" w:lineRule="exact"/>
        <w:ind w:firstLine="640"/>
        <w:jc w:val="both"/>
      </w:pPr>
      <w:r>
        <w:rPr>
          <w:rFonts w:ascii="仿宋_GB2312" w:hAnsi="仿宋_GB2312" w:eastAsia="仿宋_GB2312"/>
          <w:b/>
          <w:sz w:val="32"/>
        </w:rPr>
        <w:t>2024年度财政拨款收入总计1,059.70万元，</w:t>
      </w:r>
      <w:r>
        <w:rPr>
          <w:rFonts w:ascii="仿宋_GB2312" w:hAnsi="仿宋_GB2312" w:eastAsia="仿宋_GB2312"/>
          <w:b w:val="0"/>
          <w:sz w:val="32"/>
        </w:rPr>
        <w:t>其中：年初财政拨款结转和结余0.00万元，本年财政拨款收入1,059.70万元。</w:t>
      </w:r>
      <w:r>
        <w:rPr>
          <w:rFonts w:ascii="仿宋_GB2312" w:hAnsi="仿宋_GB2312" w:eastAsia="仿宋_GB2312"/>
          <w:b/>
          <w:sz w:val="32"/>
        </w:rPr>
        <w:t>财政拨款支出总计1,059.70万元，</w:t>
      </w:r>
      <w:r>
        <w:rPr>
          <w:rFonts w:ascii="仿宋_GB2312" w:hAnsi="仿宋_GB2312" w:eastAsia="仿宋_GB2312"/>
          <w:b w:val="0"/>
          <w:sz w:val="32"/>
        </w:rPr>
        <w:t>其中：年末财政拨款结转和结余0.00万元，本年财政拨款支出1,059.70万元。</w:t>
      </w:r>
    </w:p>
    <w:p w14:paraId="79312E3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增加186.43万元，增长21.35%，主要原因是：本年增加HBY生活补助、边防基础设施建设维修维护项目、新增</w:t>
      </w:r>
      <w:r>
        <w:rPr>
          <w:rFonts w:hint="eastAsia" w:ascii="仿宋_GB2312" w:hAnsi="仿宋_GB2312" w:eastAsia="仿宋_GB2312"/>
          <w:b w:val="0"/>
          <w:sz w:val="32"/>
          <w:lang w:eastAsia="zh-CN"/>
        </w:rPr>
        <w:t>BJ</w:t>
      </w:r>
      <w:r>
        <w:rPr>
          <w:rFonts w:ascii="仿宋_GB2312" w:hAnsi="仿宋_GB2312" w:eastAsia="仿宋_GB2312"/>
          <w:b w:val="0"/>
          <w:sz w:val="32"/>
        </w:rPr>
        <w:t>车辆租赁项目等，导致较上年增幅较大。</w:t>
      </w:r>
      <w:r>
        <w:rPr>
          <w:rFonts w:ascii="仿宋_GB2312" w:hAnsi="仿宋_GB2312" w:eastAsia="仿宋_GB2312"/>
          <w:b/>
          <w:sz w:val="32"/>
        </w:rPr>
        <w:t>与年初预算相比，</w:t>
      </w:r>
      <w:r>
        <w:rPr>
          <w:rFonts w:ascii="仿宋_GB2312" w:hAnsi="仿宋_GB2312" w:eastAsia="仿宋_GB2312"/>
          <w:b w:val="0"/>
          <w:sz w:val="32"/>
        </w:rPr>
        <w:t>年初预算数796.54万元，决算数1,059.70万元，预决算差异率33.04%，主要原因是：年中追加人员工资、社保、公积金基数调增部分资金，年中追加军警兵民项目、HBY补助项目、HBY养老补贴项目，导致预决算存在差异。</w:t>
      </w:r>
    </w:p>
    <w:p w14:paraId="2AB2E4AA">
      <w:pPr>
        <w:spacing w:line="640" w:lineRule="exact"/>
        <w:ind w:firstLine="640"/>
        <w:jc w:val="both"/>
        <w:outlineLvl w:val="2"/>
      </w:pPr>
      <w:r>
        <w:rPr>
          <w:rFonts w:ascii="黑体" w:hAnsi="黑体" w:eastAsia="黑体"/>
          <w:sz w:val="32"/>
        </w:rPr>
        <w:t>五、一般公共预算财政拨款支出决算情况说明</w:t>
      </w:r>
    </w:p>
    <w:p w14:paraId="5799756C">
      <w:pPr>
        <w:spacing w:line="640" w:lineRule="exact"/>
        <w:ind w:firstLine="640"/>
        <w:jc w:val="both"/>
        <w:outlineLvl w:val="3"/>
      </w:pPr>
      <w:r>
        <w:rPr>
          <w:rFonts w:ascii="楷体_GB2312" w:hAnsi="楷体_GB2312" w:eastAsia="楷体_GB2312"/>
          <w:b/>
          <w:sz w:val="32"/>
        </w:rPr>
        <w:t>（一）一般公共预算财政拨款支出决算总体情况</w:t>
      </w:r>
    </w:p>
    <w:p w14:paraId="5E6FDEEB">
      <w:pPr>
        <w:spacing w:line="580" w:lineRule="exact"/>
        <w:ind w:firstLine="640"/>
        <w:jc w:val="both"/>
      </w:pPr>
      <w:r>
        <w:rPr>
          <w:rFonts w:ascii="仿宋_GB2312" w:hAnsi="仿宋_GB2312" w:eastAsia="仿宋_GB2312"/>
          <w:b/>
          <w:sz w:val="32"/>
        </w:rPr>
        <w:t>2024年度一般公共预算财政拨款支出1,059.70万元，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增加186.43万元，增长21.35%，主要原因是：本年在职人员增加，在职人员工资调增、社保、公积金基数调增，人员经费增加。本年增加地方专项车辆租赁、伙食保障等项目。</w:t>
      </w:r>
      <w:r>
        <w:rPr>
          <w:rFonts w:ascii="仿宋_GB2312" w:hAnsi="仿宋_GB2312" w:eastAsia="仿宋_GB2312"/>
          <w:b/>
          <w:sz w:val="32"/>
        </w:rPr>
        <w:t>与年初预算相比,</w:t>
      </w:r>
      <w:r>
        <w:rPr>
          <w:rFonts w:ascii="仿宋_GB2312" w:hAnsi="仿宋_GB2312" w:eastAsia="仿宋_GB2312"/>
          <w:b w:val="0"/>
          <w:sz w:val="32"/>
        </w:rPr>
        <w:t>年初预算数796.54万元，决算数1,059.70万元，预决算差异率33.04%，主要原因是：年中追加人员工资、社保、公积金基数调增部分资金，年中追加军警兵民项目、HBY补助项目、HBY养老补贴项目，导致预决算存在差异。</w:t>
      </w:r>
    </w:p>
    <w:p w14:paraId="50471A36">
      <w:pPr>
        <w:spacing w:line="640" w:lineRule="exact"/>
        <w:ind w:firstLine="640"/>
        <w:jc w:val="both"/>
        <w:outlineLvl w:val="3"/>
      </w:pPr>
      <w:r>
        <w:rPr>
          <w:rFonts w:ascii="楷体_GB2312" w:hAnsi="楷体_GB2312" w:eastAsia="楷体_GB2312"/>
          <w:b/>
          <w:sz w:val="32"/>
        </w:rPr>
        <w:t>（二）一般公共预算财政拨款支出决算结构情况</w:t>
      </w:r>
    </w:p>
    <w:p w14:paraId="43487C14">
      <w:pPr>
        <w:spacing w:line="580" w:lineRule="exact"/>
        <w:ind w:firstLine="640"/>
        <w:jc w:val="both"/>
      </w:pPr>
      <w:r>
        <w:rPr>
          <w:rFonts w:ascii="仿宋_GB2312" w:hAnsi="仿宋_GB2312" w:eastAsia="仿宋_GB2312"/>
          <w:b w:val="0"/>
          <w:sz w:val="32"/>
        </w:rPr>
        <w:t>1.一般公共服务支出(类)830.80万元,占78.40%。</w:t>
      </w:r>
    </w:p>
    <w:p w14:paraId="5DB677B6">
      <w:pPr>
        <w:spacing w:line="580" w:lineRule="exact"/>
        <w:ind w:firstLine="640"/>
        <w:jc w:val="both"/>
      </w:pPr>
      <w:r>
        <w:rPr>
          <w:rFonts w:ascii="仿宋_GB2312" w:hAnsi="仿宋_GB2312" w:eastAsia="仿宋_GB2312"/>
          <w:b w:val="0"/>
          <w:sz w:val="32"/>
        </w:rPr>
        <w:t>2.国防支出(类)50.00万元,占4.72%。</w:t>
      </w:r>
    </w:p>
    <w:p w14:paraId="2ED3AE62">
      <w:pPr>
        <w:spacing w:line="580" w:lineRule="exact"/>
        <w:ind w:firstLine="640"/>
        <w:jc w:val="both"/>
      </w:pPr>
      <w:r>
        <w:rPr>
          <w:rFonts w:ascii="仿宋_GB2312" w:hAnsi="仿宋_GB2312" w:eastAsia="仿宋_GB2312"/>
          <w:b w:val="0"/>
          <w:sz w:val="32"/>
        </w:rPr>
        <w:t>3.公共安全支出(类)104.00万元,占9.81%。</w:t>
      </w:r>
    </w:p>
    <w:p w14:paraId="617B5E85">
      <w:pPr>
        <w:spacing w:line="580" w:lineRule="exact"/>
        <w:ind w:firstLine="640"/>
        <w:jc w:val="both"/>
      </w:pPr>
      <w:r>
        <w:rPr>
          <w:rFonts w:ascii="仿宋_GB2312" w:hAnsi="仿宋_GB2312" w:eastAsia="仿宋_GB2312"/>
          <w:b w:val="0"/>
          <w:sz w:val="32"/>
        </w:rPr>
        <w:t>4.科学技术支出(类)35.99万元,占3.40%。</w:t>
      </w:r>
    </w:p>
    <w:p w14:paraId="5D1687DF">
      <w:pPr>
        <w:spacing w:line="580" w:lineRule="exact"/>
        <w:ind w:firstLine="640"/>
        <w:jc w:val="both"/>
      </w:pPr>
      <w:r>
        <w:rPr>
          <w:rFonts w:ascii="仿宋_GB2312" w:hAnsi="仿宋_GB2312" w:eastAsia="仿宋_GB2312"/>
          <w:b w:val="0"/>
          <w:sz w:val="32"/>
        </w:rPr>
        <w:t>5.社会保障和就业支出(类)29.53万元,占2.79%。</w:t>
      </w:r>
    </w:p>
    <w:p w14:paraId="0C59E9BF">
      <w:pPr>
        <w:spacing w:line="580" w:lineRule="exact"/>
        <w:ind w:firstLine="640"/>
        <w:jc w:val="both"/>
      </w:pPr>
      <w:r>
        <w:rPr>
          <w:rFonts w:ascii="仿宋_GB2312" w:hAnsi="仿宋_GB2312" w:eastAsia="仿宋_GB2312"/>
          <w:b w:val="0"/>
          <w:sz w:val="32"/>
        </w:rPr>
        <w:t>6.卫生健康支出(类)3.49万元,占0.33%。</w:t>
      </w:r>
    </w:p>
    <w:p w14:paraId="5F8CFB51">
      <w:pPr>
        <w:spacing w:line="580" w:lineRule="exact"/>
        <w:ind w:firstLine="640"/>
        <w:jc w:val="both"/>
      </w:pPr>
      <w:r>
        <w:rPr>
          <w:rFonts w:ascii="仿宋_GB2312" w:hAnsi="仿宋_GB2312" w:eastAsia="仿宋_GB2312"/>
          <w:b w:val="0"/>
          <w:sz w:val="32"/>
        </w:rPr>
        <w:t>7.住房保障支出(类)5.88万元,占0.55%。</w:t>
      </w:r>
    </w:p>
    <w:p w14:paraId="01931797">
      <w:pPr>
        <w:spacing w:line="640" w:lineRule="exact"/>
        <w:ind w:firstLine="640"/>
        <w:jc w:val="both"/>
        <w:outlineLvl w:val="3"/>
      </w:pPr>
      <w:r>
        <w:rPr>
          <w:rFonts w:ascii="楷体_GB2312" w:hAnsi="楷体_GB2312" w:eastAsia="楷体_GB2312"/>
          <w:b/>
          <w:sz w:val="32"/>
        </w:rPr>
        <w:t>（三）一般公共预算财政拨款支出决算具体情况</w:t>
      </w:r>
    </w:p>
    <w:p w14:paraId="62ECAA0B">
      <w:pPr>
        <w:spacing w:line="580" w:lineRule="exact"/>
        <w:ind w:firstLine="640"/>
        <w:jc w:val="both"/>
      </w:pPr>
      <w:r>
        <w:rPr>
          <w:rFonts w:ascii="仿宋_GB2312" w:hAnsi="仿宋_GB2312" w:eastAsia="仿宋_GB2312"/>
          <w:b w:val="0"/>
          <w:sz w:val="32"/>
        </w:rPr>
        <w:t>1.一般公共服务支出(类)其他共产党事务支出(款)其他共产党事务支出(项):支出决算数为498.60万元，比上年决算增加45.20万元，增长9.97%,主要原因是：本年增加HBY补助等项目经费，导致该款项有所增加。</w:t>
      </w:r>
    </w:p>
    <w:p w14:paraId="5900F313">
      <w:pPr>
        <w:spacing w:line="580" w:lineRule="exact"/>
        <w:ind w:firstLine="640"/>
        <w:jc w:val="both"/>
      </w:pPr>
      <w:r>
        <w:rPr>
          <w:rFonts w:ascii="仿宋_GB2312" w:hAnsi="仿宋_GB2312" w:eastAsia="仿宋_GB2312"/>
          <w:b w:val="0"/>
          <w:sz w:val="32"/>
        </w:rPr>
        <w:t>2.一般公共服务支出(类)其他一般公共服务支出(款)其他一般公共服务支出(项):支出决算数为332.20万元，比上年决算增加36.01万元，增长12.16%,主要原因是：本年增加HBY生活补助伙食资金、边防车辆租赁资金等，导致经费较上年增加。</w:t>
      </w:r>
    </w:p>
    <w:p w14:paraId="06C6D64B">
      <w:pPr>
        <w:spacing w:line="580" w:lineRule="exact"/>
        <w:ind w:firstLine="640"/>
        <w:jc w:val="both"/>
      </w:pPr>
      <w:r>
        <w:rPr>
          <w:rFonts w:ascii="仿宋_GB2312" w:hAnsi="仿宋_GB2312" w:eastAsia="仿宋_GB2312"/>
          <w:b w:val="0"/>
          <w:sz w:val="32"/>
        </w:rPr>
        <w:t>3.国防支出(类)国防动员(款)边海防(项):支出决算数为50.00万元，比上年决算减少10.00万元，下降16.67%,主要原因是：本年度维修维护费项目资金支出减少，导致经费减少。</w:t>
      </w:r>
    </w:p>
    <w:p w14:paraId="69544AE1">
      <w:pPr>
        <w:spacing w:line="580" w:lineRule="exact"/>
        <w:ind w:firstLine="640"/>
        <w:jc w:val="both"/>
      </w:pPr>
      <w:r>
        <w:rPr>
          <w:rFonts w:ascii="仿宋_GB2312" w:hAnsi="仿宋_GB2312" w:eastAsia="仿宋_GB2312"/>
          <w:b w:val="0"/>
          <w:sz w:val="32"/>
        </w:rPr>
        <w:t>4.公共安全支出(类)公安(款)事业运行(项):支出决算数为60.72万元，比上年决算增加10.28万元，增长20.38%,主要原因是：本年新增在职人员，人员经费增加，导致经费较上年有所增加。</w:t>
      </w:r>
    </w:p>
    <w:p w14:paraId="5737D6EC">
      <w:pPr>
        <w:spacing w:line="580" w:lineRule="exact"/>
        <w:ind w:firstLine="640"/>
        <w:jc w:val="both"/>
      </w:pPr>
      <w:r>
        <w:rPr>
          <w:rFonts w:ascii="仿宋_GB2312" w:hAnsi="仿宋_GB2312" w:eastAsia="仿宋_GB2312"/>
          <w:b w:val="0"/>
          <w:sz w:val="32"/>
        </w:rPr>
        <w:t>5.公共安全支出(类)其他公共安全支出(款)其他公共安全支出(项):支出决算数为43.28万元，比上年决算增加43.28万元，增长100.00%,主要原因是：本年度增加相关HBY伙食经费。</w:t>
      </w:r>
    </w:p>
    <w:p w14:paraId="2E5EBA63">
      <w:pPr>
        <w:spacing w:line="580" w:lineRule="exact"/>
        <w:ind w:firstLine="640"/>
        <w:jc w:val="both"/>
      </w:pPr>
      <w:r>
        <w:rPr>
          <w:rFonts w:ascii="仿宋_GB2312" w:hAnsi="仿宋_GB2312" w:eastAsia="仿宋_GB2312"/>
          <w:b w:val="0"/>
          <w:sz w:val="32"/>
        </w:rPr>
        <w:t>6.科学技术支出(类)技术研究与开发(款)科技成果转化与扩散(项):支出决算数为35.99万元，比上年决算增加35.99万元，增长100.00%,主要原因是：本年增加支付以前年度</w:t>
      </w:r>
      <w:r>
        <w:rPr>
          <w:rFonts w:hint="eastAsia" w:ascii="仿宋_GB2312" w:hAnsi="仿宋_GB2312" w:eastAsia="仿宋_GB2312"/>
          <w:b w:val="0"/>
          <w:sz w:val="32"/>
          <w:lang w:eastAsia="zh-CN"/>
        </w:rPr>
        <w:t>BJ</w:t>
      </w:r>
      <w:r>
        <w:rPr>
          <w:rFonts w:ascii="仿宋_GB2312" w:hAnsi="仿宋_GB2312" w:eastAsia="仿宋_GB2312"/>
          <w:b w:val="0"/>
          <w:sz w:val="32"/>
        </w:rPr>
        <w:t>JK安装经费。</w:t>
      </w:r>
    </w:p>
    <w:p w14:paraId="2B711EDB">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8.15万元，比上年决算增加2.06万元，增长33.83%,主要原因是：本年在职人员增加，养老保险缴费较上年增加。</w:t>
      </w:r>
    </w:p>
    <w:p w14:paraId="4AB656BF">
      <w:pPr>
        <w:spacing w:line="580" w:lineRule="exact"/>
        <w:ind w:firstLine="640"/>
        <w:jc w:val="both"/>
      </w:pPr>
      <w:r>
        <w:rPr>
          <w:rFonts w:ascii="仿宋_GB2312" w:hAnsi="仿宋_GB2312" w:eastAsia="仿宋_GB2312"/>
          <w:b w:val="0"/>
          <w:sz w:val="32"/>
        </w:rPr>
        <w:t>8.社会保障和就业支出(类)其他社会保障和就业支出(款)其他社会保障和就业支出(项):支出决算数为21.38万元，比上年决算增加21.38万</w:t>
      </w:r>
      <w:bookmarkStart w:id="0" w:name="_GoBack"/>
      <w:r>
        <w:rPr>
          <w:rFonts w:ascii="仿宋_GB2312" w:hAnsi="仿宋_GB2312" w:eastAsia="仿宋_GB2312"/>
          <w:b w:val="0"/>
          <w:sz w:val="32"/>
        </w:rPr>
        <w:t>元，增长100.00%,主要原因是：本年</w:t>
      </w:r>
      <w:r>
        <w:rPr>
          <w:rFonts w:hint="eastAsia" w:ascii="仿宋_GB2312" w:hAnsi="仿宋_GB2312" w:eastAsia="仿宋_GB2312"/>
          <w:b w:val="0"/>
          <w:sz w:val="32"/>
          <w:lang w:val="en-US" w:eastAsia="zh-CN"/>
        </w:rPr>
        <w:t>新增</w:t>
      </w:r>
      <w:r>
        <w:rPr>
          <w:rFonts w:hint="eastAsia" w:ascii="仿宋_GB2312" w:hAnsi="仿宋_GB2312" w:eastAsia="仿宋_GB2312"/>
          <w:b w:val="0"/>
          <w:sz w:val="32"/>
        </w:rPr>
        <w:t>2024年自治区护边员养老保险补助资金</w:t>
      </w:r>
      <w:r>
        <w:rPr>
          <w:rFonts w:ascii="仿宋_GB2312" w:hAnsi="仿宋_GB2312" w:eastAsia="仿宋_GB2312"/>
          <w:b w:val="0"/>
          <w:sz w:val="32"/>
        </w:rPr>
        <w:t>，导致经费较上年增加。</w:t>
      </w:r>
    </w:p>
    <w:bookmarkEnd w:id="0"/>
    <w:p w14:paraId="66C9B1B6">
      <w:pPr>
        <w:spacing w:line="580" w:lineRule="exact"/>
        <w:ind w:firstLine="640"/>
        <w:jc w:val="both"/>
      </w:pPr>
      <w:r>
        <w:rPr>
          <w:rFonts w:ascii="仿宋_GB2312" w:hAnsi="仿宋_GB2312" w:eastAsia="仿宋_GB2312"/>
          <w:b w:val="0"/>
          <w:sz w:val="32"/>
        </w:rPr>
        <w:t>9.卫生健康支出(类)行政事业单位医疗(款)事业单位医疗(项):支出决算数为3.49万元，比上年决算增加0.74万元，增长26.91%,主要原因是：本年在职人员增加，事业单位医疗支出较上年增加。</w:t>
      </w:r>
    </w:p>
    <w:p w14:paraId="0B450404">
      <w:pPr>
        <w:spacing w:line="580" w:lineRule="exact"/>
        <w:ind w:firstLine="640"/>
        <w:jc w:val="both"/>
      </w:pPr>
      <w:r>
        <w:rPr>
          <w:rFonts w:ascii="仿宋_GB2312" w:hAnsi="仿宋_GB2312" w:eastAsia="仿宋_GB2312"/>
          <w:b w:val="0"/>
          <w:sz w:val="32"/>
        </w:rPr>
        <w:t>10.住房保障支出(类)住房改革支出(款)住房公积金(项):支出决算数为5.88万元，比上年决算增加1.48万元，增长33.64%,主要原因是：本年在职人员增加，住房公积金支出较上年增加。</w:t>
      </w:r>
    </w:p>
    <w:p w14:paraId="694C298F">
      <w:pPr>
        <w:spacing w:line="640" w:lineRule="exact"/>
        <w:ind w:firstLine="640"/>
        <w:jc w:val="both"/>
        <w:outlineLvl w:val="2"/>
      </w:pPr>
      <w:r>
        <w:rPr>
          <w:rFonts w:ascii="黑体" w:hAnsi="黑体" w:eastAsia="黑体"/>
          <w:sz w:val="32"/>
        </w:rPr>
        <w:t>六、一般公共预算财政拨款基本支出决算情况说明</w:t>
      </w:r>
    </w:p>
    <w:p w14:paraId="473CEBE7">
      <w:pPr>
        <w:spacing w:line="580" w:lineRule="exact"/>
        <w:ind w:firstLine="640"/>
        <w:jc w:val="both"/>
      </w:pPr>
      <w:r>
        <w:rPr>
          <w:rFonts w:ascii="仿宋_GB2312" w:hAnsi="仿宋_GB2312" w:eastAsia="仿宋_GB2312"/>
          <w:b w:val="0"/>
          <w:sz w:val="32"/>
        </w:rPr>
        <w:t>2024年度一般公共预算财政拨款基本支出78.25万元，其中：</w:t>
      </w:r>
      <w:r>
        <w:rPr>
          <w:rFonts w:ascii="仿宋_GB2312" w:hAnsi="仿宋_GB2312" w:eastAsia="仿宋_GB2312"/>
          <w:b/>
          <w:sz w:val="32"/>
        </w:rPr>
        <w:t>人员经费74.60万元，</w:t>
      </w:r>
      <w:r>
        <w:rPr>
          <w:rFonts w:ascii="仿宋_GB2312" w:hAnsi="仿宋_GB2312" w:eastAsia="仿宋_GB2312"/>
          <w:b w:val="0"/>
          <w:sz w:val="32"/>
        </w:rPr>
        <w:t>包括：基本工资、津贴补贴、奖金、绩效工资、机关事业单位基本养老保险缴费、职工基本医疗保险缴费、其他社会保障缴费、住房公积金、奖励金。</w:t>
      </w:r>
    </w:p>
    <w:p w14:paraId="3C1D41F3">
      <w:pPr>
        <w:spacing w:line="580" w:lineRule="exact"/>
        <w:ind w:firstLine="640"/>
        <w:jc w:val="both"/>
      </w:pPr>
      <w:r>
        <w:rPr>
          <w:rFonts w:ascii="仿宋_GB2312" w:hAnsi="仿宋_GB2312" w:eastAsia="仿宋_GB2312"/>
          <w:b/>
          <w:sz w:val="32"/>
        </w:rPr>
        <w:t>公用经费3.65万元，</w:t>
      </w:r>
      <w:r>
        <w:rPr>
          <w:rFonts w:ascii="仿宋_GB2312" w:hAnsi="仿宋_GB2312" w:eastAsia="仿宋_GB2312"/>
          <w:b w:val="0"/>
          <w:sz w:val="32"/>
        </w:rPr>
        <w:t>包括：办公费、电费、取暖费、工会经费、公务用车运行维护费。</w:t>
      </w:r>
    </w:p>
    <w:p w14:paraId="5F54CA0C">
      <w:pPr>
        <w:spacing w:line="640" w:lineRule="exact"/>
        <w:ind w:firstLine="640"/>
        <w:jc w:val="both"/>
        <w:outlineLvl w:val="2"/>
      </w:pPr>
      <w:r>
        <w:rPr>
          <w:rFonts w:ascii="黑体" w:hAnsi="黑体" w:eastAsia="黑体"/>
          <w:sz w:val="32"/>
        </w:rPr>
        <w:t>七、政府性基金预算财政拨款收入支出决算情况说明</w:t>
      </w:r>
    </w:p>
    <w:p w14:paraId="745DB344">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C7EA76B">
      <w:pPr>
        <w:spacing w:line="640" w:lineRule="exact"/>
        <w:ind w:firstLine="640"/>
        <w:jc w:val="both"/>
        <w:outlineLvl w:val="2"/>
      </w:pPr>
      <w:r>
        <w:rPr>
          <w:rFonts w:ascii="黑体" w:hAnsi="黑体" w:eastAsia="黑体"/>
          <w:sz w:val="32"/>
        </w:rPr>
        <w:t>八、国有资本经营预算财政拨款收入支出决算情况说明</w:t>
      </w:r>
    </w:p>
    <w:p w14:paraId="1A0A096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B93E8A0">
      <w:pPr>
        <w:spacing w:line="640" w:lineRule="exact"/>
        <w:ind w:firstLine="640"/>
        <w:jc w:val="both"/>
        <w:outlineLvl w:val="2"/>
      </w:pPr>
      <w:r>
        <w:rPr>
          <w:rFonts w:ascii="黑体" w:hAnsi="黑体" w:eastAsia="黑体"/>
          <w:sz w:val="32"/>
        </w:rPr>
        <w:t>九、财政拨款“三公”经费支出决算情况说明</w:t>
      </w:r>
    </w:p>
    <w:p w14:paraId="04619D58">
      <w:pPr>
        <w:spacing w:line="580" w:lineRule="exact"/>
        <w:ind w:firstLine="640"/>
        <w:jc w:val="both"/>
      </w:pPr>
      <w:r>
        <w:rPr>
          <w:rFonts w:ascii="仿宋_GB2312" w:hAnsi="仿宋_GB2312" w:eastAsia="仿宋_GB2312"/>
          <w:b/>
          <w:sz w:val="32"/>
        </w:rPr>
        <w:t>2024年度财政拨款“三公”经费支出3.21万元，</w:t>
      </w:r>
      <w:r>
        <w:rPr>
          <w:rFonts w:ascii="仿宋_GB2312" w:hAnsi="仿宋_GB2312" w:eastAsia="仿宋_GB2312"/>
          <w:b w:val="0"/>
          <w:sz w:val="32"/>
        </w:rPr>
        <w:t>比上年增加0.58万元，增长21.97%，主要原因是：本年因业务需求，用车次数增加，车辆维护，导致公务用车运行维护费较上年增加。其中：因公出国（境）费支出0.00万元，占0.00%，比上年增加0.00万元，增长0.00%，主要原因是：2023年与2024年均未安排因公出国（境）费支出。公务用车购置及运行维护费支出3.21万元，占100.00%，比上年增加1.07万元，增长50.00%，主要原因是：本年因业务需求，用车次数增加，车辆维护，导致公务用车运行维护费较上年增加。公务接待费支出0.00万元，占0.00%，比上年减少0.49万元，下降100.00%，主要原因是：严格落实中央八项规定精神，厉行节约，减少公务接待费。</w:t>
      </w:r>
    </w:p>
    <w:p w14:paraId="15349D4B">
      <w:pPr>
        <w:spacing w:line="580" w:lineRule="exact"/>
        <w:ind w:firstLine="640"/>
        <w:jc w:val="both"/>
      </w:pPr>
      <w:r>
        <w:rPr>
          <w:rFonts w:ascii="仿宋_GB2312" w:hAnsi="仿宋_GB2312" w:eastAsia="仿宋_GB2312"/>
          <w:b/>
          <w:sz w:val="32"/>
        </w:rPr>
        <w:t>具体情况如下：</w:t>
      </w:r>
    </w:p>
    <w:p w14:paraId="4A7D235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7322C82">
      <w:pPr>
        <w:spacing w:line="580" w:lineRule="exact"/>
        <w:ind w:firstLine="640"/>
        <w:jc w:val="both"/>
      </w:pPr>
      <w:r>
        <w:rPr>
          <w:rFonts w:ascii="仿宋_GB2312" w:hAnsi="仿宋_GB2312" w:eastAsia="仿宋_GB2312"/>
          <w:b w:val="0"/>
          <w:sz w:val="32"/>
        </w:rPr>
        <w:t>公务用车购置及运行维护费3.21万元，其中：公务用车购置费0.00万元，公务用车运行维护费3.21万元。公务用车运行维护费开支内容包括车辆维修费。公务用车购置数0辆，公务用车保有量1辆。国有资产占用情况中固定资产车辆0辆，与公务用车保有量差异原因是：借用其他单位车辆，车辆费用由本单位支付。</w:t>
      </w:r>
    </w:p>
    <w:p w14:paraId="3EE7791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0ADB97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3.21万元，决算数3.21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3.21万元，决算数3.21万元，预决算差异率0.00%，主要原因是：严格按照预算执行，预决算无差异。公务接待费全年预算数0.00万元，决算数0.00万元，预决算差异率0.00%，主要原因是：本单位无公务接待费。</w:t>
      </w:r>
    </w:p>
    <w:p w14:paraId="0C4D80D9">
      <w:pPr>
        <w:spacing w:line="640" w:lineRule="exact"/>
        <w:ind w:firstLine="640"/>
        <w:jc w:val="both"/>
        <w:outlineLvl w:val="2"/>
      </w:pPr>
      <w:r>
        <w:rPr>
          <w:rFonts w:ascii="黑体" w:hAnsi="黑体" w:eastAsia="黑体"/>
          <w:sz w:val="32"/>
        </w:rPr>
        <w:t>十、其他重要事项的情况说明</w:t>
      </w:r>
    </w:p>
    <w:p w14:paraId="19D359AF">
      <w:pPr>
        <w:spacing w:line="640" w:lineRule="exact"/>
        <w:ind w:firstLine="640"/>
        <w:jc w:val="both"/>
        <w:outlineLvl w:val="3"/>
      </w:pPr>
      <w:r>
        <w:rPr>
          <w:rFonts w:ascii="楷体_GB2312" w:hAnsi="楷体_GB2312" w:eastAsia="楷体_GB2312"/>
          <w:b/>
          <w:sz w:val="32"/>
        </w:rPr>
        <w:t>（一）机关运行经费及公用经费支出情况</w:t>
      </w:r>
    </w:p>
    <w:p w14:paraId="6AF14CF1">
      <w:pPr>
        <w:spacing w:line="580" w:lineRule="exact"/>
        <w:ind w:firstLine="640"/>
        <w:jc w:val="both"/>
      </w:pPr>
      <w:r>
        <w:rPr>
          <w:rFonts w:ascii="仿宋_GB2312" w:hAnsi="仿宋_GB2312" w:eastAsia="仿宋_GB2312"/>
          <w:b w:val="0"/>
          <w:sz w:val="32"/>
        </w:rPr>
        <w:t>2024年度托里县边防事务中心（事业单位）公用经费支出3.65万元，比上年增加1.74万元，增长91.10%，主要原因是：本年在职人员增加，办公费用增加，公用经费支出增加。</w:t>
      </w:r>
    </w:p>
    <w:p w14:paraId="72F99D75">
      <w:pPr>
        <w:spacing w:line="640" w:lineRule="exact"/>
        <w:ind w:firstLine="640"/>
        <w:jc w:val="both"/>
        <w:outlineLvl w:val="3"/>
      </w:pPr>
      <w:r>
        <w:rPr>
          <w:rFonts w:ascii="楷体_GB2312" w:hAnsi="楷体_GB2312" w:eastAsia="楷体_GB2312"/>
          <w:b/>
          <w:sz w:val="32"/>
        </w:rPr>
        <w:t>（二）政府采购情况</w:t>
      </w:r>
    </w:p>
    <w:p w14:paraId="2572E25F">
      <w:pPr>
        <w:spacing w:line="580" w:lineRule="exact"/>
        <w:ind w:firstLine="640"/>
        <w:jc w:val="both"/>
      </w:pPr>
      <w:r>
        <w:rPr>
          <w:rFonts w:ascii="仿宋_GB2312" w:hAnsi="仿宋_GB2312" w:eastAsia="仿宋_GB2312"/>
          <w:b w:val="0"/>
          <w:sz w:val="32"/>
        </w:rPr>
        <w:t>2024年度政府采购支出总额48.61万元，其中：政府采购货物支出30.63万元、政府采购工程支出0.00万元、政府采购服务支出17.98万元。</w:t>
      </w:r>
    </w:p>
    <w:p w14:paraId="5474110D">
      <w:pPr>
        <w:spacing w:line="580" w:lineRule="exact"/>
        <w:ind w:firstLine="640"/>
        <w:jc w:val="both"/>
      </w:pPr>
      <w:r>
        <w:rPr>
          <w:rFonts w:ascii="仿宋_GB2312" w:hAnsi="仿宋_GB2312" w:eastAsia="仿宋_GB2312"/>
          <w:b w:val="0"/>
          <w:sz w:val="32"/>
        </w:rPr>
        <w:t>授予中小企业合同金额48.61万元，占政府采购支出总额的100.00%，其中：授予小微企业合同金额44.79万元，占政府采购支出总额的92.14%。</w:t>
      </w:r>
    </w:p>
    <w:p w14:paraId="73EDF992">
      <w:pPr>
        <w:spacing w:line="640" w:lineRule="exact"/>
        <w:ind w:firstLine="640"/>
        <w:jc w:val="both"/>
        <w:outlineLvl w:val="3"/>
      </w:pPr>
      <w:r>
        <w:rPr>
          <w:rFonts w:ascii="楷体_GB2312" w:hAnsi="楷体_GB2312" w:eastAsia="楷体_GB2312"/>
          <w:b/>
          <w:sz w:val="32"/>
        </w:rPr>
        <w:t>（三）国有资产占用情况说明</w:t>
      </w:r>
    </w:p>
    <w:p w14:paraId="61D21E92">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47DCEB92">
      <w:pPr>
        <w:spacing w:line="640" w:lineRule="exact"/>
        <w:ind w:firstLine="640"/>
        <w:jc w:val="both"/>
        <w:outlineLvl w:val="2"/>
      </w:pPr>
      <w:r>
        <w:rPr>
          <w:rFonts w:ascii="黑体" w:hAnsi="黑体" w:eastAsia="黑体"/>
          <w:sz w:val="32"/>
        </w:rPr>
        <w:t>十一、预算绩效的情况说明</w:t>
      </w:r>
    </w:p>
    <w:p w14:paraId="67C91B8A">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w:t>
      </w:r>
      <w:r>
        <w:rPr>
          <w:rFonts w:hint="eastAsia" w:ascii="仿宋_GB2312" w:hAnsi="仿宋_GB2312" w:eastAsia="仿宋_GB2312"/>
          <w:b w:val="0"/>
          <w:sz w:val="32"/>
        </w:rPr>
        <w:t>1,059.70</w:t>
      </w:r>
      <w:r>
        <w:rPr>
          <w:rFonts w:ascii="仿宋_GB2312" w:hAnsi="仿宋_GB2312" w:eastAsia="仿宋_GB2312"/>
          <w:b w:val="0"/>
          <w:sz w:val="32"/>
        </w:rPr>
        <w:t>万元，实际执行总额</w:t>
      </w:r>
      <w:r>
        <w:rPr>
          <w:rFonts w:hint="eastAsia" w:ascii="仿宋_GB2312" w:hAnsi="仿宋_GB2312" w:eastAsia="仿宋_GB2312"/>
          <w:b w:val="0"/>
          <w:sz w:val="32"/>
        </w:rPr>
        <w:t>1,059.70</w:t>
      </w:r>
      <w:r>
        <w:rPr>
          <w:rFonts w:ascii="仿宋_GB2312" w:hAnsi="仿宋_GB2312" w:eastAsia="仿宋_GB2312"/>
          <w:b w:val="0"/>
          <w:sz w:val="32"/>
        </w:rPr>
        <w:t>万元；预算绩效评价项目</w:t>
      </w:r>
      <w:r>
        <w:rPr>
          <w:rFonts w:hint="eastAsia" w:ascii="仿宋_GB2312" w:hAnsi="仿宋_GB2312" w:eastAsia="仿宋_GB2312"/>
          <w:b w:val="0"/>
          <w:sz w:val="32"/>
          <w:lang w:val="en-US" w:eastAsia="zh-CN"/>
        </w:rPr>
        <w:t>1</w:t>
      </w:r>
      <w:r>
        <w:rPr>
          <w:rFonts w:ascii="仿宋_GB2312" w:hAnsi="仿宋_GB2312" w:eastAsia="仿宋_GB2312"/>
          <w:b w:val="0"/>
          <w:sz w:val="32"/>
        </w:rPr>
        <w:t>0个，全年预算数729.91万元，全年执行数809.59万元。预算绩效管理取得的成效：本单位预算绩效项目不予公开。发现的问题及原因：本单位预算绩效项目不予公开。下一步改进措施：本单位预算绩效项目不予公开。</w:t>
      </w:r>
    </w:p>
    <w:p w14:paraId="7D5A55E4">
      <w:r>
        <w:br w:type="page"/>
      </w:r>
    </w:p>
    <w:p w14:paraId="457D0679">
      <w:pPr>
        <w:spacing w:line="640" w:lineRule="exact"/>
        <w:ind w:firstLine="640"/>
        <w:jc w:val="both"/>
        <w:outlineLvl w:val="2"/>
      </w:pPr>
      <w:r>
        <w:rPr>
          <w:rFonts w:ascii="黑体" w:hAnsi="黑体" w:eastAsia="黑体"/>
          <w:sz w:val="32"/>
        </w:rPr>
        <w:t>十二、其他需说明的事项</w:t>
      </w:r>
    </w:p>
    <w:p w14:paraId="3F9F578A">
      <w:pPr>
        <w:spacing w:line="580" w:lineRule="exact"/>
        <w:ind w:firstLine="640"/>
        <w:jc w:val="both"/>
      </w:pPr>
      <w:r>
        <w:rPr>
          <w:rFonts w:ascii="仿宋_GB2312" w:hAnsi="仿宋_GB2312" w:eastAsia="仿宋_GB2312"/>
          <w:b w:val="0"/>
          <w:sz w:val="32"/>
        </w:rPr>
        <w:t>本年度本单位整体绩效自评表不予公开。</w:t>
      </w:r>
    </w:p>
    <w:p w14:paraId="5FF08CE6">
      <w:pPr>
        <w:spacing w:line="580" w:lineRule="exact"/>
        <w:ind w:firstLine="640"/>
        <w:jc w:val="both"/>
      </w:pPr>
      <w:r>
        <w:rPr>
          <w:rFonts w:ascii="仿宋_GB2312" w:hAnsi="仿宋_GB2312" w:eastAsia="仿宋_GB2312"/>
          <w:b w:val="0"/>
          <w:sz w:val="32"/>
        </w:rPr>
        <w:t>本年本单位</w:t>
      </w:r>
      <w:r>
        <w:rPr>
          <w:rFonts w:hint="eastAsia" w:ascii="仿宋_GB2312" w:hAnsi="仿宋_GB2312" w:eastAsia="仿宋_GB2312"/>
          <w:b w:val="0"/>
          <w:sz w:val="32"/>
          <w:lang w:val="en-US" w:eastAsia="zh-CN"/>
        </w:rPr>
        <w:t>不予公开</w:t>
      </w:r>
      <w:r>
        <w:rPr>
          <w:rFonts w:ascii="仿宋_GB2312" w:hAnsi="仿宋_GB2312" w:eastAsia="仿宋_GB2312"/>
          <w:b w:val="0"/>
          <w:sz w:val="32"/>
        </w:rPr>
        <w:t>项目10个，全年预算数729.91万元，全年执行数809.59万元。</w:t>
      </w:r>
    </w:p>
    <w:p w14:paraId="0F24A290">
      <w:r>
        <w:br w:type="page"/>
      </w:r>
    </w:p>
    <w:p w14:paraId="18C882A1">
      <w:pPr>
        <w:spacing w:line="240" w:lineRule="auto"/>
        <w:jc w:val="center"/>
        <w:outlineLvl w:val="1"/>
      </w:pPr>
      <w:r>
        <w:rPr>
          <w:rFonts w:ascii="黑体" w:hAnsi="黑体" w:eastAsia="黑体"/>
          <w:sz w:val="32"/>
        </w:rPr>
        <w:t>第三部分 专业名词解释</w:t>
      </w:r>
    </w:p>
    <w:p w14:paraId="35553E5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C846AF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67C8E7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1749E1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6162FD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EF9DA4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4636D2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EEB172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66E719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14A5CA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F2DCFA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7FCC8A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C58BC8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F6093C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C68C366">
      <w:r>
        <w:br w:type="page"/>
      </w:r>
    </w:p>
    <w:p w14:paraId="2AFB3B60">
      <w:pPr>
        <w:spacing w:line="240" w:lineRule="auto"/>
        <w:jc w:val="center"/>
        <w:outlineLvl w:val="1"/>
      </w:pPr>
      <w:r>
        <w:rPr>
          <w:rFonts w:ascii="黑体" w:hAnsi="黑体" w:eastAsia="黑体"/>
          <w:sz w:val="32"/>
        </w:rPr>
        <w:t>第四部分 部门决算报表（见附表）</w:t>
      </w:r>
    </w:p>
    <w:p w14:paraId="5C99350F">
      <w:pPr>
        <w:spacing w:line="240" w:lineRule="auto"/>
        <w:ind w:firstLine="640"/>
        <w:jc w:val="both"/>
      </w:pPr>
      <w:r>
        <w:rPr>
          <w:rFonts w:ascii="仿宋_GB2312" w:hAnsi="仿宋_GB2312" w:eastAsia="仿宋_GB2312"/>
          <w:b w:val="0"/>
          <w:sz w:val="32"/>
        </w:rPr>
        <w:t>一、《收入支出决算总表》</w:t>
      </w:r>
    </w:p>
    <w:p w14:paraId="0EEB0FF2">
      <w:pPr>
        <w:spacing w:line="240" w:lineRule="auto"/>
        <w:ind w:firstLine="640"/>
        <w:jc w:val="both"/>
      </w:pPr>
      <w:r>
        <w:rPr>
          <w:rFonts w:ascii="仿宋_GB2312" w:hAnsi="仿宋_GB2312" w:eastAsia="仿宋_GB2312"/>
          <w:b w:val="0"/>
          <w:sz w:val="32"/>
        </w:rPr>
        <w:t>二、《收入决算表》</w:t>
      </w:r>
    </w:p>
    <w:p w14:paraId="72029739">
      <w:pPr>
        <w:spacing w:line="240" w:lineRule="auto"/>
        <w:ind w:firstLine="640"/>
        <w:jc w:val="both"/>
      </w:pPr>
      <w:r>
        <w:rPr>
          <w:rFonts w:ascii="仿宋_GB2312" w:hAnsi="仿宋_GB2312" w:eastAsia="仿宋_GB2312"/>
          <w:b w:val="0"/>
          <w:sz w:val="32"/>
        </w:rPr>
        <w:t>三、《支出决算表》</w:t>
      </w:r>
    </w:p>
    <w:p w14:paraId="018C495D">
      <w:pPr>
        <w:spacing w:line="240" w:lineRule="auto"/>
        <w:ind w:firstLine="640"/>
        <w:jc w:val="both"/>
      </w:pPr>
      <w:r>
        <w:rPr>
          <w:rFonts w:ascii="仿宋_GB2312" w:hAnsi="仿宋_GB2312" w:eastAsia="仿宋_GB2312"/>
          <w:b w:val="0"/>
          <w:sz w:val="32"/>
        </w:rPr>
        <w:t>四、《财政拨款收入支出决算总表》</w:t>
      </w:r>
    </w:p>
    <w:p w14:paraId="7E6770BD">
      <w:pPr>
        <w:spacing w:line="240" w:lineRule="auto"/>
        <w:ind w:firstLine="640"/>
        <w:jc w:val="both"/>
      </w:pPr>
      <w:r>
        <w:rPr>
          <w:rFonts w:ascii="仿宋_GB2312" w:hAnsi="仿宋_GB2312" w:eastAsia="仿宋_GB2312"/>
          <w:b w:val="0"/>
          <w:sz w:val="32"/>
        </w:rPr>
        <w:t>五、《一般公共预算财政拨款支出决算表》</w:t>
      </w:r>
    </w:p>
    <w:p w14:paraId="4C644785">
      <w:pPr>
        <w:spacing w:line="240" w:lineRule="auto"/>
        <w:ind w:firstLine="640"/>
        <w:jc w:val="both"/>
      </w:pPr>
      <w:r>
        <w:rPr>
          <w:rFonts w:ascii="仿宋_GB2312" w:hAnsi="仿宋_GB2312" w:eastAsia="仿宋_GB2312"/>
          <w:b w:val="0"/>
          <w:sz w:val="32"/>
        </w:rPr>
        <w:t>六、《一般公共预算财政拨款基本支出决算表》</w:t>
      </w:r>
    </w:p>
    <w:p w14:paraId="30BA2E72">
      <w:pPr>
        <w:spacing w:line="240" w:lineRule="auto"/>
        <w:ind w:firstLine="640"/>
        <w:jc w:val="both"/>
      </w:pPr>
      <w:r>
        <w:rPr>
          <w:rFonts w:ascii="仿宋_GB2312" w:hAnsi="仿宋_GB2312" w:eastAsia="仿宋_GB2312"/>
          <w:b w:val="0"/>
          <w:sz w:val="32"/>
        </w:rPr>
        <w:t>七、《政府性基金预算财政拨款收入支出决算表》</w:t>
      </w:r>
    </w:p>
    <w:p w14:paraId="52FD521D">
      <w:pPr>
        <w:spacing w:line="240" w:lineRule="auto"/>
        <w:ind w:firstLine="640"/>
        <w:jc w:val="both"/>
      </w:pPr>
      <w:r>
        <w:rPr>
          <w:rFonts w:ascii="仿宋_GB2312" w:hAnsi="仿宋_GB2312" w:eastAsia="仿宋_GB2312"/>
          <w:b w:val="0"/>
          <w:sz w:val="32"/>
        </w:rPr>
        <w:t>八、《国有资本经营预算财政拨款收入支出决算表》</w:t>
      </w:r>
    </w:p>
    <w:p w14:paraId="4C7DC7BC">
      <w:pPr>
        <w:spacing w:line="240" w:lineRule="auto"/>
        <w:ind w:firstLine="640"/>
        <w:jc w:val="both"/>
      </w:pPr>
      <w:r>
        <w:rPr>
          <w:rFonts w:ascii="仿宋_GB2312" w:hAnsi="仿宋_GB2312" w:eastAsia="仿宋_GB2312"/>
          <w:b w:val="0"/>
          <w:sz w:val="32"/>
        </w:rPr>
        <w:t>九、《财政拨款“三公”经费支出决算表》</w:t>
      </w:r>
    </w:p>
    <w:p w14:paraId="2495E836">
      <w:pPr>
        <w:spacing w:line="240" w:lineRule="auto"/>
        <w:ind w:firstLine="640"/>
        <w:jc w:val="both"/>
      </w:pPr>
    </w:p>
    <w:p w14:paraId="0858EC50">
      <w:pPr>
        <w:spacing w:line="240" w:lineRule="auto"/>
        <w:ind w:firstLine="640"/>
        <w:jc w:val="both"/>
      </w:pPr>
    </w:p>
    <w:p w14:paraId="15C386DE">
      <w:pPr>
        <w:spacing w:line="240" w:lineRule="auto"/>
        <w:ind w:firstLine="640"/>
        <w:jc w:val="both"/>
      </w:pPr>
    </w:p>
    <w:p w14:paraId="3B1186DF">
      <w:pPr>
        <w:spacing w:line="240" w:lineRule="auto"/>
        <w:ind w:firstLine="640"/>
        <w:jc w:val="both"/>
      </w:pPr>
    </w:p>
    <w:p w14:paraId="420E760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79">
    <w:panose1 w:val="02000000000000000000"/>
    <w:charset w:val="86"/>
    <w:family w:val="auto"/>
    <w:pitch w:val="default"/>
    <w:sig w:usb0="A00002BF" w:usb1="38CF7CFA" w:usb2="00082016" w:usb3="00000000" w:csb0="00040001" w:csb1="00000000"/>
  </w:font>
  <w:font w:name="WPSEMBED80">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563235"/>
    <w:rsid w:val="2064678E"/>
    <w:rsid w:val="20BC0B75"/>
    <w:rsid w:val="20DD6197"/>
    <w:rsid w:val="21B42C51"/>
    <w:rsid w:val="21F317F2"/>
    <w:rsid w:val="2241392C"/>
    <w:rsid w:val="23B47AB0"/>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08A001C"/>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7354460"/>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5429</Words>
  <Characters>6202</Characters>
  <Lines>0</Lines>
  <Paragraphs>0</Paragraphs>
  <TotalTime>10</TotalTime>
  <ScaleCrop>false</ScaleCrop>
  <LinksUpToDate>false</LinksUpToDate>
  <CharactersWithSpaces>6212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2025-11-27T08:59:22Z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