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托里县审计局2024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EDD19CC">
      <w:r>
        <w:br w:type="page"/>
      </w:r>
    </w:p>
    <w:p w14:paraId="1DD453CD">
      <w:pPr>
        <w:spacing w:line="640" w:lineRule="exact"/>
        <w:jc w:val="center"/>
        <w:outlineLvl w:val="1"/>
      </w:pPr>
      <w:r>
        <w:rPr>
          <w:rFonts w:ascii="黑体" w:hAnsi="黑体" w:eastAsia="黑体"/>
          <w:sz w:val="32"/>
        </w:rPr>
        <w:t>第一部分 单位概况</w:t>
      </w:r>
    </w:p>
    <w:p w14:paraId="75FD7F59">
      <w:pPr>
        <w:spacing w:line="640" w:lineRule="exact"/>
        <w:ind w:firstLine="640"/>
        <w:jc w:val="both"/>
        <w:outlineLvl w:val="2"/>
      </w:pPr>
      <w:r>
        <w:rPr>
          <w:rFonts w:ascii="黑体" w:hAnsi="黑体" w:eastAsia="黑体"/>
          <w:sz w:val="32"/>
        </w:rPr>
        <w:t>一、主要职能</w:t>
      </w:r>
    </w:p>
    <w:p w14:paraId="18C6C827">
      <w:pPr>
        <w:spacing w:line="580" w:lineRule="exact"/>
        <w:ind w:firstLine="640"/>
        <w:jc w:val="both"/>
      </w:pPr>
      <w:r>
        <w:rPr>
          <w:rFonts w:ascii="仿宋_GB2312" w:hAnsi="仿宋_GB2312" w:eastAsia="仿宋_GB2312"/>
          <w:sz w:val="32"/>
        </w:rPr>
        <w:t>（一）参与制定审计、财经方面的地方性法规、规章和其他规范性文件；规范企业、行政事业等各经济管理部门的行为，为政府和上级领导提供宏观决策依据。</w:t>
      </w:r>
    </w:p>
    <w:p w14:paraId="131CC694">
      <w:pPr>
        <w:spacing w:line="580" w:lineRule="exact"/>
        <w:ind w:firstLine="640"/>
        <w:jc w:val="both"/>
      </w:pPr>
      <w:r>
        <w:rPr>
          <w:rFonts w:ascii="仿宋_GB2312" w:hAnsi="仿宋_GB2312" w:eastAsia="仿宋_GB2312"/>
          <w:sz w:val="32"/>
        </w:rPr>
        <w:t>（二）在县人民政府和上一级审计机关的领导下，对本级预算执行情况进行审计监督，向本级人民政府和上一级审计机关提出审计结果报告。</w:t>
      </w:r>
    </w:p>
    <w:p w14:paraId="15820618">
      <w:pPr>
        <w:spacing w:line="580" w:lineRule="exact"/>
        <w:ind w:firstLine="640"/>
        <w:jc w:val="both"/>
      </w:pPr>
      <w:r>
        <w:rPr>
          <w:rFonts w:ascii="仿宋_GB2312" w:hAnsi="仿宋_GB2312" w:eastAsia="仿宋_GB2312"/>
          <w:sz w:val="32"/>
        </w:rPr>
        <w:t>（三）依据《中华人民共和国审计法》等法律法规，直接进行下列审计。</w:t>
      </w:r>
    </w:p>
    <w:p w14:paraId="400CC202">
      <w:pPr>
        <w:spacing w:line="580" w:lineRule="exact"/>
        <w:ind w:firstLine="640"/>
        <w:jc w:val="both"/>
      </w:pPr>
      <w:r>
        <w:rPr>
          <w:rFonts w:ascii="仿宋_GB2312" w:hAnsi="仿宋_GB2312" w:eastAsia="仿宋_GB2312"/>
          <w:sz w:val="32"/>
        </w:rPr>
        <w:t>1.县级财政预算执行情况和其他财政收支。</w:t>
      </w:r>
    </w:p>
    <w:p w14:paraId="4732096A">
      <w:pPr>
        <w:spacing w:line="580" w:lineRule="exact"/>
        <w:ind w:firstLine="640"/>
        <w:jc w:val="both"/>
      </w:pPr>
      <w:r>
        <w:rPr>
          <w:rFonts w:ascii="仿宋_GB2312" w:hAnsi="仿宋_GB2312" w:eastAsia="仿宋_GB2312"/>
          <w:sz w:val="32"/>
        </w:rPr>
        <w:t>2.对本级人民政府各部门和乡（镇）政府预算的执行情况和决算以及预算外资金的管理和使用情况进行审计监督。</w:t>
      </w:r>
    </w:p>
    <w:p w14:paraId="5A458426">
      <w:pPr>
        <w:spacing w:line="580" w:lineRule="exact"/>
        <w:ind w:firstLine="640"/>
        <w:jc w:val="both"/>
      </w:pPr>
      <w:r>
        <w:rPr>
          <w:rFonts w:ascii="仿宋_GB2312" w:hAnsi="仿宋_GB2312" w:eastAsia="仿宋_GB2312"/>
          <w:sz w:val="32"/>
        </w:rPr>
        <w:t>3.对本县地方性金融机构的资产、负债、损益情况进行审计，对本级地方性非银行金融机构进行审计监督。</w:t>
      </w:r>
    </w:p>
    <w:p w14:paraId="235FB90A">
      <w:pPr>
        <w:spacing w:line="580" w:lineRule="exact"/>
        <w:ind w:firstLine="640"/>
        <w:jc w:val="both"/>
      </w:pPr>
      <w:r>
        <w:rPr>
          <w:rFonts w:ascii="仿宋_GB2312" w:hAnsi="仿宋_GB2312" w:eastAsia="仿宋_GB2312"/>
          <w:sz w:val="32"/>
        </w:rPr>
        <w:t>4.按照国家有关规定，对本县属于审计机关审计监督对象的其他单位的主要负责人，在任职期间对本部门或者本单位的财政收支、财务收支以及有关经济活动应负经济责任的履行情况，进行审计监督。</w:t>
      </w:r>
    </w:p>
    <w:p w14:paraId="3B2B904B">
      <w:pPr>
        <w:spacing w:line="580" w:lineRule="exact"/>
        <w:ind w:firstLine="640"/>
        <w:jc w:val="both"/>
      </w:pPr>
      <w:r>
        <w:rPr>
          <w:rFonts w:ascii="仿宋_GB2312" w:hAnsi="仿宋_GB2312" w:eastAsia="仿宋_GB2312"/>
          <w:sz w:val="32"/>
        </w:rPr>
        <w:t>5.对县属国有企业的资产、负债、损益情况和国有资产保值、增值情况进行审计监督。</w:t>
      </w:r>
    </w:p>
    <w:p w14:paraId="06C39BC2">
      <w:pPr>
        <w:spacing w:line="580" w:lineRule="exact"/>
        <w:ind w:firstLine="640"/>
        <w:jc w:val="both"/>
      </w:pPr>
      <w:r>
        <w:rPr>
          <w:rFonts w:ascii="仿宋_GB2312" w:hAnsi="仿宋_GB2312" w:eastAsia="仿宋_GB2312"/>
          <w:sz w:val="32"/>
        </w:rPr>
        <w:t>6.对有国家资金或接受财政补贴的事业组织和使用财政资金的其他事业组织的财务收支，进行审计监督。</w:t>
      </w:r>
    </w:p>
    <w:p w14:paraId="516847EF">
      <w:pPr>
        <w:spacing w:line="580" w:lineRule="exact"/>
        <w:ind w:firstLine="640"/>
        <w:jc w:val="both"/>
      </w:pPr>
      <w:r>
        <w:rPr>
          <w:rFonts w:ascii="仿宋_GB2312" w:hAnsi="仿宋_GB2312" w:eastAsia="仿宋_GB2312"/>
          <w:sz w:val="32"/>
        </w:rPr>
        <w:t>7.对政府投资和以政府投资为主的建设项目的预算执行情况和决算，进行审计监督。</w:t>
      </w:r>
    </w:p>
    <w:p w14:paraId="7D9DB538">
      <w:pPr>
        <w:spacing w:line="580" w:lineRule="exact"/>
        <w:ind w:firstLine="640"/>
        <w:jc w:val="both"/>
      </w:pPr>
      <w:r>
        <w:rPr>
          <w:rFonts w:ascii="仿宋_GB2312" w:hAnsi="仿宋_GB2312" w:eastAsia="仿宋_GB2312"/>
          <w:sz w:val="32"/>
        </w:rPr>
        <w:t>8.对政府部门管理的其他单位受政府委托管理的社会保障基金、社会捐赠资金以及其他有关基金、资金的财务收支，进行审计监督。</w:t>
      </w:r>
    </w:p>
    <w:p w14:paraId="0BDC20E7">
      <w:pPr>
        <w:spacing w:line="580" w:lineRule="exact"/>
        <w:ind w:firstLine="640"/>
        <w:jc w:val="both"/>
      </w:pPr>
      <w:r>
        <w:rPr>
          <w:rFonts w:ascii="仿宋_GB2312" w:hAnsi="仿宋_GB2312" w:eastAsia="仿宋_GB2312"/>
          <w:sz w:val="32"/>
        </w:rPr>
        <w:t>9.对与县级财政收支有关的特定事项，向有关部门、单位进行专项审计和审计调查。</w:t>
      </w:r>
    </w:p>
    <w:p w14:paraId="44BFB6B9">
      <w:pPr>
        <w:spacing w:line="580" w:lineRule="exact"/>
        <w:ind w:firstLine="640"/>
        <w:jc w:val="both"/>
      </w:pPr>
      <w:r>
        <w:rPr>
          <w:rFonts w:ascii="仿宋_GB2312" w:hAnsi="仿宋_GB2312" w:eastAsia="仿宋_GB2312"/>
          <w:sz w:val="32"/>
        </w:rPr>
        <w:t>10.对其他法律、行政法规规定应当由审计机关进行审计的事项，进行审计监督。</w:t>
      </w:r>
    </w:p>
    <w:p w14:paraId="752D1010">
      <w:pPr>
        <w:spacing w:line="580" w:lineRule="exact"/>
        <w:ind w:firstLine="640"/>
        <w:jc w:val="both"/>
      </w:pPr>
      <w:r>
        <w:rPr>
          <w:rFonts w:ascii="仿宋_GB2312" w:hAnsi="仿宋_GB2312" w:eastAsia="仿宋_GB2312"/>
          <w:sz w:val="32"/>
        </w:rPr>
        <w:t>11.承办县人民政府及上级部门交办的其他工作。</w:t>
      </w:r>
    </w:p>
    <w:p w14:paraId="2483C34C">
      <w:pPr>
        <w:spacing w:line="640" w:lineRule="exact"/>
        <w:ind w:firstLine="640"/>
        <w:jc w:val="both"/>
        <w:outlineLvl w:val="2"/>
      </w:pPr>
      <w:r>
        <w:rPr>
          <w:rFonts w:ascii="黑体" w:hAnsi="黑体" w:eastAsia="黑体"/>
          <w:sz w:val="32"/>
        </w:rPr>
        <w:t>二、机构设置及人员情况</w:t>
      </w:r>
    </w:p>
    <w:p w14:paraId="50954FC2">
      <w:pPr>
        <w:spacing w:line="580" w:lineRule="exact"/>
        <w:ind w:firstLine="640"/>
        <w:jc w:val="both"/>
      </w:pPr>
      <w:r>
        <w:rPr>
          <w:rFonts w:ascii="仿宋_GB2312" w:hAnsi="仿宋_GB2312" w:eastAsia="仿宋_GB2312"/>
          <w:sz w:val="32"/>
        </w:rPr>
        <w:t>托里县审计局2024年度，实有人数28人，其中：在职人员19人，减少1人；离休人员0人，增加0人；退休人员9人,增加2人。</w:t>
      </w:r>
    </w:p>
    <w:p w14:paraId="363792C1">
      <w:pPr>
        <w:spacing w:line="580" w:lineRule="exact"/>
        <w:ind w:firstLine="640"/>
        <w:jc w:val="both"/>
      </w:pPr>
      <w:r>
        <w:rPr>
          <w:rFonts w:ascii="仿宋_GB2312" w:hAnsi="仿宋_GB2312" w:eastAsia="仿宋_GB2312"/>
          <w:sz w:val="32"/>
        </w:rPr>
        <w:t>托里县审计局无下属预算单位，下设5个科室，分别是：办公室、法制股、综合股、经责股、投资股。</w:t>
      </w:r>
    </w:p>
    <w:p w14:paraId="569BEF95">
      <w:r>
        <w:br w:type="page"/>
      </w:r>
    </w:p>
    <w:p w14:paraId="5F76359C">
      <w:pPr>
        <w:spacing w:line="240" w:lineRule="auto"/>
        <w:jc w:val="center"/>
        <w:outlineLvl w:val="1"/>
      </w:pPr>
      <w:r>
        <w:rPr>
          <w:rFonts w:ascii="黑体" w:hAnsi="黑体" w:eastAsia="黑体"/>
          <w:sz w:val="32"/>
        </w:rPr>
        <w:t>第二部分 部门决算情况说明</w:t>
      </w:r>
    </w:p>
    <w:p w14:paraId="4BCA9778">
      <w:pPr>
        <w:spacing w:line="640" w:lineRule="exact"/>
        <w:ind w:firstLine="640"/>
        <w:jc w:val="both"/>
        <w:outlineLvl w:val="2"/>
      </w:pPr>
      <w:r>
        <w:rPr>
          <w:rFonts w:ascii="黑体" w:hAnsi="黑体" w:eastAsia="黑体"/>
          <w:sz w:val="32"/>
        </w:rPr>
        <w:t>一、收入支出决算总体情况说明</w:t>
      </w:r>
    </w:p>
    <w:p w14:paraId="1D68C5FA">
      <w:pPr>
        <w:spacing w:line="580" w:lineRule="exact"/>
        <w:ind w:firstLine="640"/>
        <w:jc w:val="both"/>
      </w:pPr>
      <w:r>
        <w:rPr>
          <w:rFonts w:ascii="仿宋_GB2312" w:hAnsi="仿宋_GB2312" w:eastAsia="仿宋_GB2312"/>
          <w:b/>
          <w:sz w:val="32"/>
        </w:rPr>
        <w:t>2024年度收入总计442.51万元，</w:t>
      </w:r>
      <w:r>
        <w:rPr>
          <w:rFonts w:ascii="仿宋_GB2312" w:hAnsi="仿宋_GB2312" w:eastAsia="仿宋_GB2312"/>
          <w:b w:val="0"/>
          <w:sz w:val="32"/>
        </w:rPr>
        <w:t>其中：本年收入合计434.48万元，使用非财政拨款结余（含专用结余）0.00万元，年初结转和结余8.03万元。</w:t>
      </w:r>
    </w:p>
    <w:p w14:paraId="2BBCB0AB">
      <w:pPr>
        <w:spacing w:line="580" w:lineRule="exact"/>
        <w:ind w:firstLine="640"/>
        <w:jc w:val="both"/>
      </w:pPr>
      <w:r>
        <w:rPr>
          <w:rFonts w:ascii="仿宋_GB2312" w:hAnsi="仿宋_GB2312" w:eastAsia="仿宋_GB2312"/>
          <w:b/>
          <w:sz w:val="32"/>
        </w:rPr>
        <w:t>2024年度支出总计442.51万元，</w:t>
      </w:r>
      <w:r>
        <w:rPr>
          <w:rFonts w:ascii="仿宋_GB2312" w:hAnsi="仿宋_GB2312" w:eastAsia="仿宋_GB2312"/>
          <w:b w:val="0"/>
          <w:sz w:val="32"/>
        </w:rPr>
        <w:t>其中：本年支出合计437.48万元，结余分配0.00万元，年末结转和结余5.02万元。</w:t>
      </w:r>
    </w:p>
    <w:p w14:paraId="6AF9701D">
      <w:pPr>
        <w:spacing w:line="580" w:lineRule="exact"/>
        <w:ind w:firstLine="640"/>
        <w:jc w:val="both"/>
      </w:pPr>
      <w:r>
        <w:rPr>
          <w:rFonts w:ascii="仿宋_GB2312" w:hAnsi="仿宋_GB2312" w:eastAsia="仿宋_GB2312"/>
          <w:b w:val="0"/>
          <w:sz w:val="32"/>
        </w:rPr>
        <w:t>收入支出总体与上年相比，增加31.20万元，增长7.59%，主要原因是：本年在职人员工资调增、社保、公积金基数调增，补发绩效工资考核绩效等，人员经费增加；本年增加业务委托审计费项目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本年增加辽宁援疆项目-审计产生差旅费及办公费</w:t>
      </w:r>
      <w:r>
        <w:rPr>
          <w:rFonts w:ascii="仿宋_GB2312" w:hAnsi="仿宋_GB2312" w:eastAsia="仿宋_GB2312"/>
          <w:b w:val="0"/>
          <w:sz w:val="32"/>
        </w:rPr>
        <w:t>。</w:t>
      </w:r>
    </w:p>
    <w:p w14:paraId="1D3783E7">
      <w:pPr>
        <w:spacing w:line="640" w:lineRule="exact"/>
        <w:ind w:firstLine="640"/>
        <w:jc w:val="both"/>
        <w:outlineLvl w:val="2"/>
      </w:pPr>
      <w:r>
        <w:rPr>
          <w:rFonts w:ascii="黑体" w:hAnsi="黑体" w:eastAsia="黑体"/>
          <w:sz w:val="32"/>
        </w:rPr>
        <w:t>二、收入决算情况说明</w:t>
      </w:r>
    </w:p>
    <w:p w14:paraId="59AD9CC5">
      <w:pPr>
        <w:spacing w:line="580" w:lineRule="exact"/>
        <w:ind w:firstLine="640"/>
        <w:jc w:val="both"/>
      </w:pPr>
      <w:r>
        <w:rPr>
          <w:rFonts w:ascii="仿宋_GB2312" w:hAnsi="仿宋_GB2312" w:eastAsia="仿宋_GB2312"/>
          <w:b/>
          <w:sz w:val="32"/>
        </w:rPr>
        <w:t>本年收入434.48万元，</w:t>
      </w:r>
      <w:r>
        <w:rPr>
          <w:rFonts w:ascii="仿宋_GB2312" w:hAnsi="仿宋_GB2312" w:eastAsia="仿宋_GB2312"/>
          <w:b w:val="0"/>
          <w:sz w:val="32"/>
        </w:rPr>
        <w:t>其中：财政拨款收入405.10万元，占93.24%；上级补助收入0.00万元，占0.00%；事业收入0.00万元，占0.00%；经营收入0.00万元，占0.00%；附属单位上缴收入0.00万元，占0.00%；其他收入29.39万元，占6.76%。</w:t>
      </w:r>
    </w:p>
    <w:p w14:paraId="3FE949AD">
      <w:pPr>
        <w:spacing w:line="640" w:lineRule="exact"/>
        <w:ind w:firstLine="640"/>
        <w:jc w:val="both"/>
        <w:outlineLvl w:val="2"/>
      </w:pPr>
      <w:r>
        <w:rPr>
          <w:rFonts w:ascii="黑体" w:hAnsi="黑体" w:eastAsia="黑体"/>
          <w:sz w:val="32"/>
        </w:rPr>
        <w:t>三、支出决算情况说明</w:t>
      </w:r>
    </w:p>
    <w:p w14:paraId="2C79BB2B">
      <w:pPr>
        <w:spacing w:line="580" w:lineRule="exact"/>
        <w:ind w:firstLine="640"/>
        <w:jc w:val="both"/>
      </w:pPr>
      <w:r>
        <w:rPr>
          <w:rFonts w:ascii="仿宋_GB2312" w:hAnsi="仿宋_GB2312" w:eastAsia="仿宋_GB2312"/>
          <w:b/>
          <w:sz w:val="32"/>
        </w:rPr>
        <w:t>本年支出437.48万元，</w:t>
      </w:r>
      <w:r>
        <w:rPr>
          <w:rFonts w:ascii="仿宋_GB2312" w:hAnsi="仿宋_GB2312" w:eastAsia="仿宋_GB2312"/>
          <w:b w:val="0"/>
          <w:sz w:val="32"/>
        </w:rPr>
        <w:t>其中：基本支出405.10万元，占92.60%；项目支出32.39万元，占7.40%；上缴上级支出0.00万元，占0.00%；经营支出0.00万元，占0.00%；对附属单位补助支出0.00万元，占0.00%。</w:t>
      </w:r>
    </w:p>
    <w:p w14:paraId="1BB6D6EF">
      <w:pPr>
        <w:spacing w:line="640" w:lineRule="exact"/>
        <w:ind w:firstLine="640"/>
        <w:jc w:val="both"/>
        <w:outlineLvl w:val="2"/>
      </w:pPr>
      <w:r>
        <w:rPr>
          <w:rFonts w:ascii="黑体" w:hAnsi="黑体" w:eastAsia="黑体"/>
          <w:sz w:val="32"/>
        </w:rPr>
        <w:t>四、财政拨款收入支出决算总体情况说明</w:t>
      </w:r>
    </w:p>
    <w:p w14:paraId="16D44C45">
      <w:pPr>
        <w:spacing w:line="580" w:lineRule="exact"/>
        <w:ind w:firstLine="640"/>
        <w:jc w:val="both"/>
      </w:pPr>
      <w:r>
        <w:rPr>
          <w:rFonts w:ascii="仿宋_GB2312" w:hAnsi="仿宋_GB2312" w:eastAsia="仿宋_GB2312"/>
          <w:b/>
          <w:sz w:val="32"/>
        </w:rPr>
        <w:t>2024年度财政拨款收入总计405.10万元，</w:t>
      </w:r>
      <w:r>
        <w:rPr>
          <w:rFonts w:ascii="仿宋_GB2312" w:hAnsi="仿宋_GB2312" w:eastAsia="仿宋_GB2312"/>
          <w:b w:val="0"/>
          <w:sz w:val="32"/>
        </w:rPr>
        <w:t>其中：年初财政拨款结转和结余0.00万元，本年财政拨款收入405.10万元。</w:t>
      </w:r>
      <w:r>
        <w:rPr>
          <w:rFonts w:ascii="仿宋_GB2312" w:hAnsi="仿宋_GB2312" w:eastAsia="仿宋_GB2312"/>
          <w:b/>
          <w:sz w:val="32"/>
        </w:rPr>
        <w:t>财政拨款支出总计405.10万元，</w:t>
      </w:r>
      <w:r>
        <w:rPr>
          <w:rFonts w:ascii="仿宋_GB2312" w:hAnsi="仿宋_GB2312" w:eastAsia="仿宋_GB2312"/>
          <w:b w:val="0"/>
          <w:sz w:val="32"/>
        </w:rPr>
        <w:t>其中：年末财政拨款结转和结余0.00万元，本年财政拨款支出405.10万元。</w:t>
      </w:r>
    </w:p>
    <w:p w14:paraId="77B64BC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增加19.17万元，增长4.97%，主要原因是：本年在职人员工资调增、社保、公积金基数调增，补发绩效工资考核绩效等，人员经费增加；本年增加业务委托审计费项目。</w:t>
      </w:r>
      <w:r>
        <w:rPr>
          <w:rFonts w:ascii="仿宋_GB2312" w:hAnsi="仿宋_GB2312" w:eastAsia="仿宋_GB2312"/>
          <w:b/>
          <w:sz w:val="32"/>
        </w:rPr>
        <w:t>与年初预算相比，</w:t>
      </w:r>
      <w:r>
        <w:rPr>
          <w:rFonts w:ascii="仿宋_GB2312" w:hAnsi="仿宋_GB2312" w:eastAsia="仿宋_GB2312"/>
          <w:b w:val="0"/>
          <w:sz w:val="32"/>
        </w:rPr>
        <w:t>年初预算数379.94万元，决算数405.10万元，预决算差异率6.62%，主要原因是：年中追加业务委托审计费项目资金，导致预决算存在差异。</w:t>
      </w:r>
    </w:p>
    <w:p w14:paraId="46D3AAB6">
      <w:pPr>
        <w:spacing w:line="640" w:lineRule="exact"/>
        <w:ind w:firstLine="640"/>
        <w:jc w:val="both"/>
        <w:outlineLvl w:val="2"/>
      </w:pPr>
      <w:r>
        <w:rPr>
          <w:rFonts w:ascii="黑体" w:hAnsi="黑体" w:eastAsia="黑体"/>
          <w:sz w:val="32"/>
        </w:rPr>
        <w:t>五、一般公共预算财政拨款支出决算情况说明</w:t>
      </w:r>
    </w:p>
    <w:p w14:paraId="36E1412B">
      <w:pPr>
        <w:spacing w:line="640" w:lineRule="exact"/>
        <w:ind w:firstLine="640"/>
        <w:jc w:val="both"/>
        <w:outlineLvl w:val="3"/>
      </w:pPr>
      <w:r>
        <w:rPr>
          <w:rFonts w:ascii="楷体_GB2312" w:hAnsi="楷体_GB2312" w:eastAsia="楷体_GB2312"/>
          <w:b/>
          <w:sz w:val="32"/>
        </w:rPr>
        <w:t>（一）一般公共预算财政拨款支出决算总体情况</w:t>
      </w:r>
    </w:p>
    <w:p w14:paraId="4EE016E4">
      <w:pPr>
        <w:spacing w:line="580" w:lineRule="exact"/>
        <w:ind w:firstLine="640"/>
        <w:jc w:val="both"/>
      </w:pPr>
      <w:r>
        <w:rPr>
          <w:rFonts w:ascii="仿宋_GB2312" w:hAnsi="仿宋_GB2312" w:eastAsia="仿宋_GB2312"/>
          <w:b/>
          <w:sz w:val="32"/>
        </w:rPr>
        <w:t>2024年度一般公共预算财政拨款支出405.10万元，</w:t>
      </w:r>
      <w:r>
        <w:rPr>
          <w:rFonts w:ascii="仿宋_GB2312" w:hAnsi="仿宋_GB2312" w:eastAsia="仿宋_GB2312"/>
          <w:b w:val="0"/>
          <w:sz w:val="32"/>
        </w:rPr>
        <w:t>占本年支出合计的92.60%。</w:t>
      </w:r>
      <w:r>
        <w:rPr>
          <w:rFonts w:ascii="仿宋_GB2312" w:hAnsi="仿宋_GB2312" w:eastAsia="仿宋_GB2312"/>
          <w:b/>
          <w:sz w:val="32"/>
        </w:rPr>
        <w:t>与上年相比，</w:t>
      </w:r>
      <w:r>
        <w:rPr>
          <w:rFonts w:ascii="仿宋_GB2312" w:hAnsi="仿宋_GB2312" w:eastAsia="仿宋_GB2312"/>
          <w:b w:val="0"/>
          <w:sz w:val="32"/>
        </w:rPr>
        <w:t>增加19.17万元，增长4.97%，主要原因是：本年在职人员工资调增、社保、公积金基数调增，补发绩效工资考核绩效等，人员经费增加；本年增加业务委托审计费项目。</w:t>
      </w:r>
      <w:r>
        <w:rPr>
          <w:rFonts w:ascii="仿宋_GB2312" w:hAnsi="仿宋_GB2312" w:eastAsia="仿宋_GB2312"/>
          <w:b/>
          <w:sz w:val="32"/>
        </w:rPr>
        <w:t>与年初预算相比,</w:t>
      </w:r>
      <w:r>
        <w:rPr>
          <w:rFonts w:ascii="仿宋_GB2312" w:hAnsi="仿宋_GB2312" w:eastAsia="仿宋_GB2312"/>
          <w:b w:val="0"/>
          <w:sz w:val="32"/>
        </w:rPr>
        <w:t>年初预算数379.94万元，决算数405.10万元，预决算差异率6.62%，主要原因是：年中追加业务委托审计费项目资金，导致预决算存在差异。</w:t>
      </w:r>
    </w:p>
    <w:p w14:paraId="5BAF3EC3">
      <w:pPr>
        <w:spacing w:line="640" w:lineRule="exact"/>
        <w:ind w:firstLine="640"/>
        <w:jc w:val="both"/>
        <w:outlineLvl w:val="3"/>
      </w:pPr>
      <w:r>
        <w:rPr>
          <w:rFonts w:ascii="楷体_GB2312" w:hAnsi="楷体_GB2312" w:eastAsia="楷体_GB2312"/>
          <w:b/>
          <w:sz w:val="32"/>
        </w:rPr>
        <w:t>（二）一般公共预算财政拨款支出决算结构情况</w:t>
      </w:r>
    </w:p>
    <w:p w14:paraId="5C9BF869">
      <w:pPr>
        <w:spacing w:line="580" w:lineRule="exact"/>
        <w:ind w:firstLine="640"/>
        <w:jc w:val="both"/>
      </w:pPr>
      <w:r>
        <w:rPr>
          <w:rFonts w:ascii="仿宋_GB2312" w:hAnsi="仿宋_GB2312" w:eastAsia="仿宋_GB2312"/>
          <w:b w:val="0"/>
          <w:sz w:val="32"/>
        </w:rPr>
        <w:t>1.一般公共服务支出(类)302.50万元,占74.67%。</w:t>
      </w:r>
    </w:p>
    <w:p w14:paraId="66E1FB8F">
      <w:pPr>
        <w:spacing w:line="580" w:lineRule="exact"/>
        <w:ind w:firstLine="640"/>
        <w:jc w:val="both"/>
      </w:pPr>
      <w:r>
        <w:rPr>
          <w:rFonts w:ascii="仿宋_GB2312" w:hAnsi="仿宋_GB2312" w:eastAsia="仿宋_GB2312"/>
          <w:b w:val="0"/>
          <w:sz w:val="32"/>
        </w:rPr>
        <w:t>2.社会保障和就业支出(类)55.44万元,占13.69%。</w:t>
      </w:r>
    </w:p>
    <w:p w14:paraId="6F7F4979">
      <w:pPr>
        <w:spacing w:line="580" w:lineRule="exact"/>
        <w:ind w:firstLine="640"/>
        <w:jc w:val="both"/>
      </w:pPr>
      <w:r>
        <w:rPr>
          <w:rFonts w:ascii="仿宋_GB2312" w:hAnsi="仿宋_GB2312" w:eastAsia="仿宋_GB2312"/>
          <w:b w:val="0"/>
          <w:sz w:val="32"/>
        </w:rPr>
        <w:t>3.卫生健康支出(类)19.83万元,占4.90%。</w:t>
      </w:r>
    </w:p>
    <w:p w14:paraId="365CC297">
      <w:pPr>
        <w:spacing w:line="580" w:lineRule="exact"/>
        <w:ind w:firstLine="640"/>
        <w:jc w:val="both"/>
      </w:pPr>
      <w:r>
        <w:rPr>
          <w:rFonts w:ascii="仿宋_GB2312" w:hAnsi="仿宋_GB2312" w:eastAsia="仿宋_GB2312"/>
          <w:b w:val="0"/>
          <w:sz w:val="32"/>
        </w:rPr>
        <w:t>4.住房保障支出(类)27.33万元,占6.75%。</w:t>
      </w:r>
    </w:p>
    <w:p w14:paraId="6077333D">
      <w:pPr>
        <w:spacing w:line="640" w:lineRule="exact"/>
        <w:ind w:firstLine="640"/>
        <w:jc w:val="both"/>
        <w:outlineLvl w:val="3"/>
      </w:pPr>
      <w:r>
        <w:rPr>
          <w:rFonts w:ascii="楷体_GB2312" w:hAnsi="楷体_GB2312" w:eastAsia="楷体_GB2312"/>
          <w:b/>
          <w:sz w:val="32"/>
        </w:rPr>
        <w:t>（三）一般公共预算财政拨款支出决算具体情况</w:t>
      </w:r>
    </w:p>
    <w:p w14:paraId="4280DF2C">
      <w:pPr>
        <w:spacing w:line="580" w:lineRule="exact"/>
        <w:ind w:firstLine="640"/>
        <w:jc w:val="both"/>
      </w:pPr>
      <w:r>
        <w:rPr>
          <w:rFonts w:ascii="仿宋_GB2312" w:hAnsi="仿宋_GB2312" w:eastAsia="仿宋_GB2312"/>
          <w:b w:val="0"/>
          <w:sz w:val="32"/>
        </w:rPr>
        <w:t>1.一般公共服务支出(类)审计事务(款)行政运行(项):支出决算数为302.50万元，比上年决算增加18.16万元，增长6.39%,主要原因是：本年在职人员工资调增，补发绩效工资考核绩效等，人员经费增加。</w:t>
      </w:r>
    </w:p>
    <w:p w14:paraId="186E9D7E">
      <w:pPr>
        <w:spacing w:line="580" w:lineRule="exact"/>
        <w:ind w:firstLine="640"/>
        <w:jc w:val="both"/>
      </w:pPr>
      <w:r>
        <w:rPr>
          <w:rFonts w:ascii="仿宋_GB2312" w:hAnsi="仿宋_GB2312" w:eastAsia="仿宋_GB2312"/>
          <w:b w:val="0"/>
          <w:sz w:val="32"/>
        </w:rPr>
        <w:t>2.一般公共服务支出(类)审计事务(款)审计业务(项):支出决算数为0.00万元，比上年决算减少14.05万元，下降100.00%,主要原因是：本年未安排乡村振兴专项审计支出，相关支出减少。</w:t>
      </w:r>
    </w:p>
    <w:p w14:paraId="1D759EB4">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3.社会保障和就业支出(类)行政事业单位养老支出(款)行政单位离退休(项):支出决算数为6.03万元，比上年决算增加1.59万元，增长35.81%,主要原因是：本年退休人员增加，退休费支出增加。</w:t>
      </w:r>
    </w:p>
    <w:p w14:paraId="0AE464F5">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33.06万元，比上年决算增加1.89万元，增长6.06%,主要原因是：本年在职人员工资基数调增，养老缴费基数上涨，相应支出增加。</w:t>
      </w:r>
    </w:p>
    <w:p w14:paraId="1E15A6BE">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5.社会保障和就业支出(类)行政事业单位养老支出(款)机关事业单位职业年金缴费支出(项):支出决算数为16.35万元，比上年决算增加8.56万元，增长109.88%,主要原因是：本年新增退休人员，职业年金缴费支出增加。</w:t>
      </w:r>
    </w:p>
    <w:p w14:paraId="66C7185A">
      <w:pPr>
        <w:spacing w:line="580" w:lineRule="exact"/>
        <w:ind w:firstLine="640"/>
        <w:jc w:val="both"/>
      </w:pPr>
      <w:r>
        <w:rPr>
          <w:rFonts w:ascii="仿宋_GB2312" w:hAnsi="仿宋_GB2312" w:eastAsia="仿宋_GB2312"/>
          <w:b w:val="0"/>
          <w:sz w:val="32"/>
        </w:rPr>
        <w:t>6.卫生健康支出(类)行政事业单位医疗(款)行政单位医疗(项):支出决算数为14.74万元，比上年决算增加0.69万元，增长4.91%,主要原因是：本年在职人员工资基数调增，医疗缴费基数上涨，相应支出增加。</w:t>
      </w:r>
    </w:p>
    <w:p w14:paraId="1EE53FD1">
      <w:pPr>
        <w:spacing w:line="580" w:lineRule="exact"/>
        <w:ind w:firstLine="640"/>
        <w:jc w:val="both"/>
      </w:pPr>
      <w:r>
        <w:rPr>
          <w:rFonts w:ascii="仿宋_GB2312" w:hAnsi="仿宋_GB2312" w:eastAsia="仿宋_GB2312"/>
          <w:b w:val="0"/>
          <w:sz w:val="32"/>
        </w:rPr>
        <w:t>7.卫生健康支出(类)行政事业单位医疗(款)公务员医疗补助(项):支出决算数为5.08万元，比上年决算增加0.09万元，增长1.80%,主要原因是：本年在职人员工资基数调增，医疗缴费基数上涨，相应支出增加。</w:t>
      </w:r>
    </w:p>
    <w:p w14:paraId="651A6825">
      <w:pPr>
        <w:spacing w:line="580" w:lineRule="exact"/>
        <w:ind w:firstLine="640"/>
        <w:jc w:val="both"/>
      </w:pPr>
      <w:r>
        <w:rPr>
          <w:rFonts w:ascii="仿宋_GB2312" w:hAnsi="仿宋_GB2312" w:eastAsia="仿宋_GB2312"/>
          <w:b w:val="0"/>
          <w:sz w:val="32"/>
        </w:rPr>
        <w:t>8.住房保障支出(类)住房改革支出(款)住房公积金(项):支出决算数为27.33万元，比上年决算增加2.23万元，增长8.88%,主要原因是：本年在职人员工资基数调增，公积金缴费基数上涨，相应支出增加。</w:t>
      </w:r>
    </w:p>
    <w:p w14:paraId="1ADCF35E">
      <w:pPr>
        <w:spacing w:line="640" w:lineRule="exact"/>
        <w:ind w:firstLine="640"/>
        <w:jc w:val="both"/>
        <w:outlineLvl w:val="2"/>
      </w:pPr>
      <w:r>
        <w:rPr>
          <w:rFonts w:ascii="黑体" w:hAnsi="黑体" w:eastAsia="黑体"/>
          <w:sz w:val="32"/>
        </w:rPr>
        <w:t>六、一般公共预算财政拨款基本支出决算情况说明</w:t>
      </w:r>
    </w:p>
    <w:p w14:paraId="1D58B5DF">
      <w:pPr>
        <w:spacing w:line="580" w:lineRule="exact"/>
        <w:ind w:firstLine="640"/>
        <w:jc w:val="both"/>
      </w:pPr>
      <w:r>
        <w:rPr>
          <w:rFonts w:ascii="仿宋_GB2312" w:hAnsi="仿宋_GB2312" w:eastAsia="仿宋_GB2312"/>
          <w:b w:val="0"/>
          <w:sz w:val="32"/>
        </w:rPr>
        <w:t>2024年度一般公共预算财政拨款基本支出405.10万元，其中：</w:t>
      </w:r>
      <w:r>
        <w:rPr>
          <w:rFonts w:ascii="仿宋_GB2312" w:hAnsi="仿宋_GB2312" w:eastAsia="仿宋_GB2312"/>
          <w:b/>
          <w:sz w:val="32"/>
        </w:rPr>
        <w:t>人员经费388.37万元，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医疗费补助、奖励金。</w:t>
      </w:r>
    </w:p>
    <w:p w14:paraId="69286ECF">
      <w:pPr>
        <w:spacing w:line="580" w:lineRule="exact"/>
        <w:ind w:firstLine="640"/>
        <w:jc w:val="both"/>
      </w:pPr>
      <w:r>
        <w:rPr>
          <w:rFonts w:ascii="仿宋_GB2312" w:hAnsi="仿宋_GB2312" w:eastAsia="仿宋_GB2312"/>
          <w:b/>
          <w:sz w:val="32"/>
        </w:rPr>
        <w:t>公用经费16.73万元，</w:t>
      </w:r>
      <w:r>
        <w:rPr>
          <w:rFonts w:ascii="仿宋_GB2312" w:hAnsi="仿宋_GB2312" w:eastAsia="仿宋_GB2312"/>
          <w:b w:val="0"/>
          <w:sz w:val="32"/>
        </w:rPr>
        <w:t>包括：办公费、邮电费、取暖费、差旅费、培训费、公务接待费、劳务费、工会经费、公务用车运行维护费。</w:t>
      </w:r>
    </w:p>
    <w:p w14:paraId="2A84ACCA">
      <w:pPr>
        <w:spacing w:line="640" w:lineRule="exact"/>
        <w:ind w:firstLine="640"/>
        <w:jc w:val="both"/>
        <w:outlineLvl w:val="2"/>
      </w:pPr>
      <w:r>
        <w:rPr>
          <w:rFonts w:ascii="黑体" w:hAnsi="黑体" w:eastAsia="黑体"/>
          <w:sz w:val="32"/>
        </w:rPr>
        <w:t>七、政府性基金预算财政拨款收入支出决算情况说明</w:t>
      </w:r>
    </w:p>
    <w:p w14:paraId="2A0EC81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7EF631D">
      <w:pPr>
        <w:spacing w:line="640" w:lineRule="exact"/>
        <w:ind w:firstLine="640"/>
        <w:jc w:val="both"/>
        <w:outlineLvl w:val="2"/>
      </w:pPr>
      <w:r>
        <w:rPr>
          <w:rFonts w:ascii="黑体" w:hAnsi="黑体" w:eastAsia="黑体"/>
          <w:sz w:val="32"/>
        </w:rPr>
        <w:t>八、国有资本经营预算财政拨款收入支出决算情况说明</w:t>
      </w:r>
    </w:p>
    <w:p w14:paraId="1F7C706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F6BBB57">
      <w:pPr>
        <w:spacing w:line="640" w:lineRule="exact"/>
        <w:ind w:firstLine="640"/>
        <w:jc w:val="both"/>
        <w:outlineLvl w:val="2"/>
      </w:pPr>
      <w:r>
        <w:rPr>
          <w:rFonts w:ascii="黑体" w:hAnsi="黑体" w:eastAsia="黑体"/>
          <w:sz w:val="32"/>
        </w:rPr>
        <w:t>九、财政拨款“三公”经费支出决算情况说明</w:t>
      </w:r>
    </w:p>
    <w:p w14:paraId="208C39EA">
      <w:pPr>
        <w:spacing w:line="580" w:lineRule="exact"/>
        <w:ind w:firstLine="640"/>
        <w:jc w:val="both"/>
      </w:pPr>
      <w:r>
        <w:rPr>
          <w:rFonts w:ascii="仿宋_GB2312" w:hAnsi="仿宋_GB2312" w:eastAsia="仿宋_GB2312"/>
          <w:b/>
          <w:sz w:val="32"/>
        </w:rPr>
        <w:t>2024年度财政拨款“三公”经费支出1.23万元，</w:t>
      </w:r>
      <w:r>
        <w:rPr>
          <w:rFonts w:ascii="仿宋_GB2312" w:hAnsi="仿宋_GB2312" w:eastAsia="仿宋_GB2312"/>
          <w:b w:val="0"/>
          <w:sz w:val="32"/>
        </w:rPr>
        <w:t>比上年减少0.44万元，下降26.51%，主要原因是：本单位严格落实中央八项规定精神，厉行节约，减少公务用车运行维护费。其中：因公出国（境）费支出0.00万元，占0.00%，比上年增加0.00万元，增长0.00%，主要原因是：2023年与2024年均未安排因公出国（境）费支出。公务用车购置及运行维护费支出1.08万元，占87.80%，比上年减少0.51万元，下降32.08%，主要原因是：本单位严格落实中央八项规定精神，厉行节约，减少公务用车运行维护费。公务接待费支出0.14万元，占11.38%，比上年增加0.07万元，增长100.00%，主要原因是：本年因业务需求，增加公务接待工作，导致公务接待费较上年增加。</w:t>
      </w:r>
    </w:p>
    <w:p w14:paraId="59193C2D">
      <w:pPr>
        <w:spacing w:line="580" w:lineRule="exact"/>
        <w:ind w:firstLine="640"/>
        <w:jc w:val="both"/>
      </w:pPr>
      <w:r>
        <w:rPr>
          <w:rFonts w:ascii="仿宋_GB2312" w:hAnsi="仿宋_GB2312" w:eastAsia="仿宋_GB2312"/>
          <w:b/>
          <w:sz w:val="32"/>
        </w:rPr>
        <w:t>具体情况如下：</w:t>
      </w:r>
    </w:p>
    <w:p w14:paraId="738A20B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96CABED">
      <w:pPr>
        <w:spacing w:line="580" w:lineRule="exact"/>
        <w:ind w:firstLine="640"/>
        <w:jc w:val="both"/>
      </w:pPr>
      <w:r>
        <w:rPr>
          <w:rFonts w:ascii="仿宋_GB2312" w:hAnsi="仿宋_GB2312" w:eastAsia="仿宋_GB2312"/>
          <w:b w:val="0"/>
          <w:sz w:val="32"/>
        </w:rPr>
        <w:t>公务用车购置及运行维护费1.08万元，其中：公务用车购置费0.00万元，公务用车运行维护费1.08万元。公务用车运行维护费开支内容包括车辆加油费、维修费、保险费、审车费。公务用车购置数0辆，公务用车保有量2辆。国有资产占用情况中固定资产车辆2辆，与公务用车保有量差异原因是：本单位固定资产车辆与公务用车保有量一致无差异。</w:t>
      </w:r>
    </w:p>
    <w:p w14:paraId="5F89B6A7">
      <w:pPr>
        <w:spacing w:line="580" w:lineRule="exact"/>
        <w:ind w:firstLine="640"/>
        <w:jc w:val="both"/>
      </w:pPr>
      <w:r>
        <w:rPr>
          <w:rFonts w:ascii="仿宋_GB2312" w:hAnsi="仿宋_GB2312" w:eastAsia="仿宋_GB2312"/>
          <w:b w:val="0"/>
          <w:sz w:val="32"/>
        </w:rPr>
        <w:t>公务接待费0.14万元，开支内容包括因上级领导检查工作，接待上级领导产生的就餐费。单位全年安排的国内公务接待2批次，24人次。</w:t>
      </w:r>
    </w:p>
    <w:p w14:paraId="511AE25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1.23万元，决算数1.23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1.08万元，决算数1.08万元，预决算差异率0.00%，主要原因是：严格按照预算执行，预决算无差异。公务接待费全年预算数0.14万元，决算数0.14万元，预决算差异率0.00%，主要原因是：严格按照预算执行，预决算无差异。</w:t>
      </w:r>
    </w:p>
    <w:p w14:paraId="61C622DA">
      <w:pPr>
        <w:spacing w:line="640" w:lineRule="exact"/>
        <w:ind w:firstLine="640"/>
        <w:jc w:val="both"/>
        <w:outlineLvl w:val="2"/>
      </w:pPr>
      <w:r>
        <w:rPr>
          <w:rFonts w:ascii="黑体" w:hAnsi="黑体" w:eastAsia="黑体"/>
          <w:sz w:val="32"/>
        </w:rPr>
        <w:t>十、其他重要事项的情况说明</w:t>
      </w:r>
    </w:p>
    <w:p w14:paraId="7C47C987">
      <w:pPr>
        <w:spacing w:line="640" w:lineRule="exact"/>
        <w:ind w:firstLine="640"/>
        <w:jc w:val="both"/>
        <w:outlineLvl w:val="3"/>
      </w:pPr>
      <w:r>
        <w:rPr>
          <w:rFonts w:ascii="楷体_GB2312" w:hAnsi="楷体_GB2312" w:eastAsia="楷体_GB2312"/>
          <w:b/>
          <w:sz w:val="32"/>
        </w:rPr>
        <w:t>（一）机关运行经费及公用经费支出情况</w:t>
      </w:r>
    </w:p>
    <w:p w14:paraId="54A91EB8">
      <w:pPr>
        <w:spacing w:line="580" w:lineRule="exact"/>
        <w:ind w:firstLine="640"/>
        <w:jc w:val="both"/>
      </w:pPr>
      <w:r>
        <w:rPr>
          <w:rFonts w:ascii="仿宋_GB2312" w:hAnsi="仿宋_GB2312" w:eastAsia="仿宋_GB2312"/>
          <w:b w:val="0"/>
          <w:sz w:val="32"/>
        </w:rPr>
        <w:t>2024年度托里县审计局（行政单位和参照公务员法管理事业单位）机关运行经费支出16.73万元，比上年增加0.86万元，增长5.42%，主要原因是：本年增加取暖费，机关运行经费支出增加。</w:t>
      </w:r>
    </w:p>
    <w:p w14:paraId="07C0C837">
      <w:pPr>
        <w:spacing w:line="640" w:lineRule="exact"/>
        <w:ind w:firstLine="640"/>
        <w:jc w:val="both"/>
        <w:outlineLvl w:val="3"/>
      </w:pPr>
      <w:r>
        <w:rPr>
          <w:rFonts w:ascii="楷体_GB2312" w:hAnsi="楷体_GB2312" w:eastAsia="楷体_GB2312"/>
          <w:b/>
          <w:sz w:val="32"/>
        </w:rPr>
        <w:t>（二）政府采购情况</w:t>
      </w:r>
    </w:p>
    <w:p w14:paraId="3D7141E6">
      <w:pPr>
        <w:spacing w:line="580" w:lineRule="exact"/>
        <w:ind w:firstLine="640"/>
        <w:jc w:val="both"/>
      </w:pPr>
      <w:r>
        <w:rPr>
          <w:rFonts w:ascii="仿宋_GB2312" w:hAnsi="仿宋_GB2312" w:eastAsia="仿宋_GB2312"/>
          <w:b w:val="0"/>
          <w:sz w:val="32"/>
        </w:rPr>
        <w:t>2024年度政府采购支出总额9.62万元，其中：政府采购货物支出6.36万元、政府采购工程支出0.00万元、政府采购服务支出3.26万元。</w:t>
      </w:r>
    </w:p>
    <w:p w14:paraId="1A9E68AF">
      <w:pPr>
        <w:spacing w:line="580" w:lineRule="exact"/>
        <w:ind w:firstLine="640"/>
        <w:jc w:val="both"/>
      </w:pPr>
      <w:r>
        <w:rPr>
          <w:rFonts w:ascii="仿宋_GB2312" w:hAnsi="仿宋_GB2312" w:eastAsia="仿宋_GB2312"/>
          <w:b w:val="0"/>
          <w:sz w:val="32"/>
        </w:rPr>
        <w:t>授予中小企业合同金额9.31万元，占政府采购支出总额的96.78%，其中：授予小微企业合同金额9.31万元，占政府采购支出总额的96.78%。</w:t>
      </w:r>
    </w:p>
    <w:p w14:paraId="46F29360">
      <w:pPr>
        <w:spacing w:line="640" w:lineRule="exact"/>
        <w:ind w:firstLine="640"/>
        <w:jc w:val="both"/>
        <w:outlineLvl w:val="3"/>
      </w:pPr>
      <w:r>
        <w:rPr>
          <w:rFonts w:ascii="楷体_GB2312" w:hAnsi="楷体_GB2312" w:eastAsia="楷体_GB2312"/>
          <w:b/>
          <w:sz w:val="32"/>
        </w:rPr>
        <w:t>（三）国有资产占用情况说明</w:t>
      </w:r>
    </w:p>
    <w:p w14:paraId="3536E6CB">
      <w:pPr>
        <w:spacing w:line="580" w:lineRule="exact"/>
        <w:ind w:firstLine="640"/>
        <w:jc w:val="both"/>
      </w:pPr>
      <w:r>
        <w:rPr>
          <w:rFonts w:ascii="仿宋_GB2312" w:hAnsi="仿宋_GB2312" w:eastAsia="仿宋_GB2312"/>
          <w:b w:val="0"/>
          <w:sz w:val="32"/>
        </w:rPr>
        <w:t>截至2024年12月31日，房屋0.00平方米，价值0.00万元。车辆2辆，价值26.06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6A995019">
      <w:pPr>
        <w:spacing w:line="640" w:lineRule="exact"/>
        <w:ind w:firstLine="640"/>
        <w:jc w:val="both"/>
        <w:outlineLvl w:val="2"/>
      </w:pPr>
      <w:r>
        <w:rPr>
          <w:rFonts w:ascii="黑体" w:hAnsi="黑体" w:eastAsia="黑体"/>
          <w:sz w:val="32"/>
        </w:rPr>
        <w:t>十一、预算绩效的情况说明</w:t>
      </w:r>
    </w:p>
    <w:p w14:paraId="57C7BDF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447.53万元，实际执行总额437.48万元；预算绩效评价项目2个，全年预算数33.64万元，全年执行数32.52万元。预算绩效管理取得的成效：一是预算编制更科学精准。通过设定清晰的绩效目标，使预算资金与具体工作任务、预期成果直接挂钩，减少预算编制的随意性；二是预算执行更规范高效。</w:t>
      </w:r>
      <w:r>
        <w:rPr>
          <w:rFonts w:hint="eastAsia" w:ascii="仿宋_GB2312" w:hAnsi="仿宋_GB2312" w:eastAsia="仿宋_GB2312"/>
          <w:b w:val="0"/>
          <w:sz w:val="32"/>
          <w:lang w:eastAsia="zh-CN"/>
        </w:rPr>
        <w:t>强化</w:t>
      </w:r>
      <w:r>
        <w:rPr>
          <w:rFonts w:ascii="仿宋_GB2312" w:hAnsi="仿宋_GB2312" w:eastAsia="仿宋_GB2312"/>
          <w:b w:val="0"/>
          <w:sz w:val="32"/>
        </w:rPr>
        <w:t>预算执行过程，及时跟踪资金使用进度和绩效目标实现情况，发现偏差能快速调整，避免资金闲置或挪用。发现的问题及原因：一是涉及项目的部门单位（科室）及财务人员对项目预算绩效管理认识不充分，存在部分预算执行力度不强，预算执行规范性不强，随意性大。原因：绩效管理理念有待进一步强化；二是财务人员缺乏创新意识，预算绩效管理执行能力偏弱。原因：思想上对财务预算管理的权威性认识不足。下一步改进措施：一是加强财务人员专业知识的培训，进一步提高工作效率；二是进一步加强绩效管理理念，提高预算执行力。具体附整体支出绩效自评表，项目支出绩效自评表和评价报告。</w:t>
      </w:r>
    </w:p>
    <w:p w14:paraId="3CBCEA3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C016DD4">
        <w:tblPrEx>
          <w:tblCellMar>
            <w:top w:w="0" w:type="dxa"/>
            <w:left w:w="108" w:type="dxa"/>
            <w:bottom w:w="0" w:type="dxa"/>
            <w:right w:w="108" w:type="dxa"/>
          </w:tblCellMar>
        </w:tblPrEx>
        <w:tc>
          <w:tcPr>
            <w:tcW w:w="8840" w:type="dxa"/>
            <w:gridSpan w:val="8"/>
            <w:vAlign w:val="center"/>
          </w:tcPr>
          <w:p w14:paraId="7AEB3683">
            <w:pPr>
              <w:jc w:val="center"/>
            </w:pPr>
            <w:r>
              <w:rPr>
                <w:rFonts w:ascii="宋体" w:hAnsi="宋体" w:eastAsia="宋体"/>
                <w:sz w:val="24"/>
              </w:rPr>
              <w:t>单位整体支出绩效自评表</w:t>
            </w:r>
          </w:p>
        </w:tc>
      </w:tr>
      <w:tr w14:paraId="5DD9EFCF">
        <w:tblPrEx>
          <w:tblCellMar>
            <w:top w:w="0" w:type="dxa"/>
            <w:left w:w="108" w:type="dxa"/>
            <w:bottom w:w="0" w:type="dxa"/>
            <w:right w:w="108" w:type="dxa"/>
          </w:tblCellMar>
        </w:tblPrEx>
        <w:tc>
          <w:tcPr>
            <w:tcW w:w="8840" w:type="dxa"/>
            <w:gridSpan w:val="8"/>
            <w:vAlign w:val="center"/>
          </w:tcPr>
          <w:p w14:paraId="73B86628">
            <w:pPr>
              <w:jc w:val="center"/>
            </w:pPr>
            <w:r>
              <w:rPr>
                <w:rFonts w:ascii="宋体" w:hAnsi="宋体" w:eastAsia="宋体"/>
                <w:sz w:val="24"/>
              </w:rPr>
              <w:t>（2024年度）</w:t>
            </w:r>
          </w:p>
        </w:tc>
      </w:tr>
      <w:tr w14:paraId="493A659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08DB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332C73">
            <w:pPr>
              <w:jc w:val="center"/>
            </w:pPr>
            <w:r>
              <w:rPr>
                <w:rFonts w:ascii="宋体" w:hAnsi="宋体" w:eastAsia="宋体"/>
                <w:sz w:val="16"/>
              </w:rPr>
              <w:t>托里县审计局</w:t>
            </w:r>
          </w:p>
        </w:tc>
      </w:tr>
      <w:tr w14:paraId="6224938B">
        <w:tblPrEx>
          <w:tblCellMar>
            <w:top w:w="0" w:type="dxa"/>
            <w:left w:w="108" w:type="dxa"/>
            <w:bottom w:w="0" w:type="dxa"/>
            <w:right w:w="108" w:type="dxa"/>
          </w:tblCellMar>
        </w:tblPrEx>
        <w:trPr>
          <w:trHeight w:val="327" w:hRule="atLeast"/>
        </w:trPr>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4D576">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9D69C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9D480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507CD">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214814">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49DD8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5AA1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ED748">
            <w:pPr>
              <w:jc w:val="center"/>
            </w:pPr>
            <w:r>
              <w:rPr>
                <w:rFonts w:ascii="宋体" w:hAnsi="宋体" w:eastAsia="宋体"/>
                <w:sz w:val="16"/>
              </w:rPr>
              <w:t>得分</w:t>
            </w:r>
          </w:p>
        </w:tc>
      </w:tr>
      <w:tr w14:paraId="2132D36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0765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06BEC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0D55B7">
            <w:pPr>
              <w:jc w:val="center"/>
            </w:pPr>
            <w:r>
              <w:rPr>
                <w:rFonts w:ascii="宋体" w:hAnsi="宋体" w:eastAsia="宋体"/>
                <w:sz w:val="16"/>
              </w:rPr>
              <w:t>408.72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23DB3">
            <w:pPr>
              <w:jc w:val="center"/>
            </w:pPr>
            <w:r>
              <w:rPr>
                <w:rFonts w:ascii="宋体" w:hAnsi="宋体" w:eastAsia="宋体"/>
                <w:sz w:val="16"/>
              </w:rPr>
              <w:t>447.53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65CA3">
            <w:pPr>
              <w:jc w:val="center"/>
            </w:pPr>
            <w:r>
              <w:rPr>
                <w:rFonts w:ascii="宋体" w:hAnsi="宋体" w:eastAsia="宋体"/>
                <w:sz w:val="16"/>
              </w:rPr>
              <w:t>437.48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9E55D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02B75A">
            <w:pPr>
              <w:jc w:val="center"/>
            </w:pPr>
            <w:r>
              <w:rPr>
                <w:rFonts w:ascii="宋体" w:hAnsi="宋体" w:eastAsia="宋体"/>
                <w:sz w:val="16"/>
              </w:rPr>
              <w:t>97.75%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356EF1">
            <w:pPr>
              <w:jc w:val="center"/>
            </w:pPr>
            <w:r>
              <w:rPr>
                <w:rFonts w:ascii="宋体" w:hAnsi="宋体" w:eastAsia="宋体"/>
                <w:sz w:val="16"/>
              </w:rPr>
              <w:t>9.78</w:t>
            </w:r>
          </w:p>
        </w:tc>
      </w:tr>
      <w:tr w14:paraId="75D6534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56C69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956509">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6CBB3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75F28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89C7E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28154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D4443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AD991">
            <w:pPr>
              <w:jc w:val="center"/>
            </w:pPr>
            <w:r>
              <w:rPr>
                <w:rFonts w:ascii="宋体" w:hAnsi="宋体" w:eastAsia="宋体"/>
                <w:sz w:val="16"/>
              </w:rPr>
              <w:t>-</w:t>
            </w:r>
          </w:p>
        </w:tc>
      </w:tr>
      <w:tr w14:paraId="0B568D4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1C4BF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6AE94">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09B7C3">
            <w:pPr>
              <w:jc w:val="center"/>
            </w:pPr>
            <w:r>
              <w:rPr>
                <w:rFonts w:ascii="宋体" w:hAnsi="宋体" w:eastAsia="宋体"/>
                <w:sz w:val="16"/>
              </w:rPr>
              <w:t>379.94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6CFF1E">
            <w:pPr>
              <w:jc w:val="center"/>
            </w:pPr>
            <w:r>
              <w:rPr>
                <w:rFonts w:ascii="宋体" w:hAnsi="宋体" w:eastAsia="宋体"/>
                <w:sz w:val="16"/>
              </w:rPr>
              <w:t>405.09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42323B">
            <w:pPr>
              <w:jc w:val="center"/>
            </w:pPr>
            <w:r>
              <w:rPr>
                <w:rFonts w:ascii="宋体" w:hAnsi="宋体" w:eastAsia="宋体"/>
                <w:sz w:val="16"/>
              </w:rPr>
              <w:t>405.09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E9C8D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DF035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B529D">
            <w:pPr>
              <w:jc w:val="center"/>
            </w:pPr>
            <w:r>
              <w:rPr>
                <w:rFonts w:ascii="宋体" w:hAnsi="宋体" w:eastAsia="宋体"/>
                <w:sz w:val="16"/>
              </w:rPr>
              <w:t>-</w:t>
            </w:r>
          </w:p>
        </w:tc>
      </w:tr>
      <w:tr w14:paraId="018E637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4658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2CDD94">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0F0000">
            <w:pPr>
              <w:jc w:val="center"/>
            </w:pPr>
            <w:r>
              <w:rPr>
                <w:rFonts w:ascii="宋体" w:hAnsi="宋体" w:eastAsia="宋体"/>
                <w:sz w:val="16"/>
              </w:rPr>
              <w:t>28.78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4C68E2">
            <w:pPr>
              <w:jc w:val="center"/>
            </w:pPr>
            <w:r>
              <w:rPr>
                <w:rFonts w:ascii="宋体" w:hAnsi="宋体" w:eastAsia="宋体"/>
                <w:sz w:val="16"/>
              </w:rPr>
              <w:t>42.44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F53BF2">
            <w:pPr>
              <w:jc w:val="center"/>
            </w:pPr>
            <w:r>
              <w:rPr>
                <w:rFonts w:ascii="宋体" w:hAnsi="宋体" w:eastAsia="宋体"/>
                <w:sz w:val="16"/>
              </w:rPr>
              <w:t>32.39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C2AC6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6B4DC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DFA2D8">
            <w:pPr>
              <w:jc w:val="center"/>
            </w:pPr>
            <w:r>
              <w:rPr>
                <w:rFonts w:ascii="宋体" w:hAnsi="宋体" w:eastAsia="宋体"/>
                <w:sz w:val="16"/>
              </w:rPr>
              <w:t>-</w:t>
            </w:r>
          </w:p>
        </w:tc>
      </w:tr>
      <w:tr w14:paraId="5F56793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A4F44">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FFA20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0503114">
            <w:pPr>
              <w:jc w:val="center"/>
            </w:pPr>
            <w:r>
              <w:rPr>
                <w:rFonts w:ascii="宋体" w:hAnsi="宋体" w:eastAsia="宋体"/>
                <w:sz w:val="16"/>
              </w:rPr>
              <w:t>实际完成情况</w:t>
            </w:r>
          </w:p>
        </w:tc>
      </w:tr>
      <w:tr w14:paraId="771D43B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F5AEB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4E615E">
            <w:pPr>
              <w:jc w:val="both"/>
            </w:pPr>
            <w:r>
              <w:rPr>
                <w:rFonts w:ascii="宋体" w:hAnsi="宋体" w:eastAsia="宋体"/>
                <w:sz w:val="16"/>
              </w:rPr>
              <w:t>以习近平新时代中国特色社会主义思想为指导，深入学习贯彻党的二十大精神、习近平总书记关于新疆工作的重要讲话和重要指示批示精神，聚焦新时代党的治疆方略，特别是社会稳定和长治久安总目标，围绕“依法审计、</w:t>
            </w:r>
            <w:r>
              <w:rPr>
                <w:rFonts w:hint="eastAsia" w:ascii="宋体" w:hAnsi="宋体"/>
                <w:sz w:val="16"/>
                <w:lang w:eastAsia="zh-CN"/>
              </w:rPr>
              <w:t>围绕中心、服务大局</w:t>
            </w:r>
            <w:r>
              <w:rPr>
                <w:rFonts w:ascii="宋体" w:hAnsi="宋体" w:eastAsia="宋体"/>
                <w:sz w:val="16"/>
              </w:rPr>
              <w:t>、突出重点、求真务实”方针，认真落实自治区党委、地委和县委审计委员</w:t>
            </w:r>
            <w:r>
              <w:rPr>
                <w:rFonts w:hint="eastAsia" w:ascii="宋体" w:hAnsi="宋体"/>
                <w:sz w:val="16"/>
                <w:lang w:eastAsia="zh-CN"/>
              </w:rPr>
              <w:t>会会</w:t>
            </w:r>
            <w:r>
              <w:rPr>
                <w:rFonts w:ascii="宋体" w:hAnsi="宋体" w:eastAsia="宋体"/>
                <w:sz w:val="16"/>
              </w:rPr>
              <w:t>议精神，依法全面履行审计监督职责，充分发挥审计常态化“经济体检”作用，助推我县经济高质量发展。2024年完成审计项目类别6个，完成审计项目20个，审计查处主要问题40个。</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DC3912">
            <w:pPr>
              <w:jc w:val="both"/>
            </w:pPr>
            <w:r>
              <w:rPr>
                <w:rFonts w:ascii="宋体" w:hAnsi="宋体" w:eastAsia="宋体"/>
                <w:sz w:val="16"/>
              </w:rPr>
              <w:t>今年以来</w:t>
            </w:r>
            <w:r>
              <w:rPr>
                <w:rFonts w:hint="eastAsia" w:ascii="宋体" w:hAnsi="宋体"/>
                <w:sz w:val="16"/>
                <w:lang w:eastAsia="zh-CN"/>
              </w:rPr>
              <w:t>本单位</w:t>
            </w:r>
            <w:r>
              <w:rPr>
                <w:rFonts w:ascii="宋体" w:hAnsi="宋体" w:eastAsia="宋体"/>
                <w:sz w:val="16"/>
              </w:rPr>
              <w:t>以习近平新时代中国特色社会主义思想为指导，深入学习贯彻党的二十大精神、习近平总书记关于新疆工作的重要讲话和重要指示批示精神，聚焦新时代党的治疆方略，特别是社会稳定和长治久安总目标，围绕“依法审计、</w:t>
            </w:r>
            <w:r>
              <w:rPr>
                <w:rFonts w:hint="eastAsia" w:ascii="宋体" w:hAnsi="宋体"/>
                <w:sz w:val="16"/>
                <w:lang w:eastAsia="zh-CN"/>
              </w:rPr>
              <w:t>围绕中心、服务大局</w:t>
            </w:r>
            <w:r>
              <w:rPr>
                <w:rFonts w:ascii="宋体" w:hAnsi="宋体" w:eastAsia="宋体"/>
                <w:sz w:val="16"/>
              </w:rPr>
              <w:t>、突出重点、求真务实”方针，认真落实自治区党委、地委和县委审计委员</w:t>
            </w:r>
            <w:r>
              <w:rPr>
                <w:rFonts w:hint="eastAsia" w:ascii="宋体" w:hAnsi="宋体"/>
                <w:sz w:val="16"/>
                <w:lang w:eastAsia="zh-CN"/>
              </w:rPr>
              <w:t>会会</w:t>
            </w:r>
            <w:r>
              <w:rPr>
                <w:rFonts w:ascii="宋体" w:hAnsi="宋体" w:eastAsia="宋体"/>
                <w:sz w:val="16"/>
              </w:rPr>
              <w:t>议精神，依法全面履行审计监督职责，充分发挥审计常态化“经济体检”作用，助推我县经济高质量发展。2024年完成审计项目类别6个，完成审计项目18个，审计查处主要问题57个，撰写各类审计报告和信息简报数量21个，开展审计业务主题培训9次。</w:t>
            </w:r>
          </w:p>
        </w:tc>
      </w:tr>
      <w:tr w14:paraId="5777A68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4AEA6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BAB30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D5015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0D42D5">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675ED4">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F6714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7A5FA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C1902">
            <w:pPr>
              <w:jc w:val="center"/>
            </w:pPr>
            <w:r>
              <w:rPr>
                <w:rFonts w:ascii="宋体" w:hAnsi="宋体" w:eastAsia="宋体"/>
                <w:sz w:val="16"/>
              </w:rPr>
              <w:t>得分</w:t>
            </w:r>
          </w:p>
        </w:tc>
      </w:tr>
      <w:tr w14:paraId="4B56EE5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9AB0C9">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5902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C952AC">
            <w:pPr>
              <w:jc w:val="center"/>
            </w:pPr>
            <w:r>
              <w:rPr>
                <w:rFonts w:ascii="宋体" w:hAnsi="宋体" w:eastAsia="宋体"/>
                <w:sz w:val="16"/>
              </w:rPr>
              <w:t>完成审计项目类别</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7FE01">
            <w:pPr>
              <w:jc w:val="center"/>
            </w:pPr>
            <w:r>
              <w:rPr>
                <w:rFonts w:ascii="宋体" w:hAnsi="宋体" w:eastAsia="宋体"/>
                <w:sz w:val="16"/>
              </w:rPr>
              <w:t>&gt;=6个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ABA75">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AB7531">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EA3335">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E96D20">
            <w:pPr>
              <w:jc w:val="center"/>
            </w:pPr>
            <w:r>
              <w:rPr>
                <w:rFonts w:ascii="宋体" w:hAnsi="宋体" w:eastAsia="宋体"/>
                <w:sz w:val="16"/>
              </w:rPr>
              <w:t>20</w:t>
            </w:r>
          </w:p>
        </w:tc>
      </w:tr>
      <w:tr w14:paraId="2E777AC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22DFF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14F76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2FAB1A">
            <w:pPr>
              <w:jc w:val="center"/>
            </w:pPr>
            <w:r>
              <w:rPr>
                <w:rFonts w:ascii="宋体" w:hAnsi="宋体" w:eastAsia="宋体"/>
                <w:sz w:val="16"/>
              </w:rPr>
              <w:t>完成审计项目数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5A068D">
            <w:pPr>
              <w:jc w:val="center"/>
            </w:pPr>
            <w:r>
              <w:rPr>
                <w:rFonts w:ascii="宋体" w:hAnsi="宋体" w:eastAsia="宋体"/>
                <w:sz w:val="16"/>
              </w:rPr>
              <w:t>&gt;=20个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274335">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D8DFBA">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1438F9">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628B3">
            <w:pPr>
              <w:jc w:val="center"/>
            </w:pPr>
            <w:r>
              <w:rPr>
                <w:rFonts w:ascii="宋体" w:hAnsi="宋体" w:eastAsia="宋体"/>
                <w:sz w:val="16"/>
              </w:rPr>
              <w:t>18</w:t>
            </w:r>
          </w:p>
        </w:tc>
      </w:tr>
      <w:tr w14:paraId="1C60A32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4EA26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31701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C42DFE">
            <w:pPr>
              <w:jc w:val="center"/>
            </w:pPr>
            <w:r>
              <w:rPr>
                <w:rFonts w:ascii="宋体" w:hAnsi="宋体" w:eastAsia="宋体"/>
                <w:sz w:val="16"/>
              </w:rPr>
              <w:t>审计查处主要问题数量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094F63">
            <w:pPr>
              <w:jc w:val="center"/>
            </w:pPr>
            <w:r>
              <w:rPr>
                <w:rFonts w:ascii="宋体" w:hAnsi="宋体" w:eastAsia="宋体"/>
                <w:sz w:val="16"/>
              </w:rPr>
              <w:t>&gt;=40个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963B9E">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33CCD1">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FB52D0">
            <w:pPr>
              <w:jc w:val="center"/>
            </w:pPr>
            <w:r>
              <w:rPr>
                <w:rFonts w:ascii="宋体" w:hAnsi="宋体" w:eastAsia="宋体"/>
                <w:sz w:val="16"/>
              </w:rPr>
              <w:t>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413B35">
            <w:pPr>
              <w:jc w:val="center"/>
            </w:pPr>
            <w:r>
              <w:rPr>
                <w:rFonts w:ascii="宋体" w:hAnsi="宋体" w:eastAsia="宋体"/>
                <w:sz w:val="16"/>
              </w:rPr>
              <w:t>20</w:t>
            </w:r>
          </w:p>
        </w:tc>
      </w:tr>
      <w:tr w14:paraId="565BDFB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18432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C571F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8582C4">
            <w:pPr>
              <w:jc w:val="center"/>
            </w:pPr>
            <w:r>
              <w:rPr>
                <w:rFonts w:ascii="宋体" w:hAnsi="宋体" w:eastAsia="宋体"/>
                <w:sz w:val="16"/>
              </w:rPr>
              <w:t>提交各类审计报告和信息简报数量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827FB8">
            <w:pPr>
              <w:jc w:val="center"/>
            </w:pPr>
            <w:r>
              <w:rPr>
                <w:rFonts w:ascii="宋体" w:hAnsi="宋体" w:eastAsia="宋体"/>
                <w:sz w:val="16"/>
              </w:rPr>
              <w:t>&gt;=25篇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7ADF24">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1C8296">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359790">
            <w:pPr>
              <w:jc w:val="center"/>
            </w:pPr>
            <w:r>
              <w:rPr>
                <w:rFonts w:ascii="宋体" w:hAnsi="宋体" w:eastAsia="宋体"/>
                <w:sz w:val="16"/>
              </w:rPr>
              <w:t>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00A7D">
            <w:pPr>
              <w:jc w:val="center"/>
            </w:pPr>
            <w:r>
              <w:rPr>
                <w:rFonts w:ascii="宋体" w:hAnsi="宋体" w:eastAsia="宋体"/>
                <w:sz w:val="16"/>
              </w:rPr>
              <w:t>20</w:t>
            </w:r>
          </w:p>
        </w:tc>
      </w:tr>
      <w:tr w14:paraId="10ECC19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45B4B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B9F2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EBC9E3">
            <w:pPr>
              <w:jc w:val="center"/>
            </w:pPr>
            <w:r>
              <w:rPr>
                <w:rFonts w:ascii="宋体" w:hAnsi="宋体" w:eastAsia="宋体"/>
                <w:sz w:val="16"/>
              </w:rPr>
              <w:t>开展审计业务主题培训次数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28E36C">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F06B5">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D0C3F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91BCA">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16CCEC">
            <w:pPr>
              <w:jc w:val="center"/>
            </w:pPr>
            <w:r>
              <w:rPr>
                <w:rFonts w:ascii="宋体" w:hAnsi="宋体" w:eastAsia="宋体"/>
                <w:sz w:val="16"/>
              </w:rPr>
              <w:t>9</w:t>
            </w:r>
          </w:p>
        </w:tc>
      </w:tr>
    </w:tbl>
    <w:p w14:paraId="6875FC0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2BA4690">
        <w:tblPrEx>
          <w:tblCellMar>
            <w:top w:w="0" w:type="dxa"/>
            <w:left w:w="108" w:type="dxa"/>
            <w:bottom w:w="0" w:type="dxa"/>
            <w:right w:w="108" w:type="dxa"/>
          </w:tblCellMar>
        </w:tblPrEx>
        <w:tc>
          <w:tcPr>
            <w:tcW w:w="8848" w:type="dxa"/>
            <w:gridSpan w:val="14"/>
            <w:vAlign w:val="center"/>
          </w:tcPr>
          <w:p w14:paraId="30E2218E">
            <w:pPr>
              <w:jc w:val="center"/>
            </w:pPr>
            <w:r>
              <w:rPr>
                <w:rFonts w:ascii="宋体" w:hAnsi="宋体" w:eastAsia="宋体"/>
                <w:sz w:val="24"/>
              </w:rPr>
              <w:t>项目支出绩效自评表</w:t>
            </w:r>
          </w:p>
        </w:tc>
      </w:tr>
      <w:tr w14:paraId="09E29172">
        <w:tblPrEx>
          <w:tblCellMar>
            <w:top w:w="0" w:type="dxa"/>
            <w:left w:w="108" w:type="dxa"/>
            <w:bottom w:w="0" w:type="dxa"/>
            <w:right w:w="108" w:type="dxa"/>
          </w:tblCellMar>
        </w:tblPrEx>
        <w:tc>
          <w:tcPr>
            <w:tcW w:w="8848" w:type="dxa"/>
            <w:gridSpan w:val="14"/>
            <w:vAlign w:val="center"/>
          </w:tcPr>
          <w:p w14:paraId="11D92FFC">
            <w:pPr>
              <w:jc w:val="center"/>
            </w:pPr>
            <w:r>
              <w:rPr>
                <w:rFonts w:ascii="宋体" w:hAnsi="宋体" w:eastAsia="宋体"/>
                <w:sz w:val="24"/>
              </w:rPr>
              <w:t>(2024年度)</w:t>
            </w:r>
          </w:p>
        </w:tc>
      </w:tr>
      <w:tr w14:paraId="51CB97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6DDB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4CD5DA">
            <w:pPr>
              <w:jc w:val="center"/>
            </w:pPr>
            <w:r>
              <w:rPr>
                <w:rFonts w:ascii="宋体" w:hAnsi="宋体" w:eastAsia="宋体"/>
                <w:sz w:val="16"/>
              </w:rPr>
              <w:t>2024年单位资金—审计工作经费、辽宁援疆项目审计经费、2023年单位资金结余</w:t>
            </w:r>
          </w:p>
        </w:tc>
      </w:tr>
      <w:tr w14:paraId="0AA055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4A3D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F0EA18">
            <w:pPr>
              <w:jc w:val="center"/>
            </w:pPr>
            <w:r>
              <w:rPr>
                <w:rFonts w:ascii="宋体" w:hAnsi="宋体" w:eastAsia="宋体"/>
                <w:sz w:val="16"/>
              </w:rPr>
              <w:t>托里县审计局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2F08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78765C">
            <w:pPr>
              <w:jc w:val="center"/>
            </w:pPr>
            <w:r>
              <w:rPr>
                <w:rFonts w:ascii="宋体" w:hAnsi="宋体" w:eastAsia="宋体"/>
                <w:sz w:val="16"/>
              </w:rPr>
              <w:t>托里县审计局</w:t>
            </w:r>
          </w:p>
        </w:tc>
      </w:tr>
      <w:tr w14:paraId="5CCAE1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EF88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CE0B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FEEB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438E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9A06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4AA4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F3AF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3E52E">
            <w:pPr>
              <w:jc w:val="center"/>
            </w:pPr>
            <w:r>
              <w:rPr>
                <w:rFonts w:ascii="宋体" w:hAnsi="宋体" w:eastAsia="宋体"/>
                <w:sz w:val="16"/>
              </w:rPr>
              <w:t>得分</w:t>
            </w:r>
          </w:p>
        </w:tc>
      </w:tr>
      <w:tr w14:paraId="0FA896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8EE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2F3C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44F57">
            <w:pPr>
              <w:jc w:val="center"/>
            </w:pPr>
            <w:r>
              <w:rPr>
                <w:rFonts w:ascii="宋体" w:hAnsi="宋体" w:eastAsia="宋体"/>
                <w:sz w:val="16"/>
              </w:rPr>
              <w:t>28.78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80899">
            <w:pPr>
              <w:jc w:val="center"/>
            </w:pPr>
            <w:r>
              <w:rPr>
                <w:rFonts w:ascii="宋体" w:hAnsi="宋体" w:eastAsia="宋体"/>
                <w:sz w:val="16"/>
              </w:rPr>
              <w:t>10.64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6B6C9">
            <w:pPr>
              <w:jc w:val="center"/>
            </w:pPr>
            <w:r>
              <w:rPr>
                <w:rFonts w:ascii="宋体" w:hAnsi="宋体" w:eastAsia="宋体"/>
                <w:sz w:val="16"/>
              </w:rPr>
              <w:t>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2EB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C551D">
            <w:pPr>
              <w:jc w:val="center"/>
            </w:pPr>
            <w:r>
              <w:rPr>
                <w:rFonts w:ascii="宋体" w:hAnsi="宋体" w:eastAsia="宋体"/>
                <w:sz w:val="16"/>
              </w:rPr>
              <w:t>89.47%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0C2C9">
            <w:pPr>
              <w:jc w:val="center"/>
            </w:pPr>
            <w:r>
              <w:rPr>
                <w:rFonts w:ascii="宋体" w:hAnsi="宋体" w:eastAsia="宋体"/>
                <w:sz w:val="16"/>
              </w:rPr>
              <w:t>8.95</w:t>
            </w:r>
          </w:p>
        </w:tc>
      </w:tr>
      <w:tr w14:paraId="0D8F6C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A92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BE75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50C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6E3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5E1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14A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47B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0848A">
            <w:pPr>
              <w:jc w:val="center"/>
            </w:pPr>
            <w:r>
              <w:rPr>
                <w:rFonts w:ascii="宋体" w:hAnsi="宋体" w:eastAsia="宋体"/>
                <w:sz w:val="16"/>
              </w:rPr>
              <w:t>—</w:t>
            </w:r>
          </w:p>
        </w:tc>
      </w:tr>
      <w:tr w14:paraId="1E306E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87E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D4BE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ECCAC">
            <w:pPr>
              <w:jc w:val="center"/>
            </w:pPr>
            <w:r>
              <w:rPr>
                <w:rFonts w:ascii="宋体" w:hAnsi="宋体" w:eastAsia="宋体"/>
                <w:sz w:val="16"/>
              </w:rPr>
              <w:t>28.78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38D13">
            <w:pPr>
              <w:jc w:val="center"/>
            </w:pPr>
            <w:r>
              <w:rPr>
                <w:rFonts w:ascii="宋体" w:hAnsi="宋体" w:eastAsia="宋体"/>
                <w:sz w:val="16"/>
              </w:rPr>
              <w:t>10.64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B870C">
            <w:pPr>
              <w:jc w:val="center"/>
            </w:pPr>
            <w:r>
              <w:rPr>
                <w:rFonts w:ascii="宋体" w:hAnsi="宋体" w:eastAsia="宋体"/>
                <w:sz w:val="16"/>
              </w:rPr>
              <w:t>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577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43B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92147">
            <w:pPr>
              <w:jc w:val="center"/>
            </w:pPr>
            <w:r>
              <w:rPr>
                <w:rFonts w:ascii="宋体" w:hAnsi="宋体" w:eastAsia="宋体"/>
                <w:sz w:val="16"/>
              </w:rPr>
              <w:t>—</w:t>
            </w:r>
          </w:p>
        </w:tc>
      </w:tr>
      <w:tr w14:paraId="050080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CF08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5B611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FC6FBB">
            <w:pPr>
              <w:jc w:val="center"/>
            </w:pPr>
            <w:r>
              <w:rPr>
                <w:rFonts w:ascii="宋体" w:hAnsi="宋体" w:eastAsia="宋体"/>
                <w:sz w:val="16"/>
              </w:rPr>
              <w:t>实际完成情况</w:t>
            </w:r>
          </w:p>
        </w:tc>
      </w:tr>
      <w:tr w14:paraId="069D7F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FFE8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14D422">
            <w:pPr>
              <w:jc w:val="both"/>
            </w:pPr>
            <w:r>
              <w:rPr>
                <w:rFonts w:ascii="宋体" w:hAnsi="宋体" w:eastAsia="宋体"/>
                <w:sz w:val="16"/>
              </w:rPr>
              <w:t>审计业务经费项目资金10.64万元，其中：辽宁援疆项目审计经费2.86万元，2023年结余资金7.78万元。用于</w:t>
            </w:r>
            <w:r>
              <w:rPr>
                <w:rFonts w:hint="eastAsia" w:ascii="宋体" w:hAnsi="宋体"/>
                <w:sz w:val="16"/>
                <w:lang w:eastAsia="zh-CN"/>
              </w:rPr>
              <w:t>保障</w:t>
            </w:r>
            <w:r>
              <w:rPr>
                <w:rFonts w:ascii="宋体" w:hAnsi="宋体" w:eastAsia="宋体"/>
                <w:sz w:val="16"/>
              </w:rPr>
              <w:t>5个科室，20名人员的工作经费，保障单位工作正常开展，有效提高单位人员工作效率，通过审计,对于促进被审计单位健全内部控制制度，规范财务收支行为，改进资金管理和提高经济效益，堵塞制度漏洞起到了积极作用。对审计人员执行廉政纪律投诉率&lt;=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F66C9C">
            <w:pPr>
              <w:jc w:val="both"/>
            </w:pPr>
            <w:r>
              <w:rPr>
                <w:rFonts w:ascii="宋体" w:hAnsi="宋体" w:eastAsia="宋体"/>
                <w:sz w:val="16"/>
              </w:rPr>
              <w:t>2024年支付审计业务经费项目资金9.52万元，其中：辽宁援疆项目审计经费2.86万元，2023年结余资金6.66万元。审计业务资金保障了5个科室，20名审计干部在审计工</w:t>
            </w:r>
            <w:r>
              <w:rPr>
                <w:rFonts w:hint="eastAsia" w:ascii="宋体" w:hAnsi="宋体"/>
                <w:sz w:val="16"/>
                <w:lang w:eastAsia="zh-CN"/>
              </w:rPr>
              <w:t>作中产生</w:t>
            </w:r>
            <w:r>
              <w:rPr>
                <w:rFonts w:ascii="宋体" w:hAnsi="宋体" w:eastAsia="宋体"/>
                <w:sz w:val="16"/>
              </w:rPr>
              <w:t>的办公费用，确保了单位工作顺利开展，有效提高审计干部工作效率，审计过程中审计人员执行廉政纪律投诉率&lt;=5%。通过审计,促进了被审计单位健全内部控制制度，规范财务收支行为，改进资金管理和提高经济效益</w:t>
            </w:r>
            <w:r>
              <w:rPr>
                <w:rFonts w:hint="eastAsia" w:ascii="宋体" w:hAnsi="宋体"/>
                <w:sz w:val="16"/>
                <w:lang w:eastAsia="zh-CN"/>
              </w:rPr>
              <w:t>，对</w:t>
            </w:r>
            <w:r>
              <w:rPr>
                <w:rFonts w:ascii="宋体" w:hAnsi="宋体" w:eastAsia="宋体"/>
                <w:sz w:val="16"/>
              </w:rPr>
              <w:t>堵塞制度漏洞起到了积极作用。</w:t>
            </w:r>
          </w:p>
        </w:tc>
      </w:tr>
      <w:tr w14:paraId="467F09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0F12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E5EF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BEFC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D326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E4E2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6F83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90A3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BBB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B6E3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F8B7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0470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48A1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BDB5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D7F28">
            <w:pPr>
              <w:jc w:val="center"/>
            </w:pPr>
            <w:r>
              <w:rPr>
                <w:rFonts w:ascii="宋体" w:hAnsi="宋体" w:eastAsia="宋体"/>
                <w:sz w:val="16"/>
              </w:rPr>
              <w:t>偏差原因分析及改进措施</w:t>
            </w:r>
          </w:p>
        </w:tc>
      </w:tr>
      <w:tr w14:paraId="3FB31F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0C154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AA4D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7CB3E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3BB78">
            <w:pPr>
              <w:jc w:val="center"/>
            </w:pPr>
            <w:r>
              <w:rPr>
                <w:rFonts w:ascii="宋体" w:hAnsi="宋体" w:eastAsia="宋体"/>
                <w:sz w:val="16"/>
              </w:rPr>
              <w:t>保障人数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D28F0">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5D8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09DAC">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D4E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DB6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70118">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3EC46">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228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DB3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AC857">
            <w:pPr>
              <w:jc w:val="center"/>
            </w:pPr>
          </w:p>
        </w:tc>
      </w:tr>
      <w:tr w14:paraId="0F28F4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168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2B0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7F2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29D69">
            <w:pPr>
              <w:jc w:val="center"/>
            </w:pPr>
            <w:r>
              <w:rPr>
                <w:rFonts w:ascii="宋体" w:hAnsi="宋体" w:eastAsia="宋体"/>
                <w:sz w:val="16"/>
              </w:rPr>
              <w:t>保障科室数量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98AE3">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9F0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F3435">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76C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F94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B8503">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41CE4">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972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A78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B28B5">
            <w:pPr>
              <w:jc w:val="center"/>
            </w:pPr>
          </w:p>
        </w:tc>
      </w:tr>
      <w:tr w14:paraId="2415F5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7FE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2CB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0985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109FD">
            <w:pPr>
              <w:jc w:val="center"/>
            </w:pPr>
            <w:r>
              <w:rPr>
                <w:rFonts w:ascii="宋体" w:hAnsi="宋体" w:eastAsia="宋体"/>
                <w:sz w:val="16"/>
              </w:rPr>
              <w:t>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91A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F32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E1E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28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093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6FCBF">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7BA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094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030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E4C7A">
            <w:pPr>
              <w:jc w:val="center"/>
            </w:pPr>
          </w:p>
        </w:tc>
      </w:tr>
      <w:tr w14:paraId="49BA9F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151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23C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3EBC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834E8">
            <w:pPr>
              <w:jc w:val="center"/>
            </w:pPr>
            <w:r>
              <w:rPr>
                <w:rFonts w:ascii="宋体" w:hAnsi="宋体" w:eastAsia="宋体"/>
                <w:sz w:val="16"/>
              </w:rPr>
              <w:t>保障完成时间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3BC0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46E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4C0A7">
            <w:pPr>
              <w:jc w:val="center"/>
            </w:pPr>
            <w:r>
              <w:rPr>
                <w:rFonts w:ascii="宋体" w:hAnsi="宋体" w:eastAsia="宋体"/>
                <w:sz w:val="16"/>
              </w:rPr>
              <w:t>202</w:t>
            </w:r>
            <w:r>
              <w:rPr>
                <w:rFonts w:hint="eastAsia" w:ascii="宋体" w:hAnsi="宋体"/>
                <w:sz w:val="16"/>
                <w:lang w:val="en-US" w:eastAsia="zh-CN"/>
              </w:rPr>
              <w:t>3</w:t>
            </w:r>
            <w:bookmarkStart w:id="0" w:name="_GoBack"/>
            <w:bookmarkEnd w:id="0"/>
            <w:r>
              <w:rPr>
                <w:rFonts w:ascii="宋体" w:hAnsi="宋体" w:eastAsia="宋体"/>
                <w:sz w:val="16"/>
              </w:rPr>
              <w:t>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5E1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9EE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8CBC8">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E96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D49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EBC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5D343">
            <w:pPr>
              <w:jc w:val="center"/>
            </w:pPr>
          </w:p>
        </w:tc>
      </w:tr>
      <w:tr w14:paraId="44C301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CC2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281F3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18FAB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4786E">
            <w:pPr>
              <w:jc w:val="center"/>
            </w:pPr>
            <w:r>
              <w:rPr>
                <w:rFonts w:ascii="宋体" w:hAnsi="宋体" w:eastAsia="宋体"/>
                <w:sz w:val="16"/>
              </w:rPr>
              <w:t>辽宁援疆项目审计工作经费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5DB24">
            <w:pPr>
              <w:jc w:val="center"/>
            </w:pPr>
            <w:r>
              <w:rPr>
                <w:rFonts w:ascii="宋体" w:hAnsi="宋体" w:eastAsia="宋体"/>
                <w:sz w:val="16"/>
              </w:rPr>
              <w:t>&lt;=2.86万元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3A1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8F09E">
            <w:pPr>
              <w:jc w:val="center"/>
            </w:pPr>
            <w:r>
              <w:rPr>
                <w:rFonts w:ascii="宋体" w:hAnsi="宋体" w:eastAsia="宋体"/>
                <w:sz w:val="16"/>
              </w:rPr>
              <w:t>11.04万元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FDD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96F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3B51F">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5FB59">
            <w:pPr>
              <w:jc w:val="center"/>
            </w:pPr>
            <w:r>
              <w:rPr>
                <w:rFonts w:ascii="宋体" w:hAnsi="宋体" w:eastAsia="宋体"/>
                <w:sz w:val="16"/>
              </w:rPr>
              <w:t>=2.86万元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64E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02F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3B144">
            <w:pPr>
              <w:jc w:val="center"/>
            </w:pPr>
          </w:p>
        </w:tc>
      </w:tr>
      <w:tr w14:paraId="07F4AA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F06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52E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EDE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E5122">
            <w:pPr>
              <w:jc w:val="center"/>
            </w:pPr>
            <w:r>
              <w:rPr>
                <w:rFonts w:ascii="宋体" w:hAnsi="宋体" w:eastAsia="宋体"/>
                <w:sz w:val="16"/>
              </w:rPr>
              <w:t>2023年结余资金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5309B">
            <w:pPr>
              <w:jc w:val="center"/>
            </w:pPr>
            <w:r>
              <w:rPr>
                <w:rFonts w:ascii="宋体" w:hAnsi="宋体" w:eastAsia="宋体"/>
                <w:sz w:val="16"/>
              </w:rPr>
              <w:t>&lt;=7.78万元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8AC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47DF3">
            <w:pPr>
              <w:jc w:val="center"/>
            </w:pPr>
            <w:r>
              <w:rPr>
                <w:rFonts w:ascii="宋体" w:hAnsi="宋体" w:eastAsia="宋体"/>
                <w:sz w:val="16"/>
              </w:rPr>
              <w:t>5.28万元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009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CA3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D0484">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BE24E">
            <w:pPr>
              <w:jc w:val="center"/>
            </w:pPr>
            <w:r>
              <w:rPr>
                <w:rFonts w:ascii="宋体" w:hAnsi="宋体" w:eastAsia="宋体"/>
                <w:sz w:val="16"/>
              </w:rPr>
              <w:t>=6.66万元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E62DC">
            <w:pPr>
              <w:jc w:val="center"/>
            </w:pPr>
            <w:r>
              <w:rPr>
                <w:rFonts w:ascii="宋体" w:hAnsi="宋体" w:eastAsia="宋体"/>
                <w:sz w:val="16"/>
              </w:rPr>
              <w:t>85.6%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7F9F9">
            <w:pPr>
              <w:jc w:val="center"/>
            </w:pPr>
            <w:r>
              <w:rPr>
                <w:rFonts w:ascii="宋体" w:hAnsi="宋体" w:eastAsia="宋体"/>
                <w:sz w:val="16"/>
              </w:rPr>
              <w:t>8.56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DAF9E">
            <w:pPr>
              <w:jc w:val="center"/>
            </w:pPr>
            <w:r>
              <w:rPr>
                <w:rFonts w:ascii="宋体" w:hAnsi="宋体" w:eastAsia="宋体"/>
                <w:sz w:val="16"/>
              </w:rPr>
              <w:t>原因：由于审计组提高审计工作质量，缩短工作日，相关审计费用减少，造成项目资金未支付完毕。</w:t>
            </w:r>
          </w:p>
        </w:tc>
      </w:tr>
      <w:tr w14:paraId="585991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E96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D4C2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287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60518">
            <w:pPr>
              <w:jc w:val="center"/>
            </w:pPr>
            <w:r>
              <w:rPr>
                <w:rFonts w:ascii="宋体" w:hAnsi="宋体" w:eastAsia="宋体"/>
                <w:sz w:val="16"/>
              </w:rPr>
              <w:t>保障单位工作正常开展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0335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A6E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3ACB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B787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6F42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7398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8E43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1A7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B26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BE0B7">
            <w:pPr>
              <w:jc w:val="center"/>
            </w:pPr>
          </w:p>
        </w:tc>
      </w:tr>
      <w:tr w14:paraId="23702D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738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518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FD1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34C66">
            <w:pPr>
              <w:jc w:val="center"/>
            </w:pPr>
            <w:r>
              <w:rPr>
                <w:rFonts w:ascii="宋体" w:hAnsi="宋体" w:eastAsia="宋体"/>
                <w:sz w:val="16"/>
              </w:rPr>
              <w:t>对审计人员执行廉政纪律投诉率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17F9E">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9A3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7F3C7">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3AC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09B6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7332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F53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1D6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DA0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C6D8B">
            <w:pPr>
              <w:jc w:val="center"/>
            </w:pPr>
          </w:p>
        </w:tc>
      </w:tr>
      <w:tr w14:paraId="73B0826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4AC7E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C975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3D68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02F0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201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5B50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52A2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14FD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C5DE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74564">
            <w:pPr>
              <w:jc w:val="center"/>
            </w:pPr>
            <w:r>
              <w:rPr>
                <w:rFonts w:ascii="宋体" w:hAnsi="宋体" w:eastAsia="宋体"/>
                <w:sz w:val="16"/>
              </w:rPr>
              <w:t>97.51分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19E885"/>
        </w:tc>
      </w:tr>
    </w:tbl>
    <w:p w14:paraId="512C29DD">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5"/>
        <w:gridCol w:w="615"/>
        <w:gridCol w:w="776"/>
        <w:gridCol w:w="615"/>
        <w:gridCol w:w="696"/>
        <w:gridCol w:w="620"/>
        <w:gridCol w:w="615"/>
        <w:gridCol w:w="620"/>
        <w:gridCol w:w="696"/>
        <w:gridCol w:w="626"/>
        <w:gridCol w:w="696"/>
        <w:gridCol w:w="631"/>
      </w:tblGrid>
      <w:tr w14:paraId="370A0D6F">
        <w:tblPrEx>
          <w:tblCellMar>
            <w:top w:w="0" w:type="dxa"/>
            <w:left w:w="108" w:type="dxa"/>
            <w:bottom w:w="0" w:type="dxa"/>
            <w:right w:w="108" w:type="dxa"/>
          </w:tblCellMar>
        </w:tblPrEx>
        <w:tc>
          <w:tcPr>
            <w:tcW w:w="8848" w:type="dxa"/>
            <w:gridSpan w:val="14"/>
            <w:vAlign w:val="center"/>
          </w:tcPr>
          <w:p w14:paraId="77E04B1C">
            <w:pPr>
              <w:jc w:val="center"/>
            </w:pPr>
            <w:r>
              <w:rPr>
                <w:rFonts w:ascii="宋体" w:hAnsi="宋体" w:eastAsia="宋体"/>
                <w:sz w:val="24"/>
              </w:rPr>
              <w:t>项目支出绩效自评表</w:t>
            </w:r>
          </w:p>
        </w:tc>
      </w:tr>
      <w:tr w14:paraId="3E0D9E17">
        <w:tblPrEx>
          <w:tblCellMar>
            <w:top w:w="0" w:type="dxa"/>
            <w:left w:w="108" w:type="dxa"/>
            <w:bottom w:w="0" w:type="dxa"/>
            <w:right w:w="108" w:type="dxa"/>
          </w:tblCellMar>
        </w:tblPrEx>
        <w:tc>
          <w:tcPr>
            <w:tcW w:w="8848" w:type="dxa"/>
            <w:gridSpan w:val="14"/>
            <w:vAlign w:val="center"/>
          </w:tcPr>
          <w:p w14:paraId="6025C07D">
            <w:pPr>
              <w:jc w:val="center"/>
            </w:pPr>
            <w:r>
              <w:rPr>
                <w:rFonts w:ascii="宋体" w:hAnsi="宋体" w:eastAsia="宋体"/>
                <w:sz w:val="24"/>
              </w:rPr>
              <w:t>(2024年度)</w:t>
            </w:r>
          </w:p>
        </w:tc>
      </w:tr>
      <w:tr w14:paraId="45B76C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1383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948B6A">
            <w:pPr>
              <w:jc w:val="center"/>
            </w:pPr>
            <w:r>
              <w:rPr>
                <w:rFonts w:ascii="宋体" w:hAnsi="宋体" w:eastAsia="宋体"/>
                <w:sz w:val="16"/>
              </w:rPr>
              <w:t>2024年业务审计费</w:t>
            </w:r>
          </w:p>
        </w:tc>
      </w:tr>
      <w:tr w14:paraId="0B2C40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E2D1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DBDC39">
            <w:pPr>
              <w:jc w:val="center"/>
            </w:pPr>
            <w:r>
              <w:rPr>
                <w:rFonts w:ascii="宋体" w:hAnsi="宋体" w:eastAsia="宋体"/>
                <w:sz w:val="16"/>
              </w:rPr>
              <w:t>托里县审计局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D455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BF1453">
            <w:pPr>
              <w:jc w:val="center"/>
            </w:pPr>
            <w:r>
              <w:rPr>
                <w:rFonts w:ascii="宋体" w:hAnsi="宋体" w:eastAsia="宋体"/>
                <w:sz w:val="16"/>
              </w:rPr>
              <w:t>托里县审计局</w:t>
            </w:r>
          </w:p>
        </w:tc>
      </w:tr>
      <w:tr w14:paraId="4EBA57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563D0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6332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4AF1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8DA0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97B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FB45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7364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CCC8C">
            <w:pPr>
              <w:jc w:val="center"/>
            </w:pPr>
            <w:r>
              <w:rPr>
                <w:rFonts w:ascii="宋体" w:hAnsi="宋体" w:eastAsia="宋体"/>
                <w:sz w:val="16"/>
              </w:rPr>
              <w:t>得分</w:t>
            </w:r>
          </w:p>
        </w:tc>
      </w:tr>
      <w:tr w14:paraId="632586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377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AF60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C109F">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28750">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D9B8E">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20C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6CEC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50803">
            <w:pPr>
              <w:jc w:val="center"/>
            </w:pPr>
            <w:r>
              <w:rPr>
                <w:rFonts w:ascii="宋体" w:hAnsi="宋体" w:eastAsia="宋体"/>
                <w:sz w:val="16"/>
              </w:rPr>
              <w:t>10.00</w:t>
            </w:r>
          </w:p>
        </w:tc>
      </w:tr>
      <w:tr w14:paraId="7CF5D0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37F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A369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1AB81">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823A7">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821DA">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CA1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0E3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C989F">
            <w:pPr>
              <w:jc w:val="center"/>
            </w:pPr>
            <w:r>
              <w:rPr>
                <w:rFonts w:ascii="宋体" w:hAnsi="宋体" w:eastAsia="宋体"/>
                <w:sz w:val="16"/>
              </w:rPr>
              <w:t>—</w:t>
            </w:r>
          </w:p>
        </w:tc>
      </w:tr>
      <w:tr w14:paraId="206318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0CB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A885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F97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14F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A6F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0EF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C59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BD019">
            <w:pPr>
              <w:jc w:val="center"/>
            </w:pPr>
            <w:r>
              <w:rPr>
                <w:rFonts w:ascii="宋体" w:hAnsi="宋体" w:eastAsia="宋体"/>
                <w:sz w:val="16"/>
              </w:rPr>
              <w:t>—</w:t>
            </w:r>
          </w:p>
        </w:tc>
      </w:tr>
      <w:tr w14:paraId="0E9BC4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F0E56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81795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E6101C">
            <w:pPr>
              <w:jc w:val="center"/>
            </w:pPr>
            <w:r>
              <w:rPr>
                <w:rFonts w:ascii="宋体" w:hAnsi="宋体" w:eastAsia="宋体"/>
                <w:sz w:val="16"/>
              </w:rPr>
              <w:t>实际完成情况</w:t>
            </w:r>
          </w:p>
        </w:tc>
      </w:tr>
      <w:tr w14:paraId="023899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6DC2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B2747D">
            <w:pPr>
              <w:jc w:val="both"/>
            </w:pPr>
            <w:r>
              <w:rPr>
                <w:rFonts w:ascii="宋体" w:hAnsi="宋体" w:eastAsia="宋体"/>
                <w:sz w:val="16"/>
              </w:rPr>
              <w:t>本项目为开展2024年专项审计工作，第三方咨询费项目预算23万元，通过审计,对于促进被审计单位健全内部控制制度，规范财务收支行为，改进资金管理和提高经济效益，堵塞制度漏洞起到了积极作用。审计廉政投诉率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6DDA95">
            <w:pPr>
              <w:jc w:val="both"/>
            </w:pPr>
            <w:r>
              <w:rPr>
                <w:rFonts w:ascii="宋体" w:hAnsi="宋体" w:eastAsia="宋体"/>
                <w:sz w:val="16"/>
              </w:rPr>
              <w:t>2024年专项审计项目</w:t>
            </w:r>
            <w:r>
              <w:rPr>
                <w:rFonts w:hint="eastAsia" w:ascii="宋体" w:hAnsi="宋体"/>
                <w:sz w:val="16"/>
                <w:lang w:eastAsia="zh-CN"/>
              </w:rPr>
              <w:t>截至</w:t>
            </w:r>
            <w:r>
              <w:rPr>
                <w:rFonts w:ascii="宋体" w:hAnsi="宋体" w:eastAsia="宋体"/>
                <w:sz w:val="16"/>
              </w:rPr>
              <w:t>2024年8月31日，项目资金执行23万元，资金执行率100%。项目用于支付第三方咨询费项目23万元，通过审计,对于促进被审计单位健全内部控制制度，规范财务收支行为，改进资金管理和提高经济效益，堵塞制度漏洞起到了积极作用。审计廉政投诉率小于5%。</w:t>
            </w:r>
          </w:p>
        </w:tc>
      </w:tr>
      <w:tr w14:paraId="365103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39B2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D7F5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B075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9867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74BE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B74D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8770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2DA9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3BBA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F5D4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0D78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F142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F391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0DA64">
            <w:pPr>
              <w:jc w:val="center"/>
            </w:pPr>
            <w:r>
              <w:rPr>
                <w:rFonts w:ascii="宋体" w:hAnsi="宋体" w:eastAsia="宋体"/>
                <w:sz w:val="16"/>
              </w:rPr>
              <w:t>偏差原因分析及改进措施</w:t>
            </w:r>
          </w:p>
        </w:tc>
      </w:tr>
      <w:tr w14:paraId="41D24D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A77B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8D589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E01B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C63E9">
            <w:pPr>
              <w:jc w:val="center"/>
            </w:pPr>
            <w:r>
              <w:rPr>
                <w:rFonts w:ascii="宋体" w:hAnsi="宋体" w:eastAsia="宋体"/>
                <w:sz w:val="16"/>
              </w:rPr>
              <w:t>审计项目数量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BE214">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707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153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D1A6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93C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FB36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C32A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9DA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37A4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025CF">
            <w:pPr>
              <w:jc w:val="center"/>
            </w:pPr>
          </w:p>
        </w:tc>
      </w:tr>
      <w:tr w14:paraId="56A203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856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5B4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9C91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1D9AB">
            <w:pPr>
              <w:jc w:val="center"/>
            </w:pPr>
            <w:r>
              <w:rPr>
                <w:rFonts w:ascii="宋体" w:hAnsi="宋体" w:eastAsia="宋体"/>
                <w:sz w:val="16"/>
              </w:rPr>
              <w:t>审计工作保质保量完成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43D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A1E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2E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1187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B6D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9C02B">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26E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F31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BF62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FFE98">
            <w:pPr>
              <w:jc w:val="center"/>
            </w:pPr>
          </w:p>
        </w:tc>
      </w:tr>
      <w:tr w14:paraId="5EB907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907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73F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367E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3251F">
            <w:pPr>
              <w:jc w:val="center"/>
            </w:pPr>
            <w:r>
              <w:rPr>
                <w:rFonts w:ascii="宋体" w:hAnsi="宋体" w:eastAsia="宋体"/>
                <w:sz w:val="16"/>
              </w:rPr>
              <w:t>审计完成时间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2578B">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922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1E368">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614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672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410B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E1854">
            <w:pPr>
              <w:jc w:val="center"/>
            </w:pPr>
            <w:r>
              <w:rPr>
                <w:rFonts w:ascii="宋体" w:hAnsi="宋体" w:eastAsia="宋体"/>
                <w:sz w:val="16"/>
              </w:rPr>
              <w:t>2024年5月28日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601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106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5ACCA">
            <w:pPr>
              <w:jc w:val="center"/>
            </w:pPr>
          </w:p>
        </w:tc>
      </w:tr>
      <w:tr w14:paraId="77BE24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3B1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9D1C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FA3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4A2C4">
            <w:pPr>
              <w:jc w:val="center"/>
            </w:pPr>
            <w:r>
              <w:rPr>
                <w:rFonts w:ascii="宋体" w:hAnsi="宋体" w:eastAsia="宋体"/>
                <w:sz w:val="16"/>
              </w:rPr>
              <w:t>第三方咨询费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859DE">
            <w:pPr>
              <w:jc w:val="center"/>
            </w:pPr>
            <w:r>
              <w:rPr>
                <w:rFonts w:ascii="宋体" w:hAnsi="宋体" w:eastAsia="宋体"/>
                <w:sz w:val="16"/>
              </w:rPr>
              <w:t>&lt;=23万元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42D6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CCCD0">
            <w:pPr>
              <w:jc w:val="center"/>
            </w:pPr>
            <w:r>
              <w:rPr>
                <w:rFonts w:ascii="宋体" w:hAnsi="宋体" w:eastAsia="宋体"/>
                <w:sz w:val="16"/>
              </w:rPr>
              <w:t>14.05万元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FFC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7FD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1314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DF7E1">
            <w:pPr>
              <w:jc w:val="center"/>
            </w:pPr>
            <w:r>
              <w:rPr>
                <w:rFonts w:ascii="宋体" w:hAnsi="宋体" w:eastAsia="宋体"/>
                <w:sz w:val="16"/>
              </w:rPr>
              <w:t>=23万元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A75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CB0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138A8">
            <w:pPr>
              <w:jc w:val="center"/>
            </w:pPr>
          </w:p>
        </w:tc>
      </w:tr>
      <w:tr w14:paraId="24C43E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0BE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10CEE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1FB9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FAC86">
            <w:pPr>
              <w:jc w:val="center"/>
            </w:pPr>
            <w:r>
              <w:rPr>
                <w:rFonts w:ascii="宋体" w:hAnsi="宋体" w:eastAsia="宋体"/>
                <w:sz w:val="16"/>
              </w:rPr>
              <w:t>查出主要问题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91BF4">
            <w:pPr>
              <w:jc w:val="center"/>
            </w:pPr>
            <w:r>
              <w:rPr>
                <w:rFonts w:ascii="宋体" w:hAnsi="宋体" w:eastAsia="宋体"/>
                <w:sz w:val="16"/>
              </w:rPr>
              <w:t>&gt;=39000万元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13F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ADEE2">
            <w:pPr>
              <w:jc w:val="center"/>
            </w:pPr>
            <w:r>
              <w:rPr>
                <w:rFonts w:ascii="宋体" w:hAnsi="宋体" w:eastAsia="宋体"/>
                <w:sz w:val="16"/>
              </w:rPr>
              <w:t>6528.5万元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2F0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C165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FE6CD">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BC198">
            <w:pPr>
              <w:jc w:val="center"/>
            </w:pPr>
            <w:r>
              <w:rPr>
                <w:rFonts w:ascii="宋体" w:hAnsi="宋体" w:eastAsia="宋体"/>
                <w:sz w:val="16"/>
              </w:rPr>
              <w:t>=39700万元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314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ECC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23FC3">
            <w:pPr>
              <w:jc w:val="center"/>
            </w:pPr>
          </w:p>
        </w:tc>
      </w:tr>
      <w:tr w14:paraId="7DB52D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FE3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C8B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3F42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28B44">
            <w:pPr>
              <w:jc w:val="center"/>
            </w:pPr>
            <w:r>
              <w:rPr>
                <w:rFonts w:ascii="宋体" w:hAnsi="宋体" w:eastAsia="宋体"/>
                <w:sz w:val="16"/>
              </w:rPr>
              <w:t>维护财经法规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C63E7">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3A7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A29BF">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BBE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3F4E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2368E">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C8F6F">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BA0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2ED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84A3">
            <w:pPr>
              <w:jc w:val="center"/>
            </w:pPr>
          </w:p>
        </w:tc>
      </w:tr>
      <w:tr w14:paraId="738399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F87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E8D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E16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EEEEE">
            <w:pPr>
              <w:jc w:val="center"/>
            </w:pPr>
            <w:r>
              <w:rPr>
                <w:rFonts w:ascii="宋体" w:hAnsi="宋体" w:eastAsia="宋体"/>
                <w:sz w:val="16"/>
              </w:rPr>
              <w:t>审计廉政投诉率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C04D8">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24F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36C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54D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8576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DEB61">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1717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77E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437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87E9F">
            <w:pPr>
              <w:jc w:val="center"/>
            </w:pPr>
          </w:p>
        </w:tc>
      </w:tr>
      <w:tr w14:paraId="3ED9118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5E3DE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7E96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B857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07BE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24B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BE7D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B9BE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99C6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F740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BF33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4B15A2"/>
        </w:tc>
      </w:tr>
    </w:tbl>
    <w:p w14:paraId="1E0E4D25">
      <w:r>
        <w:br w:type="page"/>
      </w:r>
    </w:p>
    <w:p w14:paraId="1CF4F176">
      <w:pPr>
        <w:spacing w:line="640" w:lineRule="exact"/>
        <w:ind w:firstLine="640"/>
        <w:jc w:val="both"/>
        <w:outlineLvl w:val="2"/>
      </w:pPr>
      <w:r>
        <w:rPr>
          <w:rFonts w:ascii="黑体" w:hAnsi="黑体" w:eastAsia="黑体"/>
          <w:sz w:val="32"/>
        </w:rPr>
        <w:t>十二、其他需说明的事项</w:t>
      </w:r>
    </w:p>
    <w:p w14:paraId="467161DA">
      <w:pPr>
        <w:spacing w:line="580" w:lineRule="exact"/>
        <w:ind w:firstLine="640"/>
        <w:jc w:val="both"/>
      </w:pPr>
      <w:r>
        <w:rPr>
          <w:rFonts w:ascii="仿宋_GB2312" w:hAnsi="仿宋_GB2312" w:eastAsia="仿宋_GB2312"/>
          <w:b w:val="0"/>
          <w:sz w:val="32"/>
        </w:rPr>
        <w:t>本单位无其他需说明的事项。</w:t>
      </w:r>
    </w:p>
    <w:p w14:paraId="4AFFEC3E">
      <w:r>
        <w:br w:type="page"/>
      </w:r>
    </w:p>
    <w:p w14:paraId="31187031">
      <w:pPr>
        <w:spacing w:line="240" w:lineRule="auto"/>
        <w:jc w:val="center"/>
        <w:outlineLvl w:val="1"/>
      </w:pPr>
      <w:r>
        <w:rPr>
          <w:rFonts w:ascii="黑体" w:hAnsi="黑体" w:eastAsia="黑体"/>
          <w:sz w:val="32"/>
        </w:rPr>
        <w:t>第三部分 专业名词解释</w:t>
      </w:r>
    </w:p>
    <w:p w14:paraId="4751467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E9633B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322682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5D7712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722691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1F48ED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165DE6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FDA4F4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DB852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8E8EBE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209477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83C673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3EDBAF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476848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0E37E0C">
      <w:r>
        <w:br w:type="page"/>
      </w:r>
    </w:p>
    <w:p w14:paraId="36A06ECD">
      <w:pPr>
        <w:spacing w:line="240" w:lineRule="auto"/>
        <w:jc w:val="center"/>
        <w:outlineLvl w:val="1"/>
      </w:pPr>
      <w:r>
        <w:rPr>
          <w:rFonts w:ascii="黑体" w:hAnsi="黑体" w:eastAsia="黑体"/>
          <w:sz w:val="32"/>
        </w:rPr>
        <w:t>第四部分 部门决算报表（见附表）</w:t>
      </w:r>
    </w:p>
    <w:p w14:paraId="5FA5155E">
      <w:pPr>
        <w:spacing w:line="240" w:lineRule="auto"/>
        <w:ind w:firstLine="640"/>
        <w:jc w:val="both"/>
      </w:pPr>
      <w:r>
        <w:rPr>
          <w:rFonts w:ascii="仿宋_GB2312" w:hAnsi="仿宋_GB2312" w:eastAsia="仿宋_GB2312"/>
          <w:b w:val="0"/>
          <w:sz w:val="32"/>
        </w:rPr>
        <w:t>一、《收入支出决算总表》</w:t>
      </w:r>
    </w:p>
    <w:p w14:paraId="376249BF">
      <w:pPr>
        <w:spacing w:line="240" w:lineRule="auto"/>
        <w:ind w:firstLine="640"/>
        <w:jc w:val="both"/>
      </w:pPr>
      <w:r>
        <w:rPr>
          <w:rFonts w:ascii="仿宋_GB2312" w:hAnsi="仿宋_GB2312" w:eastAsia="仿宋_GB2312"/>
          <w:b w:val="0"/>
          <w:sz w:val="32"/>
        </w:rPr>
        <w:t>二、《收入决算表》</w:t>
      </w:r>
    </w:p>
    <w:p w14:paraId="52838E07">
      <w:pPr>
        <w:spacing w:line="240" w:lineRule="auto"/>
        <w:ind w:firstLine="640"/>
        <w:jc w:val="both"/>
      </w:pPr>
      <w:r>
        <w:rPr>
          <w:rFonts w:ascii="仿宋_GB2312" w:hAnsi="仿宋_GB2312" w:eastAsia="仿宋_GB2312"/>
          <w:b w:val="0"/>
          <w:sz w:val="32"/>
        </w:rPr>
        <w:t>三、《支出决算表》</w:t>
      </w:r>
    </w:p>
    <w:p w14:paraId="2A03467B">
      <w:pPr>
        <w:spacing w:line="240" w:lineRule="auto"/>
        <w:ind w:firstLine="640"/>
        <w:jc w:val="both"/>
      </w:pPr>
      <w:r>
        <w:rPr>
          <w:rFonts w:ascii="仿宋_GB2312" w:hAnsi="仿宋_GB2312" w:eastAsia="仿宋_GB2312"/>
          <w:b w:val="0"/>
          <w:sz w:val="32"/>
        </w:rPr>
        <w:t>四、《财政拨款收入支出决算总表》</w:t>
      </w:r>
    </w:p>
    <w:p w14:paraId="1DBA815A">
      <w:pPr>
        <w:spacing w:line="240" w:lineRule="auto"/>
        <w:ind w:firstLine="640"/>
        <w:jc w:val="both"/>
      </w:pPr>
      <w:r>
        <w:rPr>
          <w:rFonts w:ascii="仿宋_GB2312" w:hAnsi="仿宋_GB2312" w:eastAsia="仿宋_GB2312"/>
          <w:b w:val="0"/>
          <w:sz w:val="32"/>
        </w:rPr>
        <w:t>五、《一般公共预算财政拨款支出决算表》</w:t>
      </w:r>
    </w:p>
    <w:p w14:paraId="0AD00813">
      <w:pPr>
        <w:spacing w:line="240" w:lineRule="auto"/>
        <w:ind w:firstLine="640"/>
        <w:jc w:val="both"/>
      </w:pPr>
      <w:r>
        <w:rPr>
          <w:rFonts w:ascii="仿宋_GB2312" w:hAnsi="仿宋_GB2312" w:eastAsia="仿宋_GB2312"/>
          <w:b w:val="0"/>
          <w:sz w:val="32"/>
        </w:rPr>
        <w:t>六、《一般公共预算财政拨款基本支出决算表》</w:t>
      </w:r>
    </w:p>
    <w:p w14:paraId="5A2056DC">
      <w:pPr>
        <w:spacing w:line="240" w:lineRule="auto"/>
        <w:ind w:firstLine="640"/>
        <w:jc w:val="both"/>
      </w:pPr>
      <w:r>
        <w:rPr>
          <w:rFonts w:ascii="仿宋_GB2312" w:hAnsi="仿宋_GB2312" w:eastAsia="仿宋_GB2312"/>
          <w:b w:val="0"/>
          <w:sz w:val="32"/>
        </w:rPr>
        <w:t>七、《政府性基金预算财政拨款收入支出决算表》</w:t>
      </w:r>
    </w:p>
    <w:p w14:paraId="403E30AA">
      <w:pPr>
        <w:spacing w:line="240" w:lineRule="auto"/>
        <w:ind w:firstLine="640"/>
        <w:jc w:val="both"/>
      </w:pPr>
      <w:r>
        <w:rPr>
          <w:rFonts w:ascii="仿宋_GB2312" w:hAnsi="仿宋_GB2312" w:eastAsia="仿宋_GB2312"/>
          <w:b w:val="0"/>
          <w:sz w:val="32"/>
        </w:rPr>
        <w:t>八、《国有资本经营预算财政拨款收入支出决算表》</w:t>
      </w:r>
    </w:p>
    <w:p w14:paraId="61BCC58C">
      <w:pPr>
        <w:spacing w:line="240" w:lineRule="auto"/>
        <w:ind w:firstLine="640"/>
        <w:jc w:val="both"/>
      </w:pPr>
      <w:r>
        <w:rPr>
          <w:rFonts w:ascii="仿宋_GB2312" w:hAnsi="仿宋_GB2312" w:eastAsia="仿宋_GB2312"/>
          <w:b w:val="0"/>
          <w:sz w:val="32"/>
        </w:rPr>
        <w:t>九、《财政拨款“三公”经费支出决算表》</w:t>
      </w:r>
    </w:p>
    <w:p w14:paraId="620B848F">
      <w:pPr>
        <w:spacing w:line="240" w:lineRule="auto"/>
        <w:ind w:firstLine="640"/>
        <w:jc w:val="both"/>
      </w:pPr>
    </w:p>
    <w:p w14:paraId="75810EC3">
      <w:pPr>
        <w:spacing w:line="240" w:lineRule="auto"/>
        <w:ind w:firstLine="640"/>
        <w:jc w:val="both"/>
      </w:pPr>
    </w:p>
    <w:p w14:paraId="4D7046B2">
      <w:pPr>
        <w:spacing w:line="240" w:lineRule="auto"/>
        <w:ind w:firstLine="640"/>
        <w:jc w:val="both"/>
      </w:pPr>
    </w:p>
    <w:p w14:paraId="5248C5C7">
      <w:pPr>
        <w:spacing w:line="240" w:lineRule="auto"/>
        <w:ind w:firstLine="640"/>
        <w:jc w:val="both"/>
      </w:pPr>
    </w:p>
    <w:p w14:paraId="5BCD0C4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BAB495D"/>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A52030"/>
    <w:rsid w:val="464B7E04"/>
    <w:rsid w:val="464F7E64"/>
    <w:rsid w:val="46901EEE"/>
    <w:rsid w:val="469C74D2"/>
    <w:rsid w:val="47445515"/>
    <w:rsid w:val="494E2307"/>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2C29BE"/>
    <w:rsid w:val="77ED6F44"/>
    <w:rsid w:val="795A0A34"/>
    <w:rsid w:val="7A0D3BC7"/>
    <w:rsid w:val="7A3A3CDB"/>
    <w:rsid w:val="7B396B42"/>
    <w:rsid w:val="7D4236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5799</Words>
  <Characters>6544</Characters>
  <Lines>0</Lines>
  <Paragraphs>0</Paragraphs>
  <TotalTime>2</TotalTime>
  <ScaleCrop>false</ScaleCrop>
  <LinksUpToDate>false</LinksUpToDate>
  <CharactersWithSpaces>6552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2025-10-31T10:59:51Z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