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托里县司法局2024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A921BF2">
      <w:r>
        <w:br w:type="page"/>
      </w:r>
    </w:p>
    <w:p w14:paraId="1BFFBC01">
      <w:pPr>
        <w:spacing w:line="640" w:lineRule="exact"/>
        <w:jc w:val="center"/>
        <w:outlineLvl w:val="1"/>
      </w:pPr>
      <w:r>
        <w:rPr>
          <w:rFonts w:ascii="黑体" w:hAnsi="黑体" w:eastAsia="黑体"/>
          <w:sz w:val="32"/>
        </w:rPr>
        <w:t>第一部分 单位概况</w:t>
      </w:r>
    </w:p>
    <w:p w14:paraId="672F8DCE">
      <w:pPr>
        <w:spacing w:line="640" w:lineRule="exact"/>
        <w:ind w:firstLine="640"/>
        <w:jc w:val="both"/>
        <w:outlineLvl w:val="2"/>
      </w:pPr>
      <w:r>
        <w:rPr>
          <w:rFonts w:ascii="黑体" w:hAnsi="黑体" w:eastAsia="黑体"/>
          <w:sz w:val="32"/>
        </w:rPr>
        <w:t>一、主要职能</w:t>
      </w:r>
    </w:p>
    <w:p w14:paraId="45C8E316">
      <w:pPr>
        <w:spacing w:line="580" w:lineRule="exact"/>
        <w:ind w:firstLine="640"/>
        <w:jc w:val="both"/>
      </w:pPr>
      <w:r>
        <w:rPr>
          <w:rFonts w:ascii="仿宋_GB2312" w:hAnsi="仿宋_GB2312" w:eastAsia="仿宋_GB2312"/>
          <w:sz w:val="32"/>
        </w:rPr>
        <w:t>（一）认真贯彻落实党和国家关于司法行政工作的方针、政策、法律法规，制定全县司法行政工作的中长期规划、年度计划并监督实施。</w:t>
      </w:r>
    </w:p>
    <w:p w14:paraId="0B9CE719">
      <w:pPr>
        <w:spacing w:line="580" w:lineRule="exact"/>
        <w:ind w:firstLine="640"/>
        <w:jc w:val="both"/>
      </w:pPr>
      <w:r>
        <w:rPr>
          <w:rFonts w:ascii="仿宋_GB2312" w:hAnsi="仿宋_GB2312" w:eastAsia="仿宋_GB2312"/>
          <w:sz w:val="32"/>
        </w:rPr>
        <w:t>（二）制定全县普法和依法治县规划并组织实施；具体承办县委依法治县领导组办公室的日常工作。</w:t>
      </w:r>
    </w:p>
    <w:p w14:paraId="575C0530">
      <w:pPr>
        <w:spacing w:line="580" w:lineRule="exact"/>
        <w:ind w:firstLine="640"/>
        <w:jc w:val="both"/>
      </w:pPr>
      <w:r>
        <w:rPr>
          <w:rFonts w:ascii="仿宋_GB2312" w:hAnsi="仿宋_GB2312" w:eastAsia="仿宋_GB2312"/>
          <w:sz w:val="32"/>
        </w:rPr>
        <w:t>（三）指导和管理全县律师、法律援助和法律顾问工作。</w:t>
      </w:r>
    </w:p>
    <w:p w14:paraId="39CA150D">
      <w:pPr>
        <w:spacing w:line="580" w:lineRule="exact"/>
        <w:ind w:firstLine="640"/>
        <w:jc w:val="both"/>
      </w:pPr>
      <w:r>
        <w:rPr>
          <w:rFonts w:ascii="仿宋_GB2312" w:hAnsi="仿宋_GB2312" w:eastAsia="仿宋_GB2312"/>
          <w:sz w:val="32"/>
        </w:rPr>
        <w:t>（四）指导和管理全县的公证工作。</w:t>
      </w:r>
    </w:p>
    <w:p w14:paraId="1384AC4A">
      <w:pPr>
        <w:spacing w:line="580" w:lineRule="exact"/>
        <w:ind w:firstLine="640"/>
        <w:jc w:val="both"/>
      </w:pPr>
      <w:r>
        <w:rPr>
          <w:rFonts w:ascii="仿宋_GB2312" w:hAnsi="仿宋_GB2312" w:eastAsia="仿宋_GB2312"/>
          <w:sz w:val="32"/>
        </w:rPr>
        <w:t>（五）指导和管理全县的人民调解、司法助理员、司法所、法律服务工作。</w:t>
      </w:r>
    </w:p>
    <w:p w14:paraId="6CD140FF">
      <w:pPr>
        <w:spacing w:line="580" w:lineRule="exact"/>
        <w:ind w:firstLine="640"/>
        <w:jc w:val="both"/>
      </w:pPr>
      <w:r>
        <w:rPr>
          <w:rFonts w:ascii="仿宋_GB2312" w:hAnsi="仿宋_GB2312" w:eastAsia="仿宋_GB2312"/>
          <w:sz w:val="32"/>
        </w:rPr>
        <w:t>（六）指导和管理全县的法律服务工作。</w:t>
      </w:r>
    </w:p>
    <w:p w14:paraId="34C7151B">
      <w:pPr>
        <w:spacing w:line="580" w:lineRule="exact"/>
        <w:ind w:firstLine="640"/>
        <w:jc w:val="both"/>
      </w:pPr>
      <w:r>
        <w:rPr>
          <w:rFonts w:ascii="仿宋_GB2312" w:hAnsi="仿宋_GB2312" w:eastAsia="仿宋_GB2312"/>
          <w:sz w:val="32"/>
        </w:rPr>
        <w:t>（七）指导全县法学教育、司法考试、法学理论研究工作。</w:t>
      </w:r>
    </w:p>
    <w:p w14:paraId="591A2784">
      <w:pPr>
        <w:spacing w:line="580" w:lineRule="exact"/>
        <w:ind w:firstLine="640"/>
        <w:jc w:val="both"/>
      </w:pPr>
      <w:r>
        <w:rPr>
          <w:rFonts w:ascii="仿宋_GB2312" w:hAnsi="仿宋_GB2312" w:eastAsia="仿宋_GB2312"/>
          <w:sz w:val="32"/>
        </w:rPr>
        <w:t>（八）负责全县司法行政系统的规范性文件、执法监督检查、行政复议、应诉等法制工作。</w:t>
      </w:r>
    </w:p>
    <w:p w14:paraId="00BCE4D7">
      <w:pPr>
        <w:spacing w:line="580" w:lineRule="exact"/>
        <w:ind w:firstLine="640"/>
        <w:jc w:val="both"/>
      </w:pPr>
      <w:r>
        <w:rPr>
          <w:rFonts w:ascii="仿宋_GB2312" w:hAnsi="仿宋_GB2312" w:eastAsia="仿宋_GB2312"/>
          <w:sz w:val="32"/>
        </w:rPr>
        <w:t>（九）负责全县仲裁机构和面向社会服务的司法鉴定机构的管理工作。</w:t>
      </w:r>
    </w:p>
    <w:p w14:paraId="3DEFE4A1">
      <w:pPr>
        <w:spacing w:line="580" w:lineRule="exact"/>
        <w:ind w:firstLine="640"/>
        <w:jc w:val="both"/>
      </w:pPr>
      <w:r>
        <w:rPr>
          <w:rFonts w:ascii="仿宋_GB2312" w:hAnsi="仿宋_GB2312" w:eastAsia="仿宋_GB2312"/>
          <w:sz w:val="32"/>
        </w:rPr>
        <w:t>（十）负责本县的司法行政干警和法律服务工作者的队伍建设和思想政治工作。</w:t>
      </w:r>
    </w:p>
    <w:p w14:paraId="6BE3FD1E">
      <w:pPr>
        <w:spacing w:line="640" w:lineRule="exact"/>
        <w:ind w:firstLine="640"/>
        <w:jc w:val="both"/>
        <w:outlineLvl w:val="2"/>
      </w:pPr>
      <w:r>
        <w:rPr>
          <w:rFonts w:ascii="黑体" w:hAnsi="黑体" w:eastAsia="黑体"/>
          <w:sz w:val="32"/>
        </w:rPr>
        <w:t>二、机构设置及人员情况</w:t>
      </w:r>
    </w:p>
    <w:p w14:paraId="364523FA">
      <w:pPr>
        <w:spacing w:line="580" w:lineRule="exact"/>
        <w:ind w:firstLine="640"/>
        <w:jc w:val="both"/>
      </w:pPr>
      <w:r>
        <w:rPr>
          <w:rFonts w:ascii="仿宋_GB2312" w:hAnsi="仿宋_GB2312" w:eastAsia="仿宋_GB2312"/>
          <w:sz w:val="32"/>
        </w:rPr>
        <w:t>托里县司法局2024年度，实有人数64人，其中：在职人员24人，减少2人；离休人员0人，增加0人；退休人员40人,增加3人。</w:t>
      </w:r>
    </w:p>
    <w:p w14:paraId="0034C82B">
      <w:pPr>
        <w:spacing w:line="580" w:lineRule="exact"/>
        <w:ind w:firstLine="640"/>
        <w:jc w:val="both"/>
      </w:pPr>
      <w:r>
        <w:rPr>
          <w:rFonts w:ascii="仿宋_GB2312" w:hAnsi="仿宋_GB2312" w:eastAsia="仿宋_GB2312"/>
          <w:sz w:val="32"/>
        </w:rPr>
        <w:t>托里县司法局无下属预算单位，下设12个科室，分别是：综合办公室、中共托里县委全面依法治县委员会办公室、法制办、社区矫正办、安置帮教办、普法办、律管办、基层法律服务所办、公共法律服务中心、财务室、人民参与和促进法治办、法援办。</w:t>
      </w:r>
    </w:p>
    <w:p w14:paraId="0AA107BB">
      <w:r>
        <w:br w:type="page"/>
      </w:r>
    </w:p>
    <w:p w14:paraId="6C0DD9A2">
      <w:pPr>
        <w:spacing w:line="240" w:lineRule="auto"/>
        <w:jc w:val="center"/>
        <w:outlineLvl w:val="1"/>
      </w:pPr>
      <w:r>
        <w:rPr>
          <w:rFonts w:ascii="黑体" w:hAnsi="黑体" w:eastAsia="黑体"/>
          <w:sz w:val="32"/>
        </w:rPr>
        <w:t>第二部分 部门决算情况说明</w:t>
      </w:r>
    </w:p>
    <w:p w14:paraId="46C1B1D2">
      <w:pPr>
        <w:spacing w:line="640" w:lineRule="exact"/>
        <w:ind w:firstLine="640"/>
        <w:jc w:val="both"/>
        <w:outlineLvl w:val="2"/>
      </w:pPr>
      <w:r>
        <w:rPr>
          <w:rFonts w:ascii="黑体" w:hAnsi="黑体" w:eastAsia="黑体"/>
          <w:sz w:val="32"/>
        </w:rPr>
        <w:t>一、收入支出决算总体情况说明</w:t>
      </w:r>
    </w:p>
    <w:p w14:paraId="20E8107E">
      <w:pPr>
        <w:spacing w:line="580" w:lineRule="exact"/>
        <w:ind w:firstLine="640"/>
        <w:jc w:val="both"/>
      </w:pPr>
      <w:r>
        <w:rPr>
          <w:rFonts w:ascii="仿宋_GB2312" w:hAnsi="仿宋_GB2312" w:eastAsia="仿宋_GB2312"/>
          <w:b/>
          <w:sz w:val="32"/>
        </w:rPr>
        <w:t>2024年度收入总计736.78万元，</w:t>
      </w:r>
      <w:r>
        <w:rPr>
          <w:rFonts w:ascii="仿宋_GB2312" w:hAnsi="仿宋_GB2312" w:eastAsia="仿宋_GB2312"/>
          <w:b w:val="0"/>
          <w:sz w:val="32"/>
        </w:rPr>
        <w:t>其中：本年收入合计734.58万元，使用非财政拨款结余（含专用结余）0.00万元，年初结转和结余2.21万元。</w:t>
      </w:r>
    </w:p>
    <w:p w14:paraId="42FCD7FA">
      <w:pPr>
        <w:spacing w:line="580" w:lineRule="exact"/>
        <w:ind w:firstLine="640"/>
        <w:jc w:val="both"/>
      </w:pPr>
      <w:r>
        <w:rPr>
          <w:rFonts w:ascii="仿宋_GB2312" w:hAnsi="仿宋_GB2312" w:eastAsia="仿宋_GB2312"/>
          <w:b/>
          <w:sz w:val="32"/>
        </w:rPr>
        <w:t>2024年度支出总计736.78万元，</w:t>
      </w:r>
      <w:r>
        <w:rPr>
          <w:rFonts w:ascii="仿宋_GB2312" w:hAnsi="仿宋_GB2312" w:eastAsia="仿宋_GB2312"/>
          <w:b w:val="0"/>
          <w:sz w:val="32"/>
        </w:rPr>
        <w:t>其中：本年支出合计734.57万元，结余分配0.00万元，年末结转和结余2.22万元。</w:t>
      </w:r>
    </w:p>
    <w:p w14:paraId="3BEBDFF3">
      <w:pPr>
        <w:spacing w:line="580" w:lineRule="exact"/>
        <w:ind w:firstLine="640"/>
        <w:jc w:val="both"/>
      </w:pPr>
      <w:r>
        <w:rPr>
          <w:rFonts w:ascii="仿宋_GB2312" w:hAnsi="仿宋_GB2312" w:eastAsia="仿宋_GB2312"/>
          <w:b w:val="0"/>
          <w:sz w:val="32"/>
        </w:rPr>
        <w:t>收入支出总体与上年相比，增加46.86万元，增长6.79%，主要原因是：本年增加</w:t>
      </w:r>
      <w:r>
        <w:rPr>
          <w:rFonts w:hint="eastAsia" w:ascii="仿宋_GB2312" w:hAnsi="仿宋_GB2312" w:eastAsia="仿宋_GB2312"/>
          <w:b w:val="0"/>
          <w:sz w:val="32"/>
        </w:rPr>
        <w:t>转移支付资金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增加退休去世人员抚恤金及在职转退休人员职业年金</w:t>
      </w:r>
      <w:r>
        <w:rPr>
          <w:rFonts w:ascii="仿宋_GB2312" w:hAnsi="仿宋_GB2312" w:eastAsia="仿宋_GB2312"/>
          <w:b w:val="0"/>
          <w:sz w:val="32"/>
        </w:rPr>
        <w:t>。</w:t>
      </w:r>
    </w:p>
    <w:p w14:paraId="1A6759B9">
      <w:pPr>
        <w:spacing w:line="640" w:lineRule="exact"/>
        <w:ind w:firstLine="640"/>
        <w:jc w:val="both"/>
        <w:outlineLvl w:val="2"/>
      </w:pPr>
      <w:r>
        <w:rPr>
          <w:rFonts w:ascii="黑体" w:hAnsi="黑体" w:eastAsia="黑体"/>
          <w:sz w:val="32"/>
        </w:rPr>
        <w:t>二、收入决算情况说明</w:t>
      </w:r>
    </w:p>
    <w:p w14:paraId="7120C60F">
      <w:pPr>
        <w:spacing w:line="580" w:lineRule="exact"/>
        <w:ind w:firstLine="640"/>
        <w:jc w:val="both"/>
      </w:pPr>
      <w:r>
        <w:rPr>
          <w:rFonts w:ascii="仿宋_GB2312" w:hAnsi="仿宋_GB2312" w:eastAsia="仿宋_GB2312"/>
          <w:b/>
          <w:sz w:val="32"/>
        </w:rPr>
        <w:t>本年收入734.58万元，</w:t>
      </w:r>
      <w:r>
        <w:rPr>
          <w:rFonts w:ascii="仿宋_GB2312" w:hAnsi="仿宋_GB2312" w:eastAsia="仿宋_GB2312"/>
          <w:b w:val="0"/>
          <w:sz w:val="32"/>
        </w:rPr>
        <w:t>其中：财政拨款收入734.57万元，占100.00%；上级补助收入0.00万元，占0.00%；事业收入0.00万元，占0.00%；经营收入0.00万元，占0.00%；附属单位上缴收入0.00万元，占0.00%；其他收入0.01万元，占0.001%。</w:t>
      </w:r>
    </w:p>
    <w:p w14:paraId="73FF515B">
      <w:pPr>
        <w:spacing w:line="640" w:lineRule="exact"/>
        <w:ind w:firstLine="640"/>
        <w:jc w:val="both"/>
        <w:outlineLvl w:val="2"/>
      </w:pPr>
      <w:r>
        <w:rPr>
          <w:rFonts w:ascii="黑体" w:hAnsi="黑体" w:eastAsia="黑体"/>
          <w:sz w:val="32"/>
        </w:rPr>
        <w:t>三、支出决算情况说明</w:t>
      </w:r>
    </w:p>
    <w:p w14:paraId="3A57BFC7">
      <w:pPr>
        <w:spacing w:line="580" w:lineRule="exact"/>
        <w:ind w:firstLine="640"/>
        <w:jc w:val="both"/>
      </w:pPr>
      <w:r>
        <w:rPr>
          <w:rFonts w:ascii="仿宋_GB2312" w:hAnsi="仿宋_GB2312" w:eastAsia="仿宋_GB2312"/>
          <w:b/>
          <w:sz w:val="32"/>
        </w:rPr>
        <w:t>本年支出734.57万元，</w:t>
      </w:r>
      <w:r>
        <w:rPr>
          <w:rFonts w:ascii="仿宋_GB2312" w:hAnsi="仿宋_GB2312" w:eastAsia="仿宋_GB2312"/>
          <w:b w:val="0"/>
          <w:sz w:val="32"/>
        </w:rPr>
        <w:t>其中：基本支出604.99万元，占82.36%；项目支出129.57万元，占17.64%；上缴上级支出0.00万元，占0.00%；经营支出0.00万元，占0.00%；对附属单位补助支出0.00万元，占0.00%。</w:t>
      </w:r>
    </w:p>
    <w:p w14:paraId="22930995">
      <w:pPr>
        <w:spacing w:line="640" w:lineRule="exact"/>
        <w:ind w:firstLine="640"/>
        <w:jc w:val="both"/>
        <w:outlineLvl w:val="2"/>
      </w:pPr>
      <w:r>
        <w:rPr>
          <w:rFonts w:ascii="黑体" w:hAnsi="黑体" w:eastAsia="黑体"/>
          <w:sz w:val="32"/>
        </w:rPr>
        <w:t>四、财政拨款收入支出决算总体情况说明</w:t>
      </w:r>
    </w:p>
    <w:p w14:paraId="22EDD6C2">
      <w:pPr>
        <w:spacing w:line="580" w:lineRule="exact"/>
        <w:ind w:firstLine="640"/>
        <w:jc w:val="both"/>
      </w:pPr>
      <w:r>
        <w:rPr>
          <w:rFonts w:ascii="仿宋_GB2312" w:hAnsi="仿宋_GB2312" w:eastAsia="仿宋_GB2312"/>
          <w:b/>
          <w:sz w:val="32"/>
        </w:rPr>
        <w:t>2024年度财政拨款收入总计735.02万元，</w:t>
      </w:r>
      <w:r>
        <w:rPr>
          <w:rFonts w:ascii="仿宋_GB2312" w:hAnsi="仿宋_GB2312" w:eastAsia="仿宋_GB2312"/>
          <w:b w:val="0"/>
          <w:sz w:val="32"/>
        </w:rPr>
        <w:t>其中：年初财政拨款结转和结余0.45万元，本年财政拨款收入734.57万元。</w:t>
      </w:r>
      <w:r>
        <w:rPr>
          <w:rFonts w:ascii="仿宋_GB2312" w:hAnsi="仿宋_GB2312" w:eastAsia="仿宋_GB2312"/>
          <w:b/>
          <w:sz w:val="32"/>
        </w:rPr>
        <w:t>财政拨款支出总计735.02万元，</w:t>
      </w:r>
      <w:r>
        <w:rPr>
          <w:rFonts w:ascii="仿宋_GB2312" w:hAnsi="仿宋_GB2312" w:eastAsia="仿宋_GB2312"/>
          <w:b w:val="0"/>
          <w:sz w:val="32"/>
        </w:rPr>
        <w:t>其中：年末财政拨款结转和结余0.45万元，本年财政拨款支出734.57万元。</w:t>
      </w:r>
    </w:p>
    <w:p w14:paraId="3C8E76B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增加46.85万元，增长6.81%，主要原因是：本年增加</w:t>
      </w:r>
      <w:r>
        <w:rPr>
          <w:rFonts w:hint="eastAsia" w:ascii="仿宋_GB2312" w:hAnsi="仿宋_GB2312" w:eastAsia="仿宋_GB2312"/>
          <w:b w:val="0"/>
          <w:sz w:val="32"/>
        </w:rPr>
        <w:t>转移支付资金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增加退休去世人员抚恤金及在职转退休人员职业年金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年初预算数707.77万元，决算数735.02万元，预决算差异率3.85%，主要原因是：年中追加人员工资、社保、公积金基数调增部分资金，导致预决算存在差异。</w:t>
      </w:r>
    </w:p>
    <w:p w14:paraId="4A8A19BB">
      <w:pPr>
        <w:spacing w:line="640" w:lineRule="exact"/>
        <w:ind w:firstLine="640"/>
        <w:jc w:val="both"/>
        <w:outlineLvl w:val="2"/>
      </w:pPr>
      <w:r>
        <w:rPr>
          <w:rFonts w:ascii="黑体" w:hAnsi="黑体" w:eastAsia="黑体"/>
          <w:sz w:val="32"/>
        </w:rPr>
        <w:t>五、一般公共预算财政拨款支出决算情况说明</w:t>
      </w:r>
    </w:p>
    <w:p w14:paraId="31BF770A">
      <w:pPr>
        <w:spacing w:line="640" w:lineRule="exact"/>
        <w:ind w:firstLine="640"/>
        <w:jc w:val="both"/>
        <w:outlineLvl w:val="3"/>
      </w:pPr>
      <w:r>
        <w:rPr>
          <w:rFonts w:ascii="楷体_GB2312" w:hAnsi="楷体_GB2312" w:eastAsia="楷体_GB2312"/>
          <w:b/>
          <w:sz w:val="32"/>
        </w:rPr>
        <w:t>（一）一般公共预算财政拨款支出决算总体情况</w:t>
      </w:r>
    </w:p>
    <w:p w14:paraId="3BFEFEDF">
      <w:pPr>
        <w:spacing w:line="580" w:lineRule="exact"/>
        <w:ind w:firstLine="640"/>
        <w:jc w:val="both"/>
      </w:pPr>
      <w:r>
        <w:rPr>
          <w:rFonts w:ascii="仿宋_GB2312" w:hAnsi="仿宋_GB2312" w:eastAsia="仿宋_GB2312"/>
          <w:b/>
          <w:sz w:val="32"/>
        </w:rPr>
        <w:t>2024年度一般公共预算财政拨款支出734.57万元，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增加46.86万元，增长6.81%，主要原因是：本年增加</w:t>
      </w:r>
      <w:r>
        <w:rPr>
          <w:rFonts w:hint="eastAsia" w:ascii="仿宋_GB2312" w:hAnsi="仿宋_GB2312" w:eastAsia="仿宋_GB2312"/>
          <w:b w:val="0"/>
          <w:sz w:val="32"/>
        </w:rPr>
        <w:t>转移支付资金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增加退休去世人员抚恤金及在职转退休人员职业年金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年初预算数707.77万元，决算数734.57万元，预决算差异率3.79%，主要原因是：年中追加人员工资、社保、公积金基数调增部分资金，导致预决算存在差异。</w:t>
      </w:r>
    </w:p>
    <w:p w14:paraId="5619615F">
      <w:pPr>
        <w:spacing w:line="640" w:lineRule="exact"/>
        <w:ind w:firstLine="640"/>
        <w:jc w:val="both"/>
        <w:outlineLvl w:val="3"/>
      </w:pPr>
      <w:r>
        <w:rPr>
          <w:rFonts w:ascii="楷体_GB2312" w:hAnsi="楷体_GB2312" w:eastAsia="楷体_GB2312"/>
          <w:b/>
          <w:sz w:val="32"/>
        </w:rPr>
        <w:t>（二）一般公共预算财政拨款支出决算结构情况</w:t>
      </w:r>
    </w:p>
    <w:p w14:paraId="19FE3F13">
      <w:pPr>
        <w:spacing w:line="580" w:lineRule="exact"/>
        <w:ind w:firstLine="640"/>
        <w:jc w:val="both"/>
      </w:pPr>
      <w:r>
        <w:rPr>
          <w:rFonts w:ascii="仿宋_GB2312" w:hAnsi="仿宋_GB2312" w:eastAsia="仿宋_GB2312"/>
          <w:b w:val="0"/>
          <w:sz w:val="32"/>
        </w:rPr>
        <w:t>1.公共安全支出(类)533.55万元,占72.63%。</w:t>
      </w:r>
    </w:p>
    <w:p w14:paraId="20867E13">
      <w:pPr>
        <w:spacing w:line="580" w:lineRule="exact"/>
        <w:ind w:firstLine="640"/>
        <w:jc w:val="both"/>
      </w:pPr>
      <w:r>
        <w:rPr>
          <w:rFonts w:ascii="仿宋_GB2312" w:hAnsi="仿宋_GB2312" w:eastAsia="仿宋_GB2312"/>
          <w:b w:val="0"/>
          <w:sz w:val="32"/>
        </w:rPr>
        <w:t>2.社会保障和就业支出(类)137.96万元,占18.78%。</w:t>
      </w:r>
    </w:p>
    <w:p w14:paraId="3D3B2466">
      <w:pPr>
        <w:spacing w:line="580" w:lineRule="exact"/>
        <w:ind w:firstLine="640"/>
        <w:jc w:val="both"/>
      </w:pPr>
      <w:r>
        <w:rPr>
          <w:rFonts w:ascii="仿宋_GB2312" w:hAnsi="仿宋_GB2312" w:eastAsia="仿宋_GB2312"/>
          <w:b w:val="0"/>
          <w:sz w:val="32"/>
        </w:rPr>
        <w:t>3.卫生健康支出(类)27.54万元,占3.75%。</w:t>
      </w:r>
    </w:p>
    <w:p w14:paraId="296E49F7">
      <w:pPr>
        <w:spacing w:line="580" w:lineRule="exact"/>
        <w:ind w:firstLine="640"/>
        <w:jc w:val="both"/>
      </w:pPr>
      <w:r>
        <w:rPr>
          <w:rFonts w:ascii="仿宋_GB2312" w:hAnsi="仿宋_GB2312" w:eastAsia="仿宋_GB2312"/>
          <w:b w:val="0"/>
          <w:sz w:val="32"/>
        </w:rPr>
        <w:t>4.住房保障支出(类)35.53万元,占4.84%。</w:t>
      </w:r>
    </w:p>
    <w:p w14:paraId="4211F46F">
      <w:pPr>
        <w:spacing w:line="640" w:lineRule="exact"/>
        <w:ind w:firstLine="640"/>
        <w:jc w:val="both"/>
        <w:outlineLvl w:val="3"/>
      </w:pPr>
      <w:r>
        <w:rPr>
          <w:rFonts w:ascii="楷体_GB2312" w:hAnsi="楷体_GB2312" w:eastAsia="楷体_GB2312"/>
          <w:b/>
          <w:sz w:val="32"/>
        </w:rPr>
        <w:t>（三）一般公共预算财政拨款支出决算具体情况</w:t>
      </w:r>
    </w:p>
    <w:p w14:paraId="4EE32CC4">
      <w:pPr>
        <w:spacing w:line="580" w:lineRule="exact"/>
        <w:ind w:firstLine="640"/>
        <w:jc w:val="both"/>
      </w:pPr>
      <w:r>
        <w:rPr>
          <w:rFonts w:ascii="仿宋_GB2312" w:hAnsi="仿宋_GB2312" w:eastAsia="仿宋_GB2312"/>
          <w:b w:val="0"/>
          <w:sz w:val="32"/>
        </w:rPr>
        <w:t>1.公共安全支出(类)司法(款)行政运行(项):支出决算数为403.97万元，比上年决算减少41.55万元，下降9.33%,主要原因是：本年在职人员</w:t>
      </w:r>
      <w:r>
        <w:rPr>
          <w:rFonts w:hint="eastAsia" w:ascii="仿宋_GB2312" w:hAnsi="仿宋_GB2312" w:eastAsia="仿宋_GB2312"/>
          <w:b w:val="0"/>
          <w:sz w:val="32"/>
          <w:lang w:val="en-US" w:eastAsia="zh-CN"/>
        </w:rPr>
        <w:t>减少，</w:t>
      </w:r>
      <w:r>
        <w:rPr>
          <w:rFonts w:ascii="仿宋_GB2312" w:hAnsi="仿宋_GB2312" w:eastAsia="仿宋_GB2312"/>
          <w:b w:val="0"/>
          <w:sz w:val="32"/>
        </w:rPr>
        <w:t>导致人员经费较上年减少。</w:t>
      </w:r>
    </w:p>
    <w:p w14:paraId="5AFDD3AB">
      <w:pPr>
        <w:spacing w:line="580" w:lineRule="exact"/>
        <w:ind w:firstLine="640"/>
        <w:jc w:val="both"/>
      </w:pPr>
      <w:r>
        <w:rPr>
          <w:rFonts w:ascii="仿宋_GB2312" w:hAnsi="仿宋_GB2312" w:eastAsia="仿宋_GB2312"/>
          <w:b w:val="0"/>
          <w:sz w:val="32"/>
        </w:rPr>
        <w:t>2.公共安全支出(类)司法(款)其他司法支出(项):支出决算数为129.57万元，比上年决算增加33.25万元，增长34.52%,主要原因是：本年</w:t>
      </w:r>
      <w:r>
        <w:rPr>
          <w:rFonts w:hint="eastAsia" w:ascii="仿宋_GB2312" w:hAnsi="仿宋_GB2312" w:eastAsia="仿宋_GB2312"/>
          <w:b w:val="0"/>
          <w:sz w:val="32"/>
          <w:lang w:val="en-US" w:eastAsia="zh-CN"/>
        </w:rPr>
        <w:t>增加</w:t>
      </w:r>
      <w:r>
        <w:rPr>
          <w:rFonts w:hint="eastAsia" w:ascii="仿宋_GB2312" w:hAnsi="仿宋_GB2312" w:eastAsia="仿宋_GB2312"/>
          <w:b w:val="0"/>
          <w:sz w:val="32"/>
        </w:rPr>
        <w:t>转移支付资金</w:t>
      </w:r>
      <w:r>
        <w:rPr>
          <w:rFonts w:hint="eastAsia" w:ascii="仿宋_GB2312" w:hAnsi="仿宋_GB2312" w:eastAsia="仿宋_GB2312"/>
          <w:b w:val="0"/>
          <w:sz w:val="32"/>
          <w:lang w:eastAsia="zh-CN"/>
        </w:rPr>
        <w:t>（</w:t>
      </w:r>
      <w:r>
        <w:rPr>
          <w:rFonts w:hint="eastAsia" w:ascii="仿宋_GB2312" w:hAnsi="仿宋_GB2312" w:eastAsia="仿宋_GB2312"/>
          <w:b w:val="0"/>
          <w:sz w:val="32"/>
        </w:rPr>
        <w:t>用于保障单位业务工作正常运行</w:t>
      </w:r>
      <w:r>
        <w:rPr>
          <w:rFonts w:hint="eastAsia" w:ascii="仿宋_GB2312" w:hAnsi="仿宋_GB2312" w:eastAsia="仿宋_GB2312"/>
          <w:b w:val="0"/>
          <w:sz w:val="32"/>
          <w:lang w:eastAsia="zh-CN"/>
        </w:rPr>
        <w:t>）</w:t>
      </w:r>
      <w:r>
        <w:rPr>
          <w:rFonts w:ascii="仿宋_GB2312" w:hAnsi="仿宋_GB2312" w:eastAsia="仿宋_GB2312"/>
          <w:b w:val="0"/>
          <w:sz w:val="32"/>
        </w:rPr>
        <w:t>。</w:t>
      </w:r>
    </w:p>
    <w:p w14:paraId="368BD373">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3.社会保障和就业支出(类)行政事业单位养老支出(款)行政单位离退休(项):支出决算数为53.07万元，比上年决算增加30.98万元，增长140.24%,主要原因是：本年增加退休人员去世，增加一次性抚恤金，导致单位离退休</w:t>
      </w:r>
      <w:r>
        <w:rPr>
          <w:rFonts w:hint="eastAsia" w:ascii="仿宋_GB2312" w:hAnsi="仿宋_GB2312" w:eastAsia="仿宋_GB2312"/>
          <w:b w:val="0"/>
          <w:sz w:val="32"/>
          <w:lang w:val="en-US" w:eastAsia="zh-CN"/>
        </w:rPr>
        <w:t>经费</w:t>
      </w:r>
      <w:r>
        <w:rPr>
          <w:rFonts w:ascii="仿宋_GB2312" w:hAnsi="仿宋_GB2312" w:eastAsia="仿宋_GB2312"/>
          <w:b w:val="0"/>
          <w:sz w:val="32"/>
        </w:rPr>
        <w:t>增加。</w:t>
      </w:r>
    </w:p>
    <w:p w14:paraId="527C5272">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45.28万元，比上年决算增加0.41万元，增长0.91%,主要原因是：本年在职人员工资基数调增，养老缴费基数上涨，相应支出增加。</w:t>
      </w:r>
    </w:p>
    <w:p w14:paraId="703F1A46">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5.社会保障和就业支出(类)行政事业单位养老支出(款)机关事业单位职业年金缴费支出(项):支出决算数为39.61万元，比上年决算增加25.99万元，增长190.82%,主要原因是：本年新增退休人员</w:t>
      </w:r>
      <w:r>
        <w:rPr>
          <w:rFonts w:hint="eastAsia" w:ascii="仿宋_GB2312" w:hAnsi="仿宋_GB2312" w:eastAsia="仿宋_GB2312"/>
          <w:b w:val="0"/>
          <w:sz w:val="32"/>
          <w:lang w:val="en-US" w:eastAsia="zh-CN"/>
        </w:rPr>
        <w:t>较上年增加</w:t>
      </w:r>
      <w:r>
        <w:rPr>
          <w:rFonts w:ascii="仿宋_GB2312" w:hAnsi="仿宋_GB2312" w:eastAsia="仿宋_GB2312"/>
          <w:b w:val="0"/>
          <w:sz w:val="32"/>
        </w:rPr>
        <w:t>，导致单位职业年金缴费支出增加。</w:t>
      </w:r>
    </w:p>
    <w:p w14:paraId="57D03791">
      <w:pPr>
        <w:spacing w:line="580" w:lineRule="exact"/>
        <w:ind w:firstLine="640"/>
        <w:jc w:val="both"/>
      </w:pPr>
      <w:r>
        <w:rPr>
          <w:rFonts w:ascii="仿宋_GB2312" w:hAnsi="仿宋_GB2312" w:eastAsia="仿宋_GB2312"/>
          <w:b w:val="0"/>
          <w:sz w:val="32"/>
        </w:rPr>
        <w:t>6.卫生健康支出(类)行政事业单位医疗(款)行政单位医疗(项):支出决算数为19.53万元，比上年决算减少0.86万元，下降4.22%,主要原因是：本年在职人员减少，行政单位医疗支出较上年减少。</w:t>
      </w:r>
    </w:p>
    <w:p w14:paraId="179AA5BA">
      <w:pPr>
        <w:spacing w:line="580" w:lineRule="exact"/>
        <w:ind w:firstLine="640"/>
        <w:jc w:val="both"/>
      </w:pPr>
      <w:r>
        <w:rPr>
          <w:rFonts w:ascii="仿宋_GB2312" w:hAnsi="仿宋_GB2312" w:eastAsia="仿宋_GB2312"/>
          <w:b w:val="0"/>
          <w:sz w:val="32"/>
        </w:rPr>
        <w:t>7.卫生健康支出(类)行政事业单位医疗(款)公务员医疗补助(项):支出决算数为8.01万元，比上年决算减少0.94万元，下降10.50%,主要原因是：本年在职人员减少，公务员医疗补助较上年减少。</w:t>
      </w:r>
    </w:p>
    <w:p w14:paraId="3C261CE7">
      <w:pPr>
        <w:spacing w:line="580" w:lineRule="exact"/>
        <w:ind w:firstLine="640"/>
        <w:jc w:val="both"/>
      </w:pPr>
      <w:r>
        <w:rPr>
          <w:rFonts w:ascii="仿宋_GB2312" w:hAnsi="仿宋_GB2312" w:eastAsia="仿宋_GB2312"/>
          <w:b w:val="0"/>
          <w:sz w:val="32"/>
        </w:rPr>
        <w:t>8.住房保障支出(类)住房改革支出(款)住房公积金(项):支出决算数为35.53万元，比上年决算减少0.43万元，下降1.20%,主要原因是：本年在职人员减少，住房公积金缴费较上年减少。</w:t>
      </w:r>
    </w:p>
    <w:p w14:paraId="2C2203DE">
      <w:pPr>
        <w:spacing w:line="640" w:lineRule="exact"/>
        <w:ind w:firstLine="640"/>
        <w:jc w:val="both"/>
        <w:outlineLvl w:val="2"/>
      </w:pPr>
      <w:r>
        <w:rPr>
          <w:rFonts w:ascii="黑体" w:hAnsi="黑体" w:eastAsia="黑体"/>
          <w:sz w:val="32"/>
        </w:rPr>
        <w:t>六、一般公共预算财政拨款基本支出决算情况说明</w:t>
      </w:r>
    </w:p>
    <w:p w14:paraId="003A4266">
      <w:pPr>
        <w:spacing w:line="580" w:lineRule="exact"/>
        <w:ind w:firstLine="640"/>
        <w:jc w:val="both"/>
      </w:pPr>
      <w:r>
        <w:rPr>
          <w:rFonts w:ascii="仿宋_GB2312" w:hAnsi="仿宋_GB2312" w:eastAsia="仿宋_GB2312"/>
          <w:b w:val="0"/>
          <w:sz w:val="32"/>
        </w:rPr>
        <w:t>2024年度一般公共预算财政拨款基本支出604.99万元，其中：</w:t>
      </w:r>
      <w:r>
        <w:rPr>
          <w:rFonts w:ascii="仿宋_GB2312" w:hAnsi="仿宋_GB2312" w:eastAsia="仿宋_GB2312"/>
          <w:b/>
          <w:sz w:val="32"/>
        </w:rPr>
        <w:t>人员经费581.86万元，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医疗费补助。</w:t>
      </w:r>
    </w:p>
    <w:p w14:paraId="6CC054C9">
      <w:pPr>
        <w:spacing w:line="580" w:lineRule="exact"/>
        <w:ind w:firstLine="640"/>
        <w:jc w:val="both"/>
      </w:pPr>
      <w:r>
        <w:rPr>
          <w:rFonts w:ascii="仿宋_GB2312" w:hAnsi="仿宋_GB2312" w:eastAsia="仿宋_GB2312"/>
          <w:b/>
          <w:sz w:val="32"/>
        </w:rPr>
        <w:t>公用经费23.14万元，</w:t>
      </w:r>
      <w:r>
        <w:rPr>
          <w:rFonts w:ascii="仿宋_GB2312" w:hAnsi="仿宋_GB2312" w:eastAsia="仿宋_GB2312"/>
          <w:b w:val="0"/>
          <w:sz w:val="32"/>
        </w:rPr>
        <w:t>包括：办公费、水费、电费、取暖费、差旅费、维修（护）费、培训费、劳务费、工会经费、公务用车运行维护费、其他商品和服务支出。</w:t>
      </w:r>
    </w:p>
    <w:p w14:paraId="0D6AC8E1">
      <w:pPr>
        <w:spacing w:line="640" w:lineRule="exact"/>
        <w:ind w:firstLine="640"/>
        <w:jc w:val="both"/>
        <w:outlineLvl w:val="2"/>
      </w:pPr>
      <w:r>
        <w:rPr>
          <w:rFonts w:ascii="黑体" w:hAnsi="黑体" w:eastAsia="黑体"/>
          <w:sz w:val="32"/>
        </w:rPr>
        <w:t>七、政府性基金预算财政拨款收入支出决算情况说明</w:t>
      </w:r>
    </w:p>
    <w:p w14:paraId="65EB9FB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947DC96">
      <w:pPr>
        <w:spacing w:line="640" w:lineRule="exact"/>
        <w:ind w:firstLine="640"/>
        <w:jc w:val="both"/>
        <w:outlineLvl w:val="2"/>
      </w:pPr>
      <w:r>
        <w:rPr>
          <w:rFonts w:ascii="黑体" w:hAnsi="黑体" w:eastAsia="黑体"/>
          <w:sz w:val="32"/>
        </w:rPr>
        <w:t>八、国有资本经营预算财政拨款收入支出决算情况说明</w:t>
      </w:r>
    </w:p>
    <w:p w14:paraId="21D8B6D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7379696">
      <w:pPr>
        <w:spacing w:line="640" w:lineRule="exact"/>
        <w:ind w:firstLine="640"/>
        <w:jc w:val="both"/>
        <w:outlineLvl w:val="2"/>
      </w:pPr>
      <w:r>
        <w:rPr>
          <w:rFonts w:ascii="黑体" w:hAnsi="黑体" w:eastAsia="黑体"/>
          <w:sz w:val="32"/>
        </w:rPr>
        <w:t>九、财政拨款“三公”经费支出决算情况说明</w:t>
      </w:r>
    </w:p>
    <w:p w14:paraId="3B527988">
      <w:pPr>
        <w:spacing w:line="580" w:lineRule="exact"/>
        <w:ind w:firstLine="640"/>
        <w:jc w:val="both"/>
      </w:pPr>
      <w:r>
        <w:rPr>
          <w:rFonts w:ascii="仿宋_GB2312" w:hAnsi="仿宋_GB2312" w:eastAsia="仿宋_GB2312"/>
          <w:b/>
          <w:sz w:val="32"/>
        </w:rPr>
        <w:t>2024年度财政拨款“三公”经费支出7.83万元，</w:t>
      </w:r>
      <w:r>
        <w:rPr>
          <w:rFonts w:ascii="仿宋_GB2312" w:hAnsi="仿宋_GB2312" w:eastAsia="仿宋_GB2312"/>
          <w:b w:val="0"/>
          <w:sz w:val="32"/>
        </w:rPr>
        <w:t>比上年减少4.11万元，下降34.42%，主要原因是：严格落实中央八项规定精神，厉行节约，严格控制“三公”经费支出。其中：因公出国（境）费支出0.00万元，占0.00%，比上年增加0.00万元，增长0.00%，主要原因是：2023年与2024年均未安排因公出国（境）费支出。公务用车购置及运行维护费支出7.83万元，占100.00%，比上年减少3.42万元，下降30.40%，主要原因是：严格落实中央八项规定精神，厉行节约，减少公务用车运行维护费。公务接待费支出0.00万元，占0.00%，比上年减少0.69万元，下降100.00%，主要原因是：严格落实中央八项规定精神，厉行节约，减少公务接待费。</w:t>
      </w:r>
    </w:p>
    <w:p w14:paraId="4673FEBF">
      <w:pPr>
        <w:spacing w:line="580" w:lineRule="exact"/>
        <w:ind w:firstLine="640"/>
        <w:jc w:val="both"/>
      </w:pPr>
      <w:r>
        <w:rPr>
          <w:rFonts w:ascii="仿宋_GB2312" w:hAnsi="仿宋_GB2312" w:eastAsia="仿宋_GB2312"/>
          <w:b/>
          <w:sz w:val="32"/>
        </w:rPr>
        <w:t>具体情况如下：</w:t>
      </w:r>
    </w:p>
    <w:p w14:paraId="0BBC53A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3EABCF6">
      <w:pPr>
        <w:spacing w:line="580" w:lineRule="exact"/>
        <w:ind w:firstLine="640"/>
        <w:jc w:val="both"/>
      </w:pPr>
      <w:r>
        <w:rPr>
          <w:rFonts w:ascii="仿宋_GB2312" w:hAnsi="仿宋_GB2312" w:eastAsia="仿宋_GB2312"/>
          <w:b w:val="0"/>
          <w:sz w:val="32"/>
        </w:rPr>
        <w:t>公务用车购置及运行维护费7.83万元，其中：公务用车购置费0.00万元，公务用车运行维护费7.83万元。公务用车运行维护费开支内容包括汽车维修保养费、车辆加油费、车辆年检费、车辆保险费。公务用车购置数0辆，公务用车保有量11辆。国有资产占用情况中固定资产车辆11辆，与公务用车保有量差异原因是：本单位固定资产车辆与公务用车保有量一致无差异。</w:t>
      </w:r>
    </w:p>
    <w:p w14:paraId="2BEB973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18CCCD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7.83万元，决算数7.83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7.83万元，决算数7.83万元，预决算差异率0.00%，主要原因是：严格按照预算执行，预决算无差异。公务接待费全年预算数0.00万元，决算数0.00万元，预决算差异率0.00%，主要原因是：本单位无公务接待费。</w:t>
      </w:r>
    </w:p>
    <w:p w14:paraId="4D85B226">
      <w:pPr>
        <w:spacing w:line="640" w:lineRule="exact"/>
        <w:ind w:firstLine="640"/>
        <w:jc w:val="both"/>
        <w:outlineLvl w:val="2"/>
      </w:pPr>
      <w:r>
        <w:rPr>
          <w:rFonts w:ascii="黑体" w:hAnsi="黑体" w:eastAsia="黑体"/>
          <w:sz w:val="32"/>
        </w:rPr>
        <w:t>十、其他重要事项的情况说明</w:t>
      </w:r>
    </w:p>
    <w:p w14:paraId="72542DC2">
      <w:pPr>
        <w:spacing w:line="640" w:lineRule="exact"/>
        <w:ind w:firstLine="640"/>
        <w:jc w:val="both"/>
        <w:outlineLvl w:val="3"/>
      </w:pPr>
      <w:r>
        <w:rPr>
          <w:rFonts w:ascii="楷体_GB2312" w:hAnsi="楷体_GB2312" w:eastAsia="楷体_GB2312"/>
          <w:b/>
          <w:sz w:val="32"/>
        </w:rPr>
        <w:t>（一）机关运行经费及公用经费支出情况</w:t>
      </w:r>
    </w:p>
    <w:p w14:paraId="25335B64">
      <w:pPr>
        <w:spacing w:line="580" w:lineRule="exact"/>
        <w:ind w:firstLine="640"/>
        <w:jc w:val="both"/>
      </w:pPr>
      <w:r>
        <w:rPr>
          <w:rFonts w:ascii="仿宋_GB2312" w:hAnsi="仿宋_GB2312" w:eastAsia="仿宋_GB2312"/>
          <w:b w:val="0"/>
          <w:sz w:val="32"/>
        </w:rPr>
        <w:t>2024年度托里县司法局（行政单位和参照公务员法管理事业单位）机关运行经费支出23.14万元，比上年增加3.62万元，增长18.55%，主要原因是：本年增加电费，导致机关运行经费增加。</w:t>
      </w:r>
    </w:p>
    <w:p w14:paraId="40391C05">
      <w:pPr>
        <w:spacing w:line="640" w:lineRule="exact"/>
        <w:ind w:firstLine="640"/>
        <w:jc w:val="both"/>
        <w:outlineLvl w:val="3"/>
      </w:pPr>
      <w:r>
        <w:rPr>
          <w:rFonts w:ascii="楷体_GB2312" w:hAnsi="楷体_GB2312" w:eastAsia="楷体_GB2312"/>
          <w:b/>
          <w:sz w:val="32"/>
        </w:rPr>
        <w:t>（二）政府采购情况</w:t>
      </w:r>
    </w:p>
    <w:p w14:paraId="0098803E">
      <w:pPr>
        <w:spacing w:line="580" w:lineRule="exact"/>
        <w:ind w:firstLine="640"/>
        <w:jc w:val="both"/>
      </w:pPr>
      <w:r>
        <w:rPr>
          <w:rFonts w:ascii="仿宋_GB2312" w:hAnsi="仿宋_GB2312" w:eastAsia="仿宋_GB2312"/>
          <w:b w:val="0"/>
          <w:sz w:val="32"/>
        </w:rPr>
        <w:t>2024年度政府采购支出总额65.85万元，其中：政府采购货物支出12.53万元、政府采购工程支出11.42万元、政府采购服务支出41.90万元。</w:t>
      </w:r>
    </w:p>
    <w:p w14:paraId="5E71432A">
      <w:pPr>
        <w:spacing w:line="580" w:lineRule="exact"/>
        <w:ind w:firstLine="640"/>
        <w:jc w:val="both"/>
      </w:pPr>
      <w:r>
        <w:rPr>
          <w:rFonts w:ascii="仿宋_GB2312" w:hAnsi="仿宋_GB2312" w:eastAsia="仿宋_GB2312"/>
          <w:b w:val="0"/>
          <w:sz w:val="32"/>
        </w:rPr>
        <w:t>授予中小企业合同金额64.70万元，占政府采购支出总额的98.25%，其中：授予小微企业合同金额64.70万元，占政府采购支出总额的98.25%。</w:t>
      </w:r>
    </w:p>
    <w:p w14:paraId="7EFF8241">
      <w:pPr>
        <w:spacing w:line="640" w:lineRule="exact"/>
        <w:ind w:firstLine="640"/>
        <w:jc w:val="both"/>
        <w:outlineLvl w:val="3"/>
      </w:pPr>
      <w:r>
        <w:rPr>
          <w:rFonts w:ascii="楷体_GB2312" w:hAnsi="楷体_GB2312" w:eastAsia="楷体_GB2312"/>
          <w:b/>
          <w:sz w:val="32"/>
        </w:rPr>
        <w:t>（三）国有资产占用情况说明</w:t>
      </w:r>
    </w:p>
    <w:p w14:paraId="68432A7F">
      <w:pPr>
        <w:spacing w:line="580" w:lineRule="exact"/>
        <w:ind w:firstLine="640"/>
        <w:jc w:val="both"/>
      </w:pPr>
      <w:r>
        <w:rPr>
          <w:rFonts w:ascii="仿宋_GB2312" w:hAnsi="仿宋_GB2312" w:eastAsia="仿宋_GB2312"/>
          <w:b w:val="0"/>
          <w:sz w:val="32"/>
        </w:rPr>
        <w:t>截至2024年12月31日，房屋245.70平方米，价值17.90万元。车辆11辆，价值132.32万元，其中：副部（省）级及以上领导用车0辆、主要负责人用车0辆、机要通信用车0辆、应急保障用车0辆、执法执勤用车10辆、特种专业技术用车0辆、离退休干部服务用车0辆、其他用车1辆，其他用车主要是：一般公务用车。单价100万元（含）以上设备（不含车辆）0台（套）。</w:t>
      </w:r>
    </w:p>
    <w:p w14:paraId="6B2F2C9C">
      <w:pPr>
        <w:spacing w:line="640" w:lineRule="exact"/>
        <w:ind w:firstLine="640"/>
        <w:jc w:val="both"/>
        <w:outlineLvl w:val="2"/>
      </w:pPr>
      <w:r>
        <w:rPr>
          <w:rFonts w:ascii="黑体" w:hAnsi="黑体" w:eastAsia="黑体"/>
          <w:sz w:val="32"/>
        </w:rPr>
        <w:t>十一、预算绩效的情况说明</w:t>
      </w:r>
    </w:p>
    <w:p w14:paraId="1252DF3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736.78万元，实际执行总额734.56万元；预算绩效评价项目3个，全年预算数129.57万元，全年执行数129.57万元。预算绩效管理取得的成效：本单位项目绩效自评表不予公开。发现的问题及原因：本单位项目绩效自评表不予公开。下一步改进措施：本单位项目绩效自评表不予公开。具体附整体支出绩效自</w:t>
      </w:r>
      <w:bookmarkStart w:id="0" w:name="_GoBack"/>
      <w:bookmarkEnd w:id="0"/>
      <w:r>
        <w:rPr>
          <w:rFonts w:ascii="仿宋_GB2312" w:hAnsi="仿宋_GB2312" w:eastAsia="仿宋_GB2312"/>
          <w:b w:val="0"/>
          <w:sz w:val="32"/>
        </w:rPr>
        <w:t>评表。</w:t>
      </w:r>
    </w:p>
    <w:p w14:paraId="6F16F21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3BAEEA9">
        <w:tblPrEx>
          <w:tblCellMar>
            <w:top w:w="0" w:type="dxa"/>
            <w:left w:w="108" w:type="dxa"/>
            <w:bottom w:w="0" w:type="dxa"/>
            <w:right w:w="108" w:type="dxa"/>
          </w:tblCellMar>
        </w:tblPrEx>
        <w:tc>
          <w:tcPr>
            <w:tcW w:w="8840" w:type="dxa"/>
            <w:gridSpan w:val="8"/>
            <w:vAlign w:val="center"/>
          </w:tcPr>
          <w:p w14:paraId="7B91A58A">
            <w:pPr>
              <w:jc w:val="center"/>
            </w:pPr>
            <w:r>
              <w:rPr>
                <w:rFonts w:ascii="宋体" w:hAnsi="宋体" w:eastAsia="宋体"/>
                <w:sz w:val="24"/>
              </w:rPr>
              <w:t>单位整体支出绩效自评表</w:t>
            </w:r>
          </w:p>
        </w:tc>
      </w:tr>
      <w:tr w14:paraId="7113D5CD">
        <w:tblPrEx>
          <w:tblCellMar>
            <w:top w:w="0" w:type="dxa"/>
            <w:left w:w="108" w:type="dxa"/>
            <w:bottom w:w="0" w:type="dxa"/>
            <w:right w:w="108" w:type="dxa"/>
          </w:tblCellMar>
        </w:tblPrEx>
        <w:tc>
          <w:tcPr>
            <w:tcW w:w="8840" w:type="dxa"/>
            <w:gridSpan w:val="8"/>
            <w:vAlign w:val="center"/>
          </w:tcPr>
          <w:p w14:paraId="0C9CCE30">
            <w:pPr>
              <w:jc w:val="center"/>
            </w:pPr>
            <w:r>
              <w:rPr>
                <w:rFonts w:ascii="宋体" w:hAnsi="宋体" w:eastAsia="宋体"/>
                <w:sz w:val="24"/>
              </w:rPr>
              <w:t>（2024年度）</w:t>
            </w:r>
          </w:p>
        </w:tc>
      </w:tr>
      <w:tr w14:paraId="5F1F9D5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4EDD6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08004C">
            <w:pPr>
              <w:jc w:val="center"/>
            </w:pPr>
            <w:r>
              <w:rPr>
                <w:rFonts w:ascii="宋体" w:hAnsi="宋体" w:eastAsia="宋体"/>
                <w:sz w:val="16"/>
              </w:rPr>
              <w:t>托里县司法局</w:t>
            </w:r>
          </w:p>
        </w:tc>
      </w:tr>
      <w:tr w14:paraId="0D5CE68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F2EBA0">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0D275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669EA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D2ACAB">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4FD67C">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AD2F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1C2B3D">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E659C">
            <w:pPr>
              <w:jc w:val="center"/>
            </w:pPr>
            <w:r>
              <w:rPr>
                <w:rFonts w:ascii="宋体" w:hAnsi="宋体" w:eastAsia="宋体"/>
                <w:sz w:val="16"/>
              </w:rPr>
              <w:t>得分</w:t>
            </w:r>
          </w:p>
        </w:tc>
      </w:tr>
      <w:tr w14:paraId="65F1AB1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F7F18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B6C47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18C831">
            <w:pPr>
              <w:jc w:val="center"/>
            </w:pPr>
            <w:r>
              <w:rPr>
                <w:rFonts w:ascii="宋体" w:hAnsi="宋体" w:eastAsia="宋体"/>
                <w:sz w:val="16"/>
              </w:rPr>
              <w:t>711.52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B953C8">
            <w:pPr>
              <w:jc w:val="center"/>
            </w:pPr>
            <w:r>
              <w:rPr>
                <w:rFonts w:ascii="宋体" w:hAnsi="宋体" w:eastAsia="宋体"/>
                <w:sz w:val="16"/>
              </w:rPr>
              <w:t>736.78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8199A7">
            <w:pPr>
              <w:jc w:val="center"/>
            </w:pPr>
            <w:r>
              <w:rPr>
                <w:rFonts w:ascii="宋体" w:hAnsi="宋体" w:eastAsia="宋体"/>
                <w:sz w:val="16"/>
              </w:rPr>
              <w:t>734.56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AB1D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B3730C">
            <w:pPr>
              <w:jc w:val="center"/>
            </w:pPr>
            <w:r>
              <w:rPr>
                <w:rFonts w:ascii="宋体" w:hAnsi="宋体" w:eastAsia="宋体"/>
                <w:sz w:val="16"/>
              </w:rPr>
              <w:t>99.70%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B49941">
            <w:pPr>
              <w:jc w:val="center"/>
            </w:pPr>
            <w:r>
              <w:rPr>
                <w:rFonts w:ascii="宋体" w:hAnsi="宋体" w:eastAsia="宋体"/>
                <w:sz w:val="16"/>
              </w:rPr>
              <w:t>9.97</w:t>
            </w:r>
          </w:p>
        </w:tc>
      </w:tr>
      <w:tr w14:paraId="7184E73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6368B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66F1BA">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8E1F7">
            <w:pPr>
              <w:jc w:val="center"/>
            </w:pPr>
            <w:r>
              <w:rPr>
                <w:rFonts w:ascii="宋体" w:hAnsi="宋体" w:eastAsia="宋体"/>
                <w:sz w:val="16"/>
              </w:rPr>
              <w:t>73.68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DBC6FB">
            <w:pPr>
              <w:jc w:val="center"/>
            </w:pPr>
            <w:r>
              <w:rPr>
                <w:rFonts w:ascii="宋体" w:hAnsi="宋体" w:eastAsia="宋体"/>
                <w:sz w:val="16"/>
              </w:rPr>
              <w:t>91.20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9D1BB2">
            <w:pPr>
              <w:jc w:val="center"/>
            </w:pPr>
            <w:r>
              <w:rPr>
                <w:rFonts w:ascii="宋体" w:hAnsi="宋体" w:eastAsia="宋体"/>
                <w:sz w:val="16"/>
              </w:rPr>
              <w:t>90.75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13BEC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36B98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54870C">
            <w:pPr>
              <w:jc w:val="center"/>
            </w:pPr>
            <w:r>
              <w:rPr>
                <w:rFonts w:ascii="宋体" w:hAnsi="宋体" w:eastAsia="宋体"/>
                <w:sz w:val="16"/>
              </w:rPr>
              <w:t>-</w:t>
            </w:r>
          </w:p>
        </w:tc>
      </w:tr>
      <w:tr w14:paraId="0268843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6314B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38F941">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3E3581">
            <w:pPr>
              <w:jc w:val="center"/>
            </w:pPr>
            <w:r>
              <w:rPr>
                <w:rFonts w:ascii="宋体" w:hAnsi="宋体" w:eastAsia="宋体"/>
                <w:sz w:val="16"/>
              </w:rPr>
              <w:t>634.09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37FB26">
            <w:pPr>
              <w:jc w:val="center"/>
            </w:pPr>
            <w:r>
              <w:rPr>
                <w:rFonts w:ascii="宋体" w:hAnsi="宋体" w:eastAsia="宋体"/>
                <w:sz w:val="16"/>
              </w:rPr>
              <w:t>643.83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40D36">
            <w:pPr>
              <w:jc w:val="center"/>
            </w:pPr>
            <w:r>
              <w:rPr>
                <w:rFonts w:ascii="宋体" w:hAnsi="宋体" w:eastAsia="宋体"/>
                <w:sz w:val="16"/>
              </w:rPr>
              <w:t>643.81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58DC1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E756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BB211F">
            <w:pPr>
              <w:jc w:val="center"/>
            </w:pPr>
            <w:r>
              <w:rPr>
                <w:rFonts w:ascii="宋体" w:hAnsi="宋体" w:eastAsia="宋体"/>
                <w:sz w:val="16"/>
              </w:rPr>
              <w:t>-</w:t>
            </w:r>
          </w:p>
        </w:tc>
      </w:tr>
      <w:tr w14:paraId="3C141E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CD746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8C6DF5">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ED5CB3">
            <w:pPr>
              <w:jc w:val="center"/>
            </w:pPr>
            <w:r>
              <w:rPr>
                <w:rFonts w:ascii="宋体" w:hAnsi="宋体" w:eastAsia="宋体"/>
                <w:sz w:val="16"/>
              </w:rPr>
              <w:t>3.75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125144">
            <w:pPr>
              <w:jc w:val="center"/>
            </w:pPr>
            <w:r>
              <w:rPr>
                <w:rFonts w:ascii="宋体" w:hAnsi="宋体" w:eastAsia="宋体"/>
                <w:sz w:val="16"/>
              </w:rPr>
              <w:t>1.75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DF20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EC9D9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05A6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532A1E">
            <w:pPr>
              <w:jc w:val="center"/>
            </w:pPr>
            <w:r>
              <w:rPr>
                <w:rFonts w:ascii="宋体" w:hAnsi="宋体" w:eastAsia="宋体"/>
                <w:sz w:val="16"/>
              </w:rPr>
              <w:t>-</w:t>
            </w:r>
          </w:p>
        </w:tc>
      </w:tr>
      <w:tr w14:paraId="11868CF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BC3EBD">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127B8A">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C58A14D">
            <w:pPr>
              <w:jc w:val="center"/>
            </w:pPr>
            <w:r>
              <w:rPr>
                <w:rFonts w:ascii="宋体" w:hAnsi="宋体" w:eastAsia="宋体"/>
                <w:sz w:val="16"/>
              </w:rPr>
              <w:t>实际完成情况</w:t>
            </w:r>
          </w:p>
        </w:tc>
      </w:tr>
      <w:tr w14:paraId="61C1A1F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2E111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46815FE">
            <w:pPr>
              <w:jc w:val="both"/>
            </w:pPr>
            <w:r>
              <w:rPr>
                <w:rFonts w:hint="eastAsia" w:ascii="宋体" w:hAnsi="宋体"/>
                <w:sz w:val="16"/>
                <w:lang w:eastAsia="zh-CN"/>
              </w:rPr>
              <w:t>1.</w:t>
            </w:r>
            <w:r>
              <w:rPr>
                <w:rFonts w:ascii="宋体" w:hAnsi="宋体" w:eastAsia="宋体"/>
                <w:sz w:val="16"/>
              </w:rPr>
              <w:t>推进基本公共法律服务均衡发展，切实提升公共法律服务能力水平。2、抓好国家工作人员学法用法，深化基层群众法治教育，线上线下开展法律讲座45场、散发宣传材料15000份。3、认真贯彻落实党和国家关于司法行政工作的方针、政策、</w:t>
            </w:r>
            <w:r>
              <w:rPr>
                <w:rFonts w:hint="eastAsia" w:ascii="宋体" w:hAnsi="宋体"/>
                <w:sz w:val="16"/>
                <w:lang w:eastAsia="zh-CN"/>
              </w:rPr>
              <w:t>法律法规</w:t>
            </w:r>
            <w:r>
              <w:rPr>
                <w:rFonts w:ascii="宋体" w:hAnsi="宋体" w:eastAsia="宋体"/>
                <w:sz w:val="16"/>
              </w:rPr>
              <w:t>，制定全县司法行政工作的长期规划，年度计划并监督实施。4、继续加强人民调解、法律援助工作，强化矛盾纠纷排查化解工作，更好</w:t>
            </w:r>
            <w:r>
              <w:rPr>
                <w:rFonts w:hint="eastAsia" w:ascii="宋体" w:hAnsi="宋体"/>
                <w:sz w:val="16"/>
                <w:lang w:eastAsia="zh-CN"/>
              </w:rPr>
              <w:t>地</w:t>
            </w:r>
            <w:r>
              <w:rPr>
                <w:rFonts w:ascii="宋体" w:hAnsi="宋体" w:eastAsia="宋体"/>
                <w:sz w:val="16"/>
              </w:rPr>
              <w:t>发挥司法行政工作在维护社会和谐中妥善处理和化解人民内部矛盾的职能作用。5、确定法治宣传教育的重点内容与对象，开展全县法治宣传教育活动40场。</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779AE96">
            <w:pPr>
              <w:jc w:val="both"/>
            </w:pPr>
            <w:r>
              <w:rPr>
                <w:rFonts w:ascii="宋体" w:hAnsi="宋体" w:eastAsia="宋体"/>
                <w:sz w:val="16"/>
              </w:rPr>
              <w:t>2024年度托里县司法局全年履职尽责，认真贯彻落实党和国家关于司法行政工作的方针、政策、</w:t>
            </w:r>
            <w:r>
              <w:rPr>
                <w:rFonts w:hint="eastAsia" w:ascii="宋体" w:hAnsi="宋体"/>
                <w:sz w:val="16"/>
                <w:lang w:eastAsia="zh-CN"/>
              </w:rPr>
              <w:t>法律法规</w:t>
            </w:r>
            <w:r>
              <w:rPr>
                <w:rFonts w:ascii="宋体" w:hAnsi="宋体" w:eastAsia="宋体"/>
                <w:sz w:val="16"/>
              </w:rPr>
              <w:t>，制定全县司法行政工作的长期规划，年度计划并监督实施。全年以提升公共法律服务能力水平为目标，大力开展法治宣传业务，全年完成了全县开展法治宣传活动40场，散发宣传材料数量15000份，受理人民调解案件数量400件、受理法律援助案件数量55件、开展法律讲座场次40场次，发挥司法行政工作在维护社会和谐中妥善处理和化解人民内部矛盾的职能作用，更好</w:t>
            </w:r>
            <w:r>
              <w:rPr>
                <w:rFonts w:hint="eastAsia" w:ascii="宋体" w:hAnsi="宋体"/>
                <w:sz w:val="16"/>
                <w:lang w:eastAsia="zh-CN"/>
              </w:rPr>
              <w:t>地</w:t>
            </w:r>
            <w:r>
              <w:rPr>
                <w:rFonts w:ascii="宋体" w:hAnsi="宋体" w:eastAsia="宋体"/>
                <w:sz w:val="16"/>
              </w:rPr>
              <w:t>抓好国家工作人员学法用法，深化基层群众法治教育。</w:t>
            </w:r>
          </w:p>
        </w:tc>
      </w:tr>
      <w:tr w14:paraId="5AC9A0B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E8E6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0984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D912FB">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B8D936">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C41E4E">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B479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F5D737">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7657D">
            <w:pPr>
              <w:jc w:val="center"/>
            </w:pPr>
            <w:r>
              <w:rPr>
                <w:rFonts w:ascii="宋体" w:hAnsi="宋体" w:eastAsia="宋体"/>
                <w:sz w:val="16"/>
              </w:rPr>
              <w:t>得分</w:t>
            </w:r>
          </w:p>
        </w:tc>
      </w:tr>
      <w:tr w14:paraId="7A83433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6C4AD">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EC449">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17271">
            <w:pPr>
              <w:jc w:val="center"/>
            </w:pPr>
            <w:r>
              <w:rPr>
                <w:rFonts w:ascii="宋体" w:hAnsi="宋体" w:eastAsia="宋体"/>
                <w:sz w:val="16"/>
              </w:rPr>
              <w:t>全县开展法治宣传活动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6C5234">
            <w:pPr>
              <w:jc w:val="center"/>
            </w:pPr>
            <w:r>
              <w:rPr>
                <w:rFonts w:ascii="宋体" w:hAnsi="宋体" w:eastAsia="宋体"/>
                <w:sz w:val="16"/>
              </w:rPr>
              <w:t>&gt;=40场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73202">
            <w:pPr>
              <w:jc w:val="center"/>
            </w:pPr>
            <w:r>
              <w:rPr>
                <w:rFonts w:ascii="宋体" w:hAnsi="宋体" w:eastAsia="宋体"/>
                <w:sz w:val="16"/>
              </w:rPr>
              <w:t>2023年工作总结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FFAAE">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46B2E3">
            <w:pPr>
              <w:jc w:val="center"/>
            </w:pPr>
            <w:r>
              <w:rPr>
                <w:rFonts w:ascii="宋体" w:hAnsi="宋体" w:eastAsia="宋体"/>
                <w:sz w:val="16"/>
              </w:rPr>
              <w:t>45场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B21C18">
            <w:pPr>
              <w:jc w:val="center"/>
            </w:pPr>
            <w:r>
              <w:rPr>
                <w:rFonts w:ascii="宋体" w:hAnsi="宋体" w:eastAsia="宋体"/>
                <w:sz w:val="16"/>
              </w:rPr>
              <w:t>20</w:t>
            </w:r>
          </w:p>
        </w:tc>
      </w:tr>
      <w:tr w14:paraId="5AC613D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6BCAF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E5479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EAD2EB">
            <w:pPr>
              <w:jc w:val="center"/>
            </w:pPr>
            <w:r>
              <w:rPr>
                <w:rFonts w:ascii="宋体" w:hAnsi="宋体" w:eastAsia="宋体"/>
                <w:sz w:val="16"/>
              </w:rPr>
              <w:t>散发宣传材料数量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795D14">
            <w:pPr>
              <w:jc w:val="center"/>
            </w:pPr>
            <w:r>
              <w:rPr>
                <w:rFonts w:ascii="宋体" w:hAnsi="宋体" w:eastAsia="宋体"/>
                <w:sz w:val="16"/>
              </w:rPr>
              <w:t>&gt;=15000份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9897D7">
            <w:pPr>
              <w:jc w:val="center"/>
            </w:pPr>
            <w:r>
              <w:rPr>
                <w:rFonts w:ascii="宋体" w:hAnsi="宋体" w:eastAsia="宋体"/>
                <w:sz w:val="16"/>
              </w:rPr>
              <w:t>2023年工作总结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A13F9E">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8F214">
            <w:pPr>
              <w:jc w:val="center"/>
            </w:pPr>
            <w:r>
              <w:rPr>
                <w:rFonts w:ascii="宋体" w:hAnsi="宋体" w:eastAsia="宋体"/>
                <w:sz w:val="16"/>
              </w:rPr>
              <w:t>15000份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EA7F9D">
            <w:pPr>
              <w:jc w:val="center"/>
            </w:pPr>
            <w:r>
              <w:rPr>
                <w:rFonts w:ascii="宋体" w:hAnsi="宋体" w:eastAsia="宋体"/>
                <w:sz w:val="16"/>
              </w:rPr>
              <w:t>20</w:t>
            </w:r>
          </w:p>
        </w:tc>
      </w:tr>
      <w:tr w14:paraId="61F0F65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E5CE4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78819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A96A5">
            <w:pPr>
              <w:jc w:val="center"/>
            </w:pPr>
            <w:r>
              <w:rPr>
                <w:rFonts w:ascii="宋体" w:hAnsi="宋体" w:eastAsia="宋体"/>
                <w:sz w:val="16"/>
              </w:rPr>
              <w:t>受理人民调解案件数量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D18009">
            <w:pPr>
              <w:jc w:val="center"/>
            </w:pPr>
            <w:r>
              <w:rPr>
                <w:rFonts w:ascii="宋体" w:hAnsi="宋体" w:eastAsia="宋体"/>
                <w:sz w:val="16"/>
              </w:rPr>
              <w:t>&gt;=397件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0A6E7">
            <w:pPr>
              <w:jc w:val="center"/>
            </w:pPr>
            <w:r>
              <w:rPr>
                <w:rFonts w:ascii="宋体" w:hAnsi="宋体" w:eastAsia="宋体"/>
                <w:sz w:val="16"/>
              </w:rPr>
              <w:t>2023年工作总结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43EA65">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4AC0BE">
            <w:pPr>
              <w:jc w:val="center"/>
            </w:pPr>
            <w:r>
              <w:rPr>
                <w:rFonts w:ascii="宋体" w:hAnsi="宋体" w:eastAsia="宋体"/>
                <w:sz w:val="16"/>
              </w:rPr>
              <w:t>397件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41B38">
            <w:pPr>
              <w:jc w:val="center"/>
            </w:pPr>
            <w:r>
              <w:rPr>
                <w:rFonts w:ascii="宋体" w:hAnsi="宋体" w:eastAsia="宋体"/>
                <w:sz w:val="16"/>
              </w:rPr>
              <w:t>20</w:t>
            </w:r>
          </w:p>
        </w:tc>
      </w:tr>
      <w:tr w14:paraId="68E948A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207BE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D91A6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C4A643">
            <w:pPr>
              <w:jc w:val="center"/>
            </w:pPr>
            <w:r>
              <w:rPr>
                <w:rFonts w:ascii="宋体" w:hAnsi="宋体" w:eastAsia="宋体"/>
                <w:sz w:val="16"/>
              </w:rPr>
              <w:t>受理法律援助案件数量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F5CABD">
            <w:pPr>
              <w:jc w:val="center"/>
            </w:pPr>
            <w:r>
              <w:rPr>
                <w:rFonts w:ascii="宋体" w:hAnsi="宋体" w:eastAsia="宋体"/>
                <w:sz w:val="16"/>
              </w:rPr>
              <w:t>&gt;=55件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9514CC">
            <w:pPr>
              <w:jc w:val="center"/>
            </w:pPr>
            <w:r>
              <w:rPr>
                <w:rFonts w:ascii="宋体" w:hAnsi="宋体" w:eastAsia="宋体"/>
                <w:sz w:val="16"/>
              </w:rPr>
              <w:t>2023年工作总结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2B9A2">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B6DF82">
            <w:pPr>
              <w:jc w:val="center"/>
            </w:pPr>
            <w:r>
              <w:rPr>
                <w:rFonts w:ascii="宋体" w:hAnsi="宋体" w:eastAsia="宋体"/>
                <w:sz w:val="16"/>
              </w:rPr>
              <w:t>55件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596053">
            <w:pPr>
              <w:jc w:val="center"/>
            </w:pPr>
            <w:r>
              <w:rPr>
                <w:rFonts w:ascii="宋体" w:hAnsi="宋体" w:eastAsia="宋体"/>
                <w:sz w:val="16"/>
              </w:rPr>
              <w:t>20</w:t>
            </w:r>
          </w:p>
        </w:tc>
      </w:tr>
      <w:tr w14:paraId="5CA410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D265C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E48B7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9652DF">
            <w:pPr>
              <w:jc w:val="center"/>
            </w:pPr>
            <w:r>
              <w:rPr>
                <w:rFonts w:ascii="宋体" w:hAnsi="宋体" w:eastAsia="宋体"/>
                <w:sz w:val="16"/>
              </w:rPr>
              <w:t>开展法律讲座场次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BAEDC7">
            <w:pPr>
              <w:jc w:val="center"/>
            </w:pPr>
            <w:r>
              <w:rPr>
                <w:rFonts w:ascii="宋体" w:hAnsi="宋体" w:eastAsia="宋体"/>
                <w:sz w:val="16"/>
              </w:rPr>
              <w:t>&gt;=45场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D50627">
            <w:pPr>
              <w:jc w:val="center"/>
            </w:pPr>
            <w:r>
              <w:rPr>
                <w:rFonts w:ascii="宋体" w:hAnsi="宋体" w:eastAsia="宋体"/>
                <w:sz w:val="16"/>
              </w:rPr>
              <w:t>2023年工作总结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86276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3BB4E0">
            <w:pPr>
              <w:jc w:val="center"/>
            </w:pPr>
            <w:r>
              <w:rPr>
                <w:rFonts w:ascii="宋体" w:hAnsi="宋体" w:eastAsia="宋体"/>
                <w:sz w:val="16"/>
              </w:rPr>
              <w:t>40场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CEEFDB">
            <w:pPr>
              <w:jc w:val="center"/>
            </w:pPr>
            <w:r>
              <w:rPr>
                <w:rFonts w:ascii="宋体" w:hAnsi="宋体" w:eastAsia="宋体"/>
                <w:sz w:val="16"/>
              </w:rPr>
              <w:t>8.9</w:t>
            </w:r>
          </w:p>
        </w:tc>
      </w:tr>
    </w:tbl>
    <w:p w14:paraId="7E032EA0">
      <w:r>
        <w:br w:type="page"/>
      </w:r>
    </w:p>
    <w:p w14:paraId="0B269C12">
      <w:pPr>
        <w:spacing w:line="640" w:lineRule="exact"/>
        <w:ind w:firstLine="640"/>
        <w:jc w:val="both"/>
        <w:outlineLvl w:val="2"/>
      </w:pPr>
      <w:r>
        <w:rPr>
          <w:rFonts w:ascii="黑体" w:hAnsi="黑体" w:eastAsia="黑体"/>
          <w:sz w:val="32"/>
        </w:rPr>
        <w:t>十二、其他需说明的事项</w:t>
      </w:r>
    </w:p>
    <w:p w14:paraId="44C4A4D5">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eastAsia="zh-CN"/>
        </w:rPr>
        <w:t>不予公开</w:t>
      </w:r>
      <w:r>
        <w:rPr>
          <w:rFonts w:ascii="仿宋_GB2312" w:hAnsi="仿宋_GB2312" w:eastAsia="仿宋_GB2312"/>
          <w:b w:val="0"/>
          <w:sz w:val="32"/>
        </w:rPr>
        <w:t>项目3个，全年预算数129.57万元，全年执行数129.57万元。</w:t>
      </w:r>
    </w:p>
    <w:p w14:paraId="0DE297AC">
      <w:r>
        <w:br w:type="page"/>
      </w:r>
    </w:p>
    <w:p w14:paraId="0E6D5893">
      <w:pPr>
        <w:spacing w:line="240" w:lineRule="auto"/>
        <w:jc w:val="center"/>
        <w:outlineLvl w:val="1"/>
      </w:pPr>
      <w:r>
        <w:rPr>
          <w:rFonts w:ascii="黑体" w:hAnsi="黑体" w:eastAsia="黑体"/>
          <w:sz w:val="32"/>
        </w:rPr>
        <w:t>第三部分 专业名词解释</w:t>
      </w:r>
    </w:p>
    <w:p w14:paraId="482B70E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658324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07DB11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798F41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BB967B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CC833A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F2B1AD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712F7E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3E6199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5FDC25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4CB82F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A1BC12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A53EF3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582286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AB7F509">
      <w:r>
        <w:br w:type="page"/>
      </w:r>
    </w:p>
    <w:p w14:paraId="5CD2E42C">
      <w:pPr>
        <w:spacing w:line="240" w:lineRule="auto"/>
        <w:jc w:val="center"/>
        <w:outlineLvl w:val="1"/>
      </w:pPr>
      <w:r>
        <w:rPr>
          <w:rFonts w:ascii="黑体" w:hAnsi="黑体" w:eastAsia="黑体"/>
          <w:sz w:val="32"/>
        </w:rPr>
        <w:t>第四部分 部门决算报表（见附表）</w:t>
      </w:r>
    </w:p>
    <w:p w14:paraId="59E0B97F">
      <w:pPr>
        <w:spacing w:line="240" w:lineRule="auto"/>
        <w:ind w:firstLine="640"/>
        <w:jc w:val="both"/>
      </w:pPr>
      <w:r>
        <w:rPr>
          <w:rFonts w:ascii="仿宋_GB2312" w:hAnsi="仿宋_GB2312" w:eastAsia="仿宋_GB2312"/>
          <w:b w:val="0"/>
          <w:sz w:val="32"/>
        </w:rPr>
        <w:t>一、《收入支出决算总表》</w:t>
      </w:r>
    </w:p>
    <w:p w14:paraId="3C6BFEB4">
      <w:pPr>
        <w:spacing w:line="240" w:lineRule="auto"/>
        <w:ind w:firstLine="640"/>
        <w:jc w:val="both"/>
      </w:pPr>
      <w:r>
        <w:rPr>
          <w:rFonts w:ascii="仿宋_GB2312" w:hAnsi="仿宋_GB2312" w:eastAsia="仿宋_GB2312"/>
          <w:b w:val="0"/>
          <w:sz w:val="32"/>
        </w:rPr>
        <w:t>二、《收入决算表》</w:t>
      </w:r>
    </w:p>
    <w:p w14:paraId="78E003AD">
      <w:pPr>
        <w:spacing w:line="240" w:lineRule="auto"/>
        <w:ind w:firstLine="640"/>
        <w:jc w:val="both"/>
      </w:pPr>
      <w:r>
        <w:rPr>
          <w:rFonts w:ascii="仿宋_GB2312" w:hAnsi="仿宋_GB2312" w:eastAsia="仿宋_GB2312"/>
          <w:b w:val="0"/>
          <w:sz w:val="32"/>
        </w:rPr>
        <w:t>三、《支出决算表》</w:t>
      </w:r>
    </w:p>
    <w:p w14:paraId="21356D20">
      <w:pPr>
        <w:spacing w:line="240" w:lineRule="auto"/>
        <w:ind w:firstLine="640"/>
        <w:jc w:val="both"/>
      </w:pPr>
      <w:r>
        <w:rPr>
          <w:rFonts w:ascii="仿宋_GB2312" w:hAnsi="仿宋_GB2312" w:eastAsia="仿宋_GB2312"/>
          <w:b w:val="0"/>
          <w:sz w:val="32"/>
        </w:rPr>
        <w:t>四、《财政拨款收入支出决算总表》</w:t>
      </w:r>
    </w:p>
    <w:p w14:paraId="5BBFAD95">
      <w:pPr>
        <w:spacing w:line="240" w:lineRule="auto"/>
        <w:ind w:firstLine="640"/>
        <w:jc w:val="both"/>
      </w:pPr>
      <w:r>
        <w:rPr>
          <w:rFonts w:ascii="仿宋_GB2312" w:hAnsi="仿宋_GB2312" w:eastAsia="仿宋_GB2312"/>
          <w:b w:val="0"/>
          <w:sz w:val="32"/>
        </w:rPr>
        <w:t>五、《一般公共预算财政拨款支出决算表》</w:t>
      </w:r>
    </w:p>
    <w:p w14:paraId="0192F187">
      <w:pPr>
        <w:spacing w:line="240" w:lineRule="auto"/>
        <w:ind w:firstLine="640"/>
        <w:jc w:val="both"/>
      </w:pPr>
      <w:r>
        <w:rPr>
          <w:rFonts w:ascii="仿宋_GB2312" w:hAnsi="仿宋_GB2312" w:eastAsia="仿宋_GB2312"/>
          <w:b w:val="0"/>
          <w:sz w:val="32"/>
        </w:rPr>
        <w:t>六、《一般公共预算财政拨款基本支出决算表》</w:t>
      </w:r>
    </w:p>
    <w:p w14:paraId="4D3BE7E8">
      <w:pPr>
        <w:spacing w:line="240" w:lineRule="auto"/>
        <w:ind w:firstLine="640"/>
        <w:jc w:val="both"/>
      </w:pPr>
      <w:r>
        <w:rPr>
          <w:rFonts w:ascii="仿宋_GB2312" w:hAnsi="仿宋_GB2312" w:eastAsia="仿宋_GB2312"/>
          <w:b w:val="0"/>
          <w:sz w:val="32"/>
        </w:rPr>
        <w:t>七、《政府性基金预算财政拨款收入支出决算表》</w:t>
      </w:r>
    </w:p>
    <w:p w14:paraId="5561A4DA">
      <w:pPr>
        <w:spacing w:line="240" w:lineRule="auto"/>
        <w:ind w:firstLine="640"/>
        <w:jc w:val="both"/>
      </w:pPr>
      <w:r>
        <w:rPr>
          <w:rFonts w:ascii="仿宋_GB2312" w:hAnsi="仿宋_GB2312" w:eastAsia="仿宋_GB2312"/>
          <w:b w:val="0"/>
          <w:sz w:val="32"/>
        </w:rPr>
        <w:t>八、《国有资本经营预算财政拨款收入支出决算表》</w:t>
      </w:r>
    </w:p>
    <w:p w14:paraId="466DA6F9">
      <w:pPr>
        <w:spacing w:line="240" w:lineRule="auto"/>
        <w:ind w:firstLine="640"/>
        <w:jc w:val="both"/>
      </w:pPr>
      <w:r>
        <w:rPr>
          <w:rFonts w:ascii="仿宋_GB2312" w:hAnsi="仿宋_GB2312" w:eastAsia="仿宋_GB2312"/>
          <w:b w:val="0"/>
          <w:sz w:val="32"/>
        </w:rPr>
        <w:t>九、《财政拨款“三公”经费支出决算表》</w:t>
      </w:r>
    </w:p>
    <w:p w14:paraId="6A1A474F">
      <w:pPr>
        <w:spacing w:line="240" w:lineRule="auto"/>
        <w:ind w:firstLine="640"/>
        <w:jc w:val="both"/>
      </w:pPr>
    </w:p>
    <w:p w14:paraId="2FF81523">
      <w:pPr>
        <w:spacing w:line="240" w:lineRule="auto"/>
        <w:ind w:firstLine="640"/>
        <w:jc w:val="both"/>
      </w:pPr>
    </w:p>
    <w:p w14:paraId="501ABC98">
      <w:pPr>
        <w:spacing w:line="240" w:lineRule="auto"/>
        <w:ind w:firstLine="640"/>
        <w:jc w:val="both"/>
      </w:pPr>
    </w:p>
    <w:p w14:paraId="38A902BE">
      <w:pPr>
        <w:spacing w:line="240" w:lineRule="auto"/>
        <w:ind w:firstLine="640"/>
        <w:jc w:val="both"/>
      </w:pPr>
    </w:p>
    <w:p w14:paraId="2752BBA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1D6F0E1-2A32-42E4-9225-D6BFCE55F4D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7893140-FB32-4767-95BD-15F905D6A07D}"/>
  </w:font>
  <w:font w:name="仿宋_GB2312">
    <w:panose1 w:val="02010609030101010101"/>
    <w:charset w:val="86"/>
    <w:family w:val="modern"/>
    <w:pitch w:val="default"/>
    <w:sig w:usb0="00000001" w:usb1="080E0000" w:usb2="00000000" w:usb3="00000000" w:csb0="00040000" w:csb1="00000000"/>
    <w:embedRegular r:id="rId3" w:fontKey="{917290C2-184F-46BB-86D7-16B88C5A0D20}"/>
  </w:font>
  <w:font w:name="楷体_GB2312">
    <w:panose1 w:val="02010609030101010101"/>
    <w:charset w:val="86"/>
    <w:family w:val="auto"/>
    <w:pitch w:val="default"/>
    <w:sig w:usb0="00000001" w:usb1="080E0000" w:usb2="00000000" w:usb3="00000000" w:csb0="00040000" w:csb1="00000000"/>
    <w:embedRegular r:id="rId4" w:fontKey="{5A2D1FC4-8655-4292-ACF6-DB0D6EABF92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BC4C30"/>
    <w:rsid w:val="464B7E04"/>
    <w:rsid w:val="464F7E64"/>
    <w:rsid w:val="46901EEE"/>
    <w:rsid w:val="469C74D2"/>
    <w:rsid w:val="47445515"/>
    <w:rsid w:val="4B4C0111"/>
    <w:rsid w:val="4BB23021"/>
    <w:rsid w:val="4D3447CC"/>
    <w:rsid w:val="4F3F074E"/>
    <w:rsid w:val="50DB5F45"/>
    <w:rsid w:val="52F92565"/>
    <w:rsid w:val="53CB1384"/>
    <w:rsid w:val="543D17CB"/>
    <w:rsid w:val="55DA564E"/>
    <w:rsid w:val="56C72E52"/>
    <w:rsid w:val="56E07045"/>
    <w:rsid w:val="583059FA"/>
    <w:rsid w:val="587E6212"/>
    <w:rsid w:val="5AFC6609"/>
    <w:rsid w:val="5B547D1D"/>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6293</Words>
  <Characters>7114</Characters>
  <Lines>0</Lines>
  <Paragraphs>0</Paragraphs>
  <TotalTime>3</TotalTime>
  <ScaleCrop>false</ScaleCrop>
  <LinksUpToDate>false</LinksUpToDate>
  <CharactersWithSpaces>7124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2025-11-27T03:33:15Z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