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托里县准噶尔非公有制经济服务中心2024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119D9D">
      <w:r>
        <w:br w:type="page"/>
      </w:r>
    </w:p>
    <w:p w14:paraId="71C17C06">
      <w:pPr>
        <w:spacing w:line="640" w:lineRule="exact"/>
        <w:jc w:val="center"/>
        <w:outlineLvl w:val="1"/>
      </w:pPr>
      <w:r>
        <w:rPr>
          <w:rFonts w:ascii="黑体" w:hAnsi="黑体" w:eastAsia="黑体"/>
          <w:sz w:val="32"/>
        </w:rPr>
        <w:t>第一部分 单位概况</w:t>
      </w:r>
    </w:p>
    <w:p w14:paraId="00577D6C">
      <w:pPr>
        <w:spacing w:line="640" w:lineRule="exact"/>
        <w:ind w:firstLine="640"/>
        <w:jc w:val="both"/>
        <w:outlineLvl w:val="2"/>
      </w:pPr>
      <w:r>
        <w:rPr>
          <w:rFonts w:ascii="黑体" w:hAnsi="黑体" w:eastAsia="黑体"/>
          <w:sz w:val="32"/>
        </w:rPr>
        <w:t>一、主要职能</w:t>
      </w:r>
    </w:p>
    <w:p w14:paraId="7DB4354D">
      <w:pPr>
        <w:spacing w:line="580" w:lineRule="exact"/>
        <w:ind w:firstLine="640"/>
        <w:jc w:val="both"/>
      </w:pPr>
      <w:r>
        <w:rPr>
          <w:rFonts w:ascii="仿宋_GB2312" w:hAnsi="仿宋_GB2312" w:eastAsia="仿宋_GB2312"/>
          <w:sz w:val="32"/>
        </w:rPr>
        <w:t>（1）贯彻执行国</w:t>
      </w:r>
      <w:r>
        <w:rPr>
          <w:rFonts w:hint="eastAsia" w:ascii="仿宋_GB2312" w:hAnsi="仿宋_GB2312" w:eastAsia="仿宋_GB2312"/>
          <w:sz w:val="32"/>
          <w:lang w:eastAsia="zh-CN"/>
        </w:rPr>
        <w:t>家和</w:t>
      </w:r>
      <w:r>
        <w:rPr>
          <w:rFonts w:ascii="仿宋_GB2312" w:hAnsi="仿宋_GB2312" w:eastAsia="仿宋_GB2312"/>
          <w:sz w:val="32"/>
        </w:rPr>
        <w:t>自治区地区及县委、县政府有关发展非公有制经济的方针政策、法律法规和规章，并监督检查执行情况，研究撰写小区有关发展乡镇企业的政策措施，并组织实施工贸小区建设等有关工作，负责小区企业的统计工作，进行小区企业经济运行情况分析，组织指导小区企业科技进步，新产品新技术新设备引进工作。</w:t>
      </w:r>
    </w:p>
    <w:p w14:paraId="49AFF66D">
      <w:pPr>
        <w:spacing w:line="580" w:lineRule="exact"/>
        <w:ind w:firstLine="640"/>
        <w:jc w:val="both"/>
      </w:pPr>
      <w:r>
        <w:rPr>
          <w:rFonts w:ascii="仿宋_GB2312" w:hAnsi="仿宋_GB2312" w:eastAsia="仿宋_GB2312"/>
          <w:sz w:val="32"/>
        </w:rPr>
        <w:t>（2）负责指导制定小区非公有制经济发展规划和年度计划，负责指导小区的非公有制经济落实《国</w:t>
      </w:r>
      <w:r>
        <w:rPr>
          <w:rFonts w:hint="eastAsia" w:ascii="仿宋_GB2312" w:hAnsi="仿宋_GB2312" w:eastAsia="仿宋_GB2312"/>
          <w:sz w:val="32"/>
          <w:lang w:eastAsia="zh-CN"/>
        </w:rPr>
        <w:t>家和</w:t>
      </w:r>
      <w:r>
        <w:rPr>
          <w:rFonts w:ascii="仿宋_GB2312" w:hAnsi="仿宋_GB2312" w:eastAsia="仿宋_GB2312"/>
          <w:sz w:val="32"/>
        </w:rPr>
        <w:t>自治</w:t>
      </w:r>
      <w:r>
        <w:rPr>
          <w:rFonts w:hint="eastAsia" w:ascii="仿宋_GB2312" w:hAnsi="仿宋_GB2312" w:eastAsia="仿宋_GB2312"/>
          <w:sz w:val="32"/>
          <w:lang w:eastAsia="zh-CN"/>
        </w:rPr>
        <w:t>区和</w:t>
      </w:r>
      <w:r>
        <w:rPr>
          <w:rFonts w:ascii="仿宋_GB2312" w:hAnsi="仿宋_GB2312" w:eastAsia="仿宋_GB2312"/>
          <w:sz w:val="32"/>
        </w:rPr>
        <w:t>地区出台的决定》和有关政策法规。</w:t>
      </w:r>
    </w:p>
    <w:p w14:paraId="196C8F18">
      <w:pPr>
        <w:spacing w:line="580" w:lineRule="exact"/>
        <w:ind w:firstLine="640"/>
        <w:jc w:val="both"/>
      </w:pPr>
      <w:r>
        <w:rPr>
          <w:rFonts w:ascii="仿宋_GB2312" w:hAnsi="仿宋_GB2312" w:eastAsia="仿宋_GB2312"/>
          <w:sz w:val="32"/>
        </w:rPr>
        <w:t>（3）负责小区的工贸企业的会计统计工作，对经济运行中涉及财政金融性问题和资金情况进行分析和研究并提出建议，收集、整理分析和发布经济信息。</w:t>
      </w:r>
    </w:p>
    <w:p w14:paraId="2DEB828D">
      <w:pPr>
        <w:spacing w:line="580" w:lineRule="exact"/>
        <w:ind w:firstLine="640"/>
        <w:jc w:val="both"/>
      </w:pPr>
      <w:r>
        <w:rPr>
          <w:rFonts w:ascii="仿宋_GB2312" w:hAnsi="仿宋_GB2312" w:eastAsia="仿宋_GB2312"/>
          <w:sz w:val="32"/>
        </w:rPr>
        <w:t>（4）负责对外直接招商，对内统筹安排引进项目。</w:t>
      </w:r>
    </w:p>
    <w:p w14:paraId="14C24ED8">
      <w:pPr>
        <w:spacing w:line="580" w:lineRule="exact"/>
        <w:ind w:firstLine="640"/>
        <w:jc w:val="both"/>
      </w:pPr>
      <w:r>
        <w:rPr>
          <w:rFonts w:ascii="仿宋_GB2312" w:hAnsi="仿宋_GB2312" w:eastAsia="仿宋_GB2312"/>
          <w:sz w:val="32"/>
        </w:rPr>
        <w:t>（5）招商信息的采集加工发布。</w:t>
      </w:r>
    </w:p>
    <w:p w14:paraId="0F13F704">
      <w:pPr>
        <w:spacing w:line="580" w:lineRule="exact"/>
        <w:ind w:firstLine="640"/>
        <w:jc w:val="both"/>
      </w:pPr>
      <w:r>
        <w:rPr>
          <w:rFonts w:ascii="仿宋_GB2312" w:hAnsi="仿宋_GB2312" w:eastAsia="仿宋_GB2312"/>
          <w:sz w:val="32"/>
        </w:rPr>
        <w:t>（6）规划指导协调小区的招商</w:t>
      </w:r>
      <w:r>
        <w:rPr>
          <w:rFonts w:hint="eastAsia" w:ascii="仿宋_GB2312" w:hAnsi="仿宋_GB2312" w:eastAsia="仿宋_GB2312"/>
          <w:sz w:val="32"/>
          <w:lang w:eastAsia="zh-CN"/>
        </w:rPr>
        <w:t>引资</w:t>
      </w:r>
      <w:r>
        <w:rPr>
          <w:rFonts w:ascii="仿宋_GB2312" w:hAnsi="仿宋_GB2312" w:eastAsia="仿宋_GB2312"/>
          <w:sz w:val="32"/>
        </w:rPr>
        <w:t>工作。</w:t>
      </w:r>
    </w:p>
    <w:p w14:paraId="5C35DA27">
      <w:pPr>
        <w:spacing w:line="580" w:lineRule="exact"/>
        <w:ind w:firstLine="640"/>
        <w:jc w:val="both"/>
      </w:pPr>
      <w:r>
        <w:rPr>
          <w:rFonts w:ascii="仿宋_GB2312" w:hAnsi="仿宋_GB2312" w:eastAsia="仿宋_GB2312"/>
          <w:sz w:val="32"/>
        </w:rPr>
        <w:t>（7）做好项目跟踪和信息反馈工作。</w:t>
      </w:r>
    </w:p>
    <w:p w14:paraId="28CCB650">
      <w:pPr>
        <w:spacing w:line="580" w:lineRule="exact"/>
        <w:ind w:firstLine="640"/>
        <w:jc w:val="both"/>
      </w:pPr>
      <w:r>
        <w:rPr>
          <w:rFonts w:ascii="仿宋_GB2312" w:hAnsi="仿宋_GB2312" w:eastAsia="仿宋_GB2312"/>
          <w:sz w:val="32"/>
        </w:rPr>
        <w:t>（8）负责健全项目档案管理制度及项目报表制度，及时统计项目进展情况，在县委、县政府的统一领导下，积极对外招商对内统筹安排项目，并会同有关部门对</w:t>
      </w:r>
      <w:r>
        <w:rPr>
          <w:rFonts w:hint="eastAsia" w:ascii="仿宋_GB2312" w:hAnsi="仿宋_GB2312" w:eastAsia="仿宋_GB2312"/>
          <w:sz w:val="32"/>
          <w:lang w:eastAsia="zh-CN"/>
        </w:rPr>
        <w:t>招</w:t>
      </w:r>
      <w:r>
        <w:rPr>
          <w:rFonts w:ascii="仿宋_GB2312" w:hAnsi="仿宋_GB2312" w:eastAsia="仿宋_GB2312"/>
          <w:sz w:val="32"/>
        </w:rPr>
        <w:t>商引资信息进行采集加工发布，规划指</w:t>
      </w:r>
      <w:r>
        <w:rPr>
          <w:rFonts w:hint="eastAsia" w:ascii="仿宋_GB2312" w:hAnsi="仿宋_GB2312" w:eastAsia="仿宋_GB2312"/>
          <w:sz w:val="32"/>
          <w:lang w:eastAsia="zh-CN"/>
        </w:rPr>
        <w:t>导和</w:t>
      </w:r>
      <w:r>
        <w:rPr>
          <w:rFonts w:ascii="仿宋_GB2312" w:hAnsi="仿宋_GB2312" w:eastAsia="仿宋_GB2312"/>
          <w:sz w:val="32"/>
        </w:rPr>
        <w:t>协调小区的</w:t>
      </w:r>
      <w:r>
        <w:rPr>
          <w:rFonts w:hint="eastAsia" w:ascii="仿宋_GB2312" w:hAnsi="仿宋_GB2312" w:eastAsia="仿宋_GB2312"/>
          <w:sz w:val="32"/>
          <w:lang w:eastAsia="zh-CN"/>
        </w:rPr>
        <w:t>招</w:t>
      </w:r>
      <w:r>
        <w:rPr>
          <w:rFonts w:ascii="仿宋_GB2312" w:hAnsi="仿宋_GB2312" w:eastAsia="仿宋_GB2312"/>
          <w:sz w:val="32"/>
        </w:rPr>
        <w:t>商引资工作。</w:t>
      </w:r>
    </w:p>
    <w:p w14:paraId="415C7E3C">
      <w:pPr>
        <w:spacing w:line="640" w:lineRule="exact"/>
        <w:ind w:firstLine="640"/>
        <w:jc w:val="both"/>
        <w:outlineLvl w:val="2"/>
      </w:pPr>
      <w:r>
        <w:rPr>
          <w:rFonts w:ascii="黑体" w:hAnsi="黑体" w:eastAsia="黑体"/>
          <w:sz w:val="32"/>
        </w:rPr>
        <w:t>二、机构设置及人员情况</w:t>
      </w:r>
    </w:p>
    <w:p w14:paraId="0DB6993B">
      <w:pPr>
        <w:spacing w:line="580" w:lineRule="exact"/>
        <w:ind w:firstLine="640"/>
        <w:jc w:val="both"/>
      </w:pPr>
      <w:r>
        <w:rPr>
          <w:rFonts w:ascii="仿宋_GB2312" w:hAnsi="仿宋_GB2312" w:eastAsia="仿宋_GB2312"/>
          <w:sz w:val="32"/>
        </w:rPr>
        <w:t>托里县准噶尔非公有制经济服务中心2024年度，实有人数13人，其中：在职人员9人，增加0人；离休人员0人，增加0人；退休人员4人,增加0人。</w:t>
      </w:r>
    </w:p>
    <w:p w14:paraId="15239EBF">
      <w:pPr>
        <w:spacing w:line="580" w:lineRule="exact"/>
        <w:ind w:firstLine="640"/>
        <w:jc w:val="both"/>
      </w:pPr>
      <w:r>
        <w:rPr>
          <w:rFonts w:ascii="仿宋_GB2312" w:hAnsi="仿宋_GB2312" w:eastAsia="仿宋_GB2312"/>
          <w:sz w:val="32"/>
        </w:rPr>
        <w:t>托里县准噶尔非公有制经济服务中心无下属预算单位，下设1个科室，分别是：准噶尔非公有制经济服务中心办公室。</w:t>
      </w:r>
    </w:p>
    <w:p w14:paraId="066E1F2D">
      <w:r>
        <w:br w:type="page"/>
      </w:r>
    </w:p>
    <w:p w14:paraId="27F29ADF">
      <w:pPr>
        <w:spacing w:line="240" w:lineRule="auto"/>
        <w:jc w:val="center"/>
        <w:outlineLvl w:val="1"/>
      </w:pPr>
      <w:r>
        <w:rPr>
          <w:rFonts w:ascii="黑体" w:hAnsi="黑体" w:eastAsia="黑体"/>
          <w:sz w:val="32"/>
        </w:rPr>
        <w:t>第二部分 部门决算情况说明</w:t>
      </w:r>
    </w:p>
    <w:p w14:paraId="4B6C3D78">
      <w:pPr>
        <w:spacing w:line="640" w:lineRule="exact"/>
        <w:ind w:firstLine="640"/>
        <w:jc w:val="both"/>
        <w:outlineLvl w:val="2"/>
      </w:pPr>
      <w:r>
        <w:rPr>
          <w:rFonts w:ascii="黑体" w:hAnsi="黑体" w:eastAsia="黑体"/>
          <w:sz w:val="32"/>
        </w:rPr>
        <w:t>一、收入支出决算总体情况说明</w:t>
      </w:r>
    </w:p>
    <w:p w14:paraId="405176A4">
      <w:pPr>
        <w:spacing w:line="580" w:lineRule="exact"/>
        <w:ind w:firstLine="640"/>
        <w:jc w:val="both"/>
      </w:pPr>
      <w:r>
        <w:rPr>
          <w:rFonts w:ascii="仿宋_GB2312" w:hAnsi="仿宋_GB2312" w:eastAsia="仿宋_GB2312"/>
          <w:b/>
          <w:sz w:val="32"/>
        </w:rPr>
        <w:t>2024年度收入总计291.67万元，</w:t>
      </w:r>
      <w:r>
        <w:rPr>
          <w:rFonts w:ascii="仿宋_GB2312" w:hAnsi="仿宋_GB2312" w:eastAsia="仿宋_GB2312"/>
          <w:b w:val="0"/>
          <w:sz w:val="32"/>
        </w:rPr>
        <w:t>其中：本年收入合计281.65万元，使用非财政拨款结余（含专用结余）0.00万元，年初结转和结余10.02万元。</w:t>
      </w:r>
    </w:p>
    <w:p w14:paraId="28BC71D1">
      <w:pPr>
        <w:spacing w:line="580" w:lineRule="exact"/>
        <w:ind w:firstLine="640"/>
        <w:jc w:val="both"/>
      </w:pPr>
      <w:r>
        <w:rPr>
          <w:rFonts w:ascii="仿宋_GB2312" w:hAnsi="仿宋_GB2312" w:eastAsia="仿宋_GB2312"/>
          <w:b/>
          <w:sz w:val="32"/>
        </w:rPr>
        <w:t>2024年度支出总计291.67万元，</w:t>
      </w:r>
      <w:r>
        <w:rPr>
          <w:rFonts w:ascii="仿宋_GB2312" w:hAnsi="仿宋_GB2312" w:eastAsia="仿宋_GB2312"/>
          <w:b w:val="0"/>
          <w:sz w:val="32"/>
        </w:rPr>
        <w:t>其中：本年支出合计291.63万元，结余分配0.00万元，年末结转和结余0.03万元。</w:t>
      </w:r>
    </w:p>
    <w:p w14:paraId="025880F9">
      <w:pPr>
        <w:spacing w:line="580" w:lineRule="exact"/>
        <w:ind w:firstLine="640"/>
        <w:jc w:val="both"/>
      </w:pPr>
      <w:r>
        <w:rPr>
          <w:rFonts w:ascii="仿宋_GB2312" w:hAnsi="仿宋_GB2312" w:eastAsia="仿宋_GB2312"/>
          <w:b w:val="0"/>
          <w:sz w:val="32"/>
        </w:rPr>
        <w:t>收入支出总体与上年相比，增加85.06万元，增长41.17%，主要原因是：本年增加托里县准噶尔易地扶贫搬迁安置区生活基础设施巩固提升建设项目、道路附属设施建设项目、基础设施建设项目质保金、准噶尔金准供热公司的取暖费等项目。</w:t>
      </w:r>
    </w:p>
    <w:p w14:paraId="28D643DB">
      <w:pPr>
        <w:spacing w:line="640" w:lineRule="exact"/>
        <w:ind w:firstLine="640"/>
        <w:jc w:val="both"/>
        <w:outlineLvl w:val="2"/>
      </w:pPr>
      <w:r>
        <w:rPr>
          <w:rFonts w:ascii="黑体" w:hAnsi="黑体" w:eastAsia="黑体"/>
          <w:sz w:val="32"/>
        </w:rPr>
        <w:t>二、收入决算情况说明</w:t>
      </w:r>
    </w:p>
    <w:p w14:paraId="0E72A572">
      <w:pPr>
        <w:spacing w:line="580" w:lineRule="exact"/>
        <w:ind w:firstLine="640"/>
        <w:jc w:val="both"/>
      </w:pPr>
      <w:r>
        <w:rPr>
          <w:rFonts w:ascii="仿宋_GB2312" w:hAnsi="仿宋_GB2312" w:eastAsia="仿宋_GB2312"/>
          <w:b/>
          <w:sz w:val="32"/>
        </w:rPr>
        <w:t>本年收入281.65万元，</w:t>
      </w:r>
      <w:r>
        <w:rPr>
          <w:rFonts w:ascii="仿宋_GB2312" w:hAnsi="仿宋_GB2312" w:eastAsia="仿宋_GB2312"/>
          <w:b w:val="0"/>
          <w:sz w:val="32"/>
        </w:rPr>
        <w:t>其中：财政拨款收入271.63万元，占96.44%；上级补助收入0.00万元，占0.00%；事业收入0.00万元，占0.00%；经营收入0.00万元，占0.00%；附属单位上缴收入0.00万元，占0.00%；其他收入10.01万元，占3.55%。</w:t>
      </w:r>
    </w:p>
    <w:p w14:paraId="4B087C40">
      <w:pPr>
        <w:spacing w:line="640" w:lineRule="exact"/>
        <w:ind w:firstLine="640"/>
        <w:jc w:val="both"/>
        <w:outlineLvl w:val="2"/>
      </w:pPr>
      <w:r>
        <w:rPr>
          <w:rFonts w:ascii="黑体" w:hAnsi="黑体" w:eastAsia="黑体"/>
          <w:sz w:val="32"/>
        </w:rPr>
        <w:t>三、支出决算情况说明</w:t>
      </w:r>
    </w:p>
    <w:p w14:paraId="3E39A09A">
      <w:pPr>
        <w:spacing w:line="580" w:lineRule="exact"/>
        <w:ind w:firstLine="640"/>
        <w:jc w:val="both"/>
      </w:pPr>
      <w:r>
        <w:rPr>
          <w:rFonts w:ascii="仿宋_GB2312" w:hAnsi="仿宋_GB2312" w:eastAsia="仿宋_GB2312"/>
          <w:b/>
          <w:sz w:val="32"/>
        </w:rPr>
        <w:t>本年支出291.63万元，</w:t>
      </w:r>
      <w:r>
        <w:rPr>
          <w:rFonts w:ascii="仿宋_GB2312" w:hAnsi="仿宋_GB2312" w:eastAsia="仿宋_GB2312"/>
          <w:b w:val="0"/>
          <w:sz w:val="32"/>
        </w:rPr>
        <w:t>其中：基本支出207.48万元，占71.14%；项目支出84.15万元，占28.86%；上缴上级支出0.00万元，占0.00%；经营支出0.00万元，占0.00%；对附属单位补助支出0.00万元，占0.00%。</w:t>
      </w:r>
    </w:p>
    <w:p w14:paraId="6A0CE63A">
      <w:pPr>
        <w:spacing w:line="640" w:lineRule="exact"/>
        <w:ind w:firstLine="640"/>
        <w:jc w:val="both"/>
        <w:outlineLvl w:val="2"/>
      </w:pPr>
      <w:r>
        <w:rPr>
          <w:rFonts w:ascii="黑体" w:hAnsi="黑体" w:eastAsia="黑体"/>
          <w:sz w:val="32"/>
        </w:rPr>
        <w:t>四、财政拨款收入支出决算总体情况说明</w:t>
      </w:r>
    </w:p>
    <w:p w14:paraId="04BC10F8">
      <w:pPr>
        <w:spacing w:line="580" w:lineRule="exact"/>
        <w:ind w:firstLine="640"/>
        <w:jc w:val="both"/>
      </w:pPr>
      <w:r>
        <w:rPr>
          <w:rFonts w:ascii="仿宋_GB2312" w:hAnsi="仿宋_GB2312" w:eastAsia="仿宋_GB2312"/>
          <w:b/>
          <w:sz w:val="32"/>
        </w:rPr>
        <w:t>2024年度财政拨款收入总计271.63万元，</w:t>
      </w:r>
      <w:r>
        <w:rPr>
          <w:rFonts w:ascii="仿宋_GB2312" w:hAnsi="仿宋_GB2312" w:eastAsia="仿宋_GB2312"/>
          <w:b w:val="0"/>
          <w:sz w:val="32"/>
        </w:rPr>
        <w:t>其中：年初财政拨款结转和结余0.00万元，本年财政拨款收入271.63万元。</w:t>
      </w:r>
      <w:r>
        <w:rPr>
          <w:rFonts w:ascii="仿宋_GB2312" w:hAnsi="仿宋_GB2312" w:eastAsia="仿宋_GB2312"/>
          <w:b/>
          <w:sz w:val="32"/>
        </w:rPr>
        <w:t>财政拨款支出总计271.63万元，</w:t>
      </w:r>
      <w:r>
        <w:rPr>
          <w:rFonts w:ascii="仿宋_GB2312" w:hAnsi="仿宋_GB2312" w:eastAsia="仿宋_GB2312"/>
          <w:b w:val="0"/>
          <w:sz w:val="32"/>
        </w:rPr>
        <w:t>其中：年末财政拨款结转和结余0.00万元，本年财政拨款支出271.63万元。</w:t>
      </w:r>
    </w:p>
    <w:p w14:paraId="3E54E03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增加75.05万元，增长38.18%，主要原因是：本年增加托里县准噶尔易地扶贫搬迁安置区生活基础设施巩固提升建设项目、道路附属设施建设项目、基础设施建设项目质保金、准噶尔金准供热公司的取暖费等项目。</w:t>
      </w:r>
      <w:r>
        <w:rPr>
          <w:rFonts w:ascii="仿宋_GB2312" w:hAnsi="仿宋_GB2312" w:eastAsia="仿宋_GB2312"/>
          <w:b/>
          <w:sz w:val="32"/>
        </w:rPr>
        <w:t>与年初预算相比，</w:t>
      </w:r>
      <w:r>
        <w:rPr>
          <w:rFonts w:ascii="仿宋_GB2312" w:hAnsi="仿宋_GB2312" w:eastAsia="仿宋_GB2312"/>
          <w:b w:val="0"/>
          <w:sz w:val="32"/>
        </w:rPr>
        <w:t>年初预算数181.92万元，决算数271.63万元，预决算差异率49.31%，主要原因是：年中追加准噶尔金准供热公司的取暖费、托里县准噶尔易地扶贫搬迁安置区基础设施建设项目，导致预决算存在差异。</w:t>
      </w:r>
    </w:p>
    <w:p w14:paraId="0FAE41A7">
      <w:pPr>
        <w:spacing w:line="640" w:lineRule="exact"/>
        <w:ind w:firstLine="640"/>
        <w:jc w:val="both"/>
        <w:outlineLvl w:val="2"/>
      </w:pPr>
      <w:r>
        <w:rPr>
          <w:rFonts w:ascii="黑体" w:hAnsi="黑体" w:eastAsia="黑体"/>
          <w:sz w:val="32"/>
        </w:rPr>
        <w:t>五、一般公共预算财政拨款支出决算情况说明</w:t>
      </w:r>
    </w:p>
    <w:p w14:paraId="438F5A91">
      <w:pPr>
        <w:spacing w:line="640" w:lineRule="exact"/>
        <w:ind w:firstLine="640"/>
        <w:jc w:val="both"/>
        <w:outlineLvl w:val="3"/>
      </w:pPr>
      <w:r>
        <w:rPr>
          <w:rFonts w:ascii="楷体_GB2312" w:hAnsi="楷体_GB2312" w:eastAsia="楷体_GB2312"/>
          <w:b/>
          <w:sz w:val="32"/>
        </w:rPr>
        <w:t>（一）一般公共预算财政拨款支出决算总体情况</w:t>
      </w:r>
    </w:p>
    <w:p w14:paraId="14FE9AE8">
      <w:pPr>
        <w:spacing w:line="580" w:lineRule="exact"/>
        <w:ind w:firstLine="640"/>
        <w:jc w:val="both"/>
      </w:pPr>
      <w:r>
        <w:rPr>
          <w:rFonts w:ascii="仿宋_GB2312" w:hAnsi="仿宋_GB2312" w:eastAsia="仿宋_GB2312"/>
          <w:b/>
          <w:sz w:val="32"/>
        </w:rPr>
        <w:t>2024年度一般公共预算财政拨款支出221.63万元，</w:t>
      </w:r>
      <w:r>
        <w:rPr>
          <w:rFonts w:ascii="仿宋_GB2312" w:hAnsi="仿宋_GB2312" w:eastAsia="仿宋_GB2312"/>
          <w:b w:val="0"/>
          <w:sz w:val="32"/>
        </w:rPr>
        <w:t>占本年支出合计的76.00%。</w:t>
      </w:r>
      <w:r>
        <w:rPr>
          <w:rFonts w:ascii="仿宋_GB2312" w:hAnsi="仿宋_GB2312" w:eastAsia="仿宋_GB2312"/>
          <w:b/>
          <w:sz w:val="32"/>
        </w:rPr>
        <w:t>与上年相比，</w:t>
      </w:r>
      <w:r>
        <w:rPr>
          <w:rFonts w:ascii="仿宋_GB2312" w:hAnsi="仿宋_GB2312" w:eastAsia="仿宋_GB2312"/>
          <w:b w:val="0"/>
          <w:sz w:val="32"/>
        </w:rPr>
        <w:t>增加25.05万元，增长12.74%，主要原因是：本年增加托里县准噶尔易地扶贫搬迁安置区生活基础设施巩固提升建设项目、托里县准噶尔易地扶贫搬迁安置区基础设施建设项目。</w:t>
      </w:r>
      <w:r>
        <w:rPr>
          <w:rFonts w:ascii="仿宋_GB2312" w:hAnsi="仿宋_GB2312" w:eastAsia="仿宋_GB2312"/>
          <w:b/>
          <w:sz w:val="32"/>
        </w:rPr>
        <w:t>与年初预算相比,</w:t>
      </w:r>
      <w:r>
        <w:rPr>
          <w:rFonts w:ascii="仿宋_GB2312" w:hAnsi="仿宋_GB2312" w:eastAsia="仿宋_GB2312"/>
          <w:b w:val="0"/>
          <w:sz w:val="32"/>
        </w:rPr>
        <w:t>年初预算数181.92万元，决算数221.63万元，预决算差异率21.83%，主要原因是：年中追加托里县准噶尔易地扶贫搬迁安置区基础设施建设项目，导致预决算存在差异。</w:t>
      </w:r>
    </w:p>
    <w:p w14:paraId="079AF59A">
      <w:pPr>
        <w:spacing w:line="640" w:lineRule="exact"/>
        <w:ind w:firstLine="640"/>
        <w:jc w:val="both"/>
        <w:outlineLvl w:val="3"/>
      </w:pPr>
      <w:r>
        <w:rPr>
          <w:rFonts w:ascii="楷体_GB2312" w:hAnsi="楷体_GB2312" w:eastAsia="楷体_GB2312"/>
          <w:b/>
          <w:sz w:val="32"/>
        </w:rPr>
        <w:t>（二）一般公共预算财政拨款支出决算结构情况</w:t>
      </w:r>
    </w:p>
    <w:p w14:paraId="5A474306">
      <w:pPr>
        <w:spacing w:line="580" w:lineRule="exact"/>
        <w:ind w:firstLine="640"/>
        <w:jc w:val="both"/>
      </w:pPr>
      <w:r>
        <w:rPr>
          <w:rFonts w:ascii="仿宋_GB2312" w:hAnsi="仿宋_GB2312" w:eastAsia="仿宋_GB2312"/>
          <w:b w:val="0"/>
          <w:sz w:val="32"/>
        </w:rPr>
        <w:t>1.一般公共服务支出(类)146.77万元,占66.22%。</w:t>
      </w:r>
    </w:p>
    <w:p w14:paraId="1AA68987">
      <w:pPr>
        <w:spacing w:line="580" w:lineRule="exact"/>
        <w:ind w:firstLine="640"/>
        <w:jc w:val="both"/>
      </w:pPr>
      <w:r>
        <w:rPr>
          <w:rFonts w:ascii="仿宋_GB2312" w:hAnsi="仿宋_GB2312" w:eastAsia="仿宋_GB2312"/>
          <w:b w:val="0"/>
          <w:sz w:val="32"/>
        </w:rPr>
        <w:t>2.社会保障和就业支出(类)18.78万元,占8.47%。</w:t>
      </w:r>
    </w:p>
    <w:p w14:paraId="36D2507B">
      <w:pPr>
        <w:spacing w:line="580" w:lineRule="exact"/>
        <w:ind w:firstLine="640"/>
        <w:jc w:val="both"/>
      </w:pPr>
      <w:r>
        <w:rPr>
          <w:rFonts w:ascii="仿宋_GB2312" w:hAnsi="仿宋_GB2312" w:eastAsia="仿宋_GB2312"/>
          <w:b w:val="0"/>
          <w:sz w:val="32"/>
        </w:rPr>
        <w:t>3.卫生健康支出(类)8.38万元,占3.78%。</w:t>
      </w:r>
    </w:p>
    <w:p w14:paraId="6A268B12">
      <w:pPr>
        <w:spacing w:line="580" w:lineRule="exact"/>
        <w:ind w:firstLine="640"/>
        <w:jc w:val="both"/>
      </w:pPr>
      <w:r>
        <w:rPr>
          <w:rFonts w:ascii="仿宋_GB2312" w:hAnsi="仿宋_GB2312" w:eastAsia="仿宋_GB2312"/>
          <w:b w:val="0"/>
          <w:sz w:val="32"/>
        </w:rPr>
        <w:t>4.农林水支出(类)34.15万元,占15.41%。</w:t>
      </w:r>
    </w:p>
    <w:p w14:paraId="54252533">
      <w:pPr>
        <w:spacing w:line="580" w:lineRule="exact"/>
        <w:ind w:firstLine="640"/>
        <w:jc w:val="both"/>
      </w:pPr>
      <w:r>
        <w:rPr>
          <w:rFonts w:ascii="仿宋_GB2312" w:hAnsi="仿宋_GB2312" w:eastAsia="仿宋_GB2312"/>
          <w:b w:val="0"/>
          <w:sz w:val="32"/>
        </w:rPr>
        <w:t>5.住房保障支出(类)13.56万元,占6.12%。</w:t>
      </w:r>
    </w:p>
    <w:p w14:paraId="395F663E">
      <w:pPr>
        <w:spacing w:line="640" w:lineRule="exact"/>
        <w:ind w:firstLine="640"/>
        <w:jc w:val="both"/>
        <w:outlineLvl w:val="3"/>
      </w:pPr>
      <w:r>
        <w:rPr>
          <w:rFonts w:ascii="楷体_GB2312" w:hAnsi="楷体_GB2312" w:eastAsia="楷体_GB2312"/>
          <w:b/>
          <w:sz w:val="32"/>
        </w:rPr>
        <w:t>（三）一般公共预算财政拨款支出决算具体情况</w:t>
      </w:r>
    </w:p>
    <w:p w14:paraId="18070A95">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1.一般公共服务支出(类)政府办公厅（室）及相关机构事务(款)行政运行(项):支出决算数为146.77万元，比上年决算增加37.15万元，增长33.89%,主要原因是：本年在职人员工资调增，导致相关人员经费较上年有所增加。</w:t>
      </w:r>
    </w:p>
    <w:p w14:paraId="1A8644D2">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10.38万元，下降100.00%,主要原因是：本年减少地方专项用于准噶尔大道传媒有限公司宣传制作。</w:t>
      </w:r>
    </w:p>
    <w:p w14:paraId="2583C61D">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3.社会保障和就业支出(类)行政事业单位养老支出(款)行政单位离退休(项):支出决算数为3.01万元，比上年决算增加0.78万元，增长34.98%,主要原因是：本年增加退休人员基础绩效奖，退休费支出增加。</w:t>
      </w:r>
    </w:p>
    <w:p w14:paraId="2376774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15.76万元，比上年决算增加3.99万元，增长33.90%,主要原因是：本年在职人员工资基数调增，养老缴费基数上涨，相应支出增加。</w:t>
      </w:r>
    </w:p>
    <w:p w14:paraId="2AFFCD7B">
      <w:pPr>
        <w:spacing w:line="580" w:lineRule="exact"/>
        <w:ind w:firstLine="640"/>
        <w:jc w:val="both"/>
      </w:pPr>
      <w:r>
        <w:rPr>
          <w:rFonts w:ascii="仿宋_GB2312" w:hAnsi="仿宋_GB2312" w:eastAsia="仿宋_GB2312"/>
          <w:b w:val="0"/>
          <w:sz w:val="32"/>
        </w:rPr>
        <w:t>5.卫生健康支出(类)行政事业单位医疗(款)行政单位医疗(项):支出决算数为6.73万元，比上年决算增加1.40万元，增长26.27%,主要原因是：本年在职人员工资基数调增，医疗缴费基数上涨，相应支出增加。</w:t>
      </w:r>
    </w:p>
    <w:p w14:paraId="59CE227F">
      <w:pPr>
        <w:spacing w:line="580" w:lineRule="exact"/>
        <w:ind w:firstLine="640"/>
        <w:jc w:val="both"/>
      </w:pPr>
      <w:r>
        <w:rPr>
          <w:rFonts w:ascii="仿宋_GB2312" w:hAnsi="仿宋_GB2312" w:eastAsia="仿宋_GB2312"/>
          <w:b w:val="0"/>
          <w:sz w:val="32"/>
        </w:rPr>
        <w:t>6.卫生健康支出(类)行政事业单位医疗(款)公务员医疗补助(项):支出决算数为1.65万元，比上年决算增加0.65万元，增长65.00%,主要原因是：本年在职人员工资基数调增，医疗缴费基数上涨，相应支出增加。</w:t>
      </w:r>
    </w:p>
    <w:p w14:paraId="19C34120">
      <w:pPr>
        <w:spacing w:line="580" w:lineRule="exact"/>
        <w:ind w:firstLine="640"/>
        <w:jc w:val="both"/>
      </w:pPr>
      <w:r>
        <w:rPr>
          <w:rFonts w:ascii="仿宋_GB2312" w:hAnsi="仿宋_GB2312" w:eastAsia="仿宋_GB2312"/>
          <w:b w:val="0"/>
          <w:sz w:val="32"/>
        </w:rPr>
        <w:t>7.农林水支出(类)巩固脱贫攻坚成果衔接乡村振兴(款)农村基础设施建设(项):支出决算数为11.09万元，比上年决算增加11.09万元，增长100.00%,主要原因是：本年新增托里县准噶尔易地扶贫搬迁安置区生活基础设施巩固提升建设项目、道路附属设施建设项目、基础设施建设项目质保金。</w:t>
      </w:r>
    </w:p>
    <w:p w14:paraId="1B509B91">
      <w:pPr>
        <w:spacing w:line="580" w:lineRule="exact"/>
        <w:ind w:firstLine="640"/>
        <w:jc w:val="both"/>
      </w:pPr>
      <w:r>
        <w:rPr>
          <w:rFonts w:ascii="仿宋_GB2312" w:hAnsi="仿宋_GB2312" w:eastAsia="仿宋_GB2312"/>
          <w:b w:val="0"/>
          <w:sz w:val="32"/>
        </w:rPr>
        <w:t>8.农林水支出(类)巩固脱贫攻坚成果衔接乡村振兴(款)生产发展(项):支出决算数为23.06万元，比上年决算减少15.80万元，下降40.66%,主要原因是：本年减少托里县易地搬迁金准安置区农畜产品精深加工产业基地配套设施建设等项目。</w:t>
      </w:r>
    </w:p>
    <w:p w14:paraId="5AB11520">
      <w:pPr>
        <w:spacing w:line="580" w:lineRule="exact"/>
        <w:ind w:firstLine="640"/>
        <w:jc w:val="both"/>
      </w:pPr>
      <w:r>
        <w:rPr>
          <w:rFonts w:ascii="仿宋_GB2312" w:hAnsi="仿宋_GB2312" w:eastAsia="仿宋_GB2312"/>
          <w:b w:val="0"/>
          <w:sz w:val="32"/>
        </w:rPr>
        <w:t>9.交通运输支出(类)车辆购置税支出(款)车辆购置税用于农村公路建设支出(项):支出决算数为0.00万元，比上年决算减少7.34万元，下降100.00%,主要原因是：本年减少托里县易地扶贫搬迁区域电力升级改造项目。</w:t>
      </w:r>
    </w:p>
    <w:p w14:paraId="50BC0934">
      <w:pPr>
        <w:spacing w:line="580" w:lineRule="exact"/>
        <w:ind w:firstLine="640"/>
        <w:jc w:val="both"/>
      </w:pPr>
      <w:r>
        <w:rPr>
          <w:rFonts w:ascii="仿宋_GB2312" w:hAnsi="仿宋_GB2312" w:eastAsia="仿宋_GB2312"/>
          <w:b w:val="0"/>
          <w:sz w:val="32"/>
        </w:rPr>
        <w:t>10.住房保障支出(类)住房改革支出(款)住房公积金(项):支出决算数为13.56万元，比上年决算增加3.51万元，增长34.93%,主要原因是：本年在职人员工资基数调增，公积金缴费基数上涨，相应支出增加。</w:t>
      </w:r>
    </w:p>
    <w:p w14:paraId="0D4554B8">
      <w:pPr>
        <w:spacing w:line="640" w:lineRule="exact"/>
        <w:ind w:firstLine="640"/>
        <w:jc w:val="both"/>
        <w:outlineLvl w:val="2"/>
      </w:pPr>
      <w:r>
        <w:rPr>
          <w:rFonts w:ascii="黑体" w:hAnsi="黑体" w:eastAsia="黑体"/>
          <w:sz w:val="32"/>
        </w:rPr>
        <w:t>六、一般公共预算财政拨款基本支出决算情况说明</w:t>
      </w:r>
    </w:p>
    <w:p w14:paraId="2DA8F845">
      <w:pPr>
        <w:spacing w:line="580" w:lineRule="exact"/>
        <w:ind w:firstLine="640"/>
        <w:jc w:val="both"/>
      </w:pPr>
      <w:r>
        <w:rPr>
          <w:rFonts w:ascii="仿宋_GB2312" w:hAnsi="仿宋_GB2312" w:eastAsia="仿宋_GB2312"/>
          <w:b w:val="0"/>
          <w:sz w:val="32"/>
        </w:rPr>
        <w:t>2024年度一般公共预算财政拨款基本支出187.48万元，其中：</w:t>
      </w:r>
      <w:r>
        <w:rPr>
          <w:rFonts w:ascii="仿宋_GB2312" w:hAnsi="仿宋_GB2312" w:eastAsia="仿宋_GB2312"/>
          <w:b/>
          <w:sz w:val="32"/>
        </w:rPr>
        <w:t>人员经费177.37万元，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6D65131E">
      <w:pPr>
        <w:spacing w:line="580" w:lineRule="exact"/>
        <w:ind w:firstLine="640"/>
        <w:jc w:val="both"/>
      </w:pPr>
      <w:r>
        <w:rPr>
          <w:rFonts w:ascii="仿宋_GB2312" w:hAnsi="仿宋_GB2312" w:eastAsia="仿宋_GB2312"/>
          <w:b/>
          <w:sz w:val="32"/>
        </w:rPr>
        <w:t>公用经费10.12万元，</w:t>
      </w:r>
      <w:r>
        <w:rPr>
          <w:rFonts w:ascii="仿宋_GB2312" w:hAnsi="仿宋_GB2312" w:eastAsia="仿宋_GB2312"/>
          <w:b w:val="0"/>
          <w:sz w:val="32"/>
        </w:rPr>
        <w:t>包括：办公费、取暖费、差旅费、维修（护）费、工会经费、公务用车运行维护费。</w:t>
      </w:r>
    </w:p>
    <w:p w14:paraId="39764748">
      <w:pPr>
        <w:spacing w:line="640" w:lineRule="exact"/>
        <w:ind w:firstLine="640"/>
        <w:jc w:val="both"/>
        <w:outlineLvl w:val="2"/>
      </w:pPr>
      <w:r>
        <w:rPr>
          <w:rFonts w:ascii="黑体" w:hAnsi="黑体" w:eastAsia="黑体"/>
          <w:sz w:val="32"/>
        </w:rPr>
        <w:t>七、政府性基金预算财政拨款收入支出决算情况说明</w:t>
      </w:r>
    </w:p>
    <w:p w14:paraId="340C22B4">
      <w:pPr>
        <w:spacing w:line="580" w:lineRule="exact"/>
        <w:ind w:firstLine="640"/>
        <w:jc w:val="both"/>
      </w:pPr>
      <w:r>
        <w:rPr>
          <w:rFonts w:ascii="仿宋_GB2312" w:hAnsi="仿宋_GB2312" w:eastAsia="仿宋_GB2312"/>
          <w:b/>
          <w:sz w:val="32"/>
        </w:rPr>
        <w:t>2024年度政府性基金预算财政拨款收入总计50.00万元，</w:t>
      </w:r>
      <w:r>
        <w:rPr>
          <w:rFonts w:ascii="仿宋_GB2312" w:hAnsi="仿宋_GB2312" w:eastAsia="仿宋_GB2312"/>
          <w:b w:val="0"/>
          <w:sz w:val="32"/>
        </w:rPr>
        <w:t>其中：年初结转和结余0.00万元，本年收入50.00万元。</w:t>
      </w:r>
      <w:r>
        <w:rPr>
          <w:rFonts w:ascii="仿宋_GB2312" w:hAnsi="仿宋_GB2312" w:eastAsia="仿宋_GB2312"/>
          <w:b/>
          <w:sz w:val="32"/>
        </w:rPr>
        <w:t>政府性基金预算财政拨款支出总计50.00万元，</w:t>
      </w:r>
      <w:r>
        <w:rPr>
          <w:rFonts w:ascii="仿宋_GB2312" w:hAnsi="仿宋_GB2312" w:eastAsia="仿宋_GB2312"/>
          <w:b w:val="0"/>
          <w:sz w:val="32"/>
        </w:rPr>
        <w:t>其中：年末结转和结余0.00万元，本年支出50.00万元。</w:t>
      </w:r>
    </w:p>
    <w:p w14:paraId="32E5BE2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增加50.00万元，增长100.00%，主要原因是：本年增加金准供热公司的取暖费项目。</w:t>
      </w:r>
      <w:r>
        <w:rPr>
          <w:rFonts w:ascii="仿宋_GB2312" w:hAnsi="仿宋_GB2312" w:eastAsia="仿宋_GB2312"/>
          <w:b/>
          <w:sz w:val="32"/>
        </w:rPr>
        <w:t>与年初预算相比，</w:t>
      </w:r>
      <w:r>
        <w:rPr>
          <w:rFonts w:ascii="仿宋_GB2312" w:hAnsi="仿宋_GB2312" w:eastAsia="仿宋_GB2312"/>
          <w:b w:val="0"/>
          <w:sz w:val="32"/>
        </w:rPr>
        <w:t>年初预算数0.00万元，决算数50.00万元，预决算差异率100.00%，主要原因是：年中追加金准供热公司的取暖费项目，导致预决算存在差异。</w:t>
      </w:r>
    </w:p>
    <w:p w14:paraId="19A03B4F">
      <w:pPr>
        <w:spacing w:line="580" w:lineRule="exact"/>
        <w:ind w:firstLine="640"/>
        <w:jc w:val="both"/>
      </w:pPr>
      <w:r>
        <w:rPr>
          <w:rFonts w:ascii="仿宋_GB2312" w:hAnsi="仿宋_GB2312" w:eastAsia="仿宋_GB2312"/>
          <w:b w:val="0"/>
          <w:sz w:val="32"/>
        </w:rPr>
        <w:t>政府性基金预算财政拨款支出50.00万元。</w:t>
      </w:r>
    </w:p>
    <w:p w14:paraId="4A3354DC">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50.00万元，比上年决算增加50.00万元，增长100.00%,主要原因是：本年增加金准供热公司的取暖费项目。</w:t>
      </w:r>
    </w:p>
    <w:p w14:paraId="47695C8A">
      <w:pPr>
        <w:spacing w:line="640" w:lineRule="exact"/>
        <w:ind w:firstLine="640"/>
        <w:jc w:val="both"/>
        <w:outlineLvl w:val="2"/>
      </w:pPr>
      <w:r>
        <w:rPr>
          <w:rFonts w:ascii="黑体" w:hAnsi="黑体" w:eastAsia="黑体"/>
          <w:sz w:val="32"/>
        </w:rPr>
        <w:t>八、国有资本经营预算财政拨款收入支出决算情况说明</w:t>
      </w:r>
    </w:p>
    <w:p w14:paraId="4DD999D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D380B3">
      <w:pPr>
        <w:spacing w:line="640" w:lineRule="exact"/>
        <w:ind w:firstLine="640"/>
        <w:jc w:val="both"/>
        <w:outlineLvl w:val="2"/>
      </w:pPr>
      <w:r>
        <w:rPr>
          <w:rFonts w:ascii="黑体" w:hAnsi="黑体" w:eastAsia="黑体"/>
          <w:sz w:val="32"/>
        </w:rPr>
        <w:t>九、财政拨款“三公”经费支出决算情况说明</w:t>
      </w:r>
    </w:p>
    <w:p w14:paraId="2F01A30E">
      <w:pPr>
        <w:spacing w:line="580" w:lineRule="exact"/>
        <w:ind w:firstLine="640"/>
        <w:jc w:val="both"/>
      </w:pPr>
      <w:r>
        <w:rPr>
          <w:rFonts w:ascii="仿宋_GB2312" w:hAnsi="仿宋_GB2312" w:eastAsia="仿宋_GB2312"/>
          <w:b/>
          <w:sz w:val="32"/>
        </w:rPr>
        <w:t>2024年度财政拨款“三公”经费支出0.22万元，</w:t>
      </w:r>
      <w:r>
        <w:rPr>
          <w:rFonts w:ascii="仿宋_GB2312" w:hAnsi="仿宋_GB2312" w:eastAsia="仿宋_GB2312"/>
          <w:b w:val="0"/>
          <w:sz w:val="32"/>
        </w:rPr>
        <w:t>比上年增加0.22万元，增长100.00%，主要原因是：本年支付以前年度公务用车油费。其中：因公出国（境）费支出0.00万元，占0.00%，比上年增加0.00万元，增长0.00%，主要原因是：2023年与2024年均未安排因公出国（境）费支出。公务用车购置及运行维护费支出0.22万元，占100.00%，比上年增加0.22万元，增长100.00%，主要原因是：本年支付以前年度公务用车油费。公务接待费支出0.00万元，占0.00%，比上年增加0.00万元，增长0.00%，主要原因是：2023年与2024年均未安排公务接待费支出。</w:t>
      </w:r>
    </w:p>
    <w:p w14:paraId="22ABC02F">
      <w:pPr>
        <w:spacing w:line="580" w:lineRule="exact"/>
        <w:ind w:firstLine="640"/>
        <w:jc w:val="both"/>
      </w:pPr>
      <w:r>
        <w:rPr>
          <w:rFonts w:ascii="仿宋_GB2312" w:hAnsi="仿宋_GB2312" w:eastAsia="仿宋_GB2312"/>
          <w:b/>
          <w:sz w:val="32"/>
        </w:rPr>
        <w:t>具体情况如下：</w:t>
      </w:r>
    </w:p>
    <w:p w14:paraId="2374088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3789D1">
      <w:pPr>
        <w:spacing w:line="580" w:lineRule="exact"/>
        <w:ind w:firstLine="640"/>
        <w:jc w:val="both"/>
      </w:pPr>
      <w:r>
        <w:rPr>
          <w:rFonts w:ascii="仿宋_GB2312" w:hAnsi="仿宋_GB2312" w:eastAsia="仿宋_GB2312"/>
          <w:b w:val="0"/>
          <w:sz w:val="32"/>
        </w:rPr>
        <w:t>公务用车购置及运行维护费0.22万元，其中：公务用车购置费0.00万元，公务用车运行维护费0.22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1BB872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E3DD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0.22万元，决算数0.22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0.22万元，决算数0.22万元，预决算差异率0.00%，主要原因是：严格按照预算执行，预决算无差异。公务接待费全年预算数0.00万元，决算数0.00万元，预决算差异率0.00%，主要原因是：本单位无公务接待费。</w:t>
      </w:r>
    </w:p>
    <w:p w14:paraId="7C887BA4">
      <w:pPr>
        <w:spacing w:line="640" w:lineRule="exact"/>
        <w:ind w:firstLine="640"/>
        <w:jc w:val="both"/>
        <w:outlineLvl w:val="2"/>
      </w:pPr>
      <w:r>
        <w:rPr>
          <w:rFonts w:ascii="黑体" w:hAnsi="黑体" w:eastAsia="黑体"/>
          <w:sz w:val="32"/>
        </w:rPr>
        <w:t>十、其他重要事项的情况说明</w:t>
      </w:r>
    </w:p>
    <w:p w14:paraId="44D876F4">
      <w:pPr>
        <w:spacing w:line="640" w:lineRule="exact"/>
        <w:ind w:firstLine="640"/>
        <w:jc w:val="both"/>
        <w:outlineLvl w:val="3"/>
      </w:pPr>
      <w:bookmarkStart w:id="0" w:name="_GoBack"/>
      <w:bookmarkEnd w:id="0"/>
      <w:r>
        <w:rPr>
          <w:rFonts w:ascii="楷体_GB2312" w:hAnsi="楷体_GB2312" w:eastAsia="楷体_GB2312"/>
          <w:b/>
          <w:sz w:val="32"/>
        </w:rPr>
        <w:t>（一）机关运行经费及公用经费支出情况</w:t>
      </w:r>
    </w:p>
    <w:p w14:paraId="1175E19B">
      <w:pPr>
        <w:spacing w:line="580" w:lineRule="exact"/>
        <w:ind w:firstLine="640"/>
        <w:jc w:val="both"/>
      </w:pPr>
      <w:r>
        <w:rPr>
          <w:rFonts w:ascii="仿宋_GB2312" w:hAnsi="仿宋_GB2312" w:eastAsia="仿宋_GB2312"/>
          <w:b w:val="0"/>
          <w:sz w:val="32"/>
        </w:rPr>
        <w:t>2024年度托里县准噶尔非公有制经济服务中心（行政单位和参照公务员法管理事业单位）机关运行经费支出10.12万元，比上年增加1.40万元，增长16.06%，主要原因是：本年增加管网修缮及办公楼维修经费，导致机关运行经费增加。</w:t>
      </w:r>
    </w:p>
    <w:p w14:paraId="09D7B1ED">
      <w:pPr>
        <w:spacing w:line="640" w:lineRule="exact"/>
        <w:ind w:firstLine="640"/>
        <w:jc w:val="both"/>
        <w:outlineLvl w:val="3"/>
      </w:pPr>
      <w:r>
        <w:rPr>
          <w:rFonts w:ascii="楷体_GB2312" w:hAnsi="楷体_GB2312" w:eastAsia="楷体_GB2312"/>
          <w:b/>
          <w:sz w:val="32"/>
        </w:rPr>
        <w:t>（二）政府采购情况</w:t>
      </w:r>
    </w:p>
    <w:p w14:paraId="06CCCC6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9B629A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C99F0BE">
      <w:pPr>
        <w:spacing w:line="640" w:lineRule="exact"/>
        <w:ind w:firstLine="640"/>
        <w:jc w:val="both"/>
        <w:outlineLvl w:val="3"/>
      </w:pPr>
      <w:r>
        <w:rPr>
          <w:rFonts w:ascii="楷体_GB2312" w:hAnsi="楷体_GB2312" w:eastAsia="楷体_GB2312"/>
          <w:b/>
          <w:sz w:val="32"/>
        </w:rPr>
        <w:t>（三）国有资产占用情况说明</w:t>
      </w:r>
    </w:p>
    <w:p w14:paraId="56587465">
      <w:pPr>
        <w:spacing w:line="580" w:lineRule="exact"/>
        <w:ind w:firstLine="640"/>
        <w:jc w:val="both"/>
      </w:pPr>
      <w:r>
        <w:rPr>
          <w:rFonts w:ascii="仿宋_GB2312" w:hAnsi="仿宋_GB2312" w:eastAsia="仿宋_GB2312"/>
          <w:b w:val="0"/>
          <w:sz w:val="32"/>
        </w:rPr>
        <w:t>截至2024年12月31日，房屋854.00平方米，价值178.39万元。车辆3辆，价值35.56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7D8F115">
      <w:pPr>
        <w:spacing w:line="640" w:lineRule="exact"/>
        <w:ind w:firstLine="640"/>
        <w:jc w:val="both"/>
        <w:outlineLvl w:val="2"/>
      </w:pPr>
      <w:r>
        <w:rPr>
          <w:rFonts w:ascii="黑体" w:hAnsi="黑体" w:eastAsia="黑体"/>
          <w:sz w:val="32"/>
        </w:rPr>
        <w:t>十一、预算绩效的情况说明</w:t>
      </w:r>
    </w:p>
    <w:p w14:paraId="1F68D4C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291.67万元，实际执行总额291.63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3105AD3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370"/>
        <w:gridCol w:w="840"/>
        <w:gridCol w:w="1105"/>
        <w:gridCol w:w="1105"/>
      </w:tblGrid>
      <w:tr w14:paraId="016B1E92">
        <w:tblPrEx>
          <w:tblCellMar>
            <w:top w:w="0" w:type="dxa"/>
            <w:left w:w="108" w:type="dxa"/>
            <w:bottom w:w="0" w:type="dxa"/>
            <w:right w:w="108" w:type="dxa"/>
          </w:tblCellMar>
        </w:tblPrEx>
        <w:tc>
          <w:tcPr>
            <w:tcW w:w="8840" w:type="dxa"/>
            <w:gridSpan w:val="8"/>
            <w:vAlign w:val="center"/>
          </w:tcPr>
          <w:p w14:paraId="7064F609">
            <w:pPr>
              <w:jc w:val="center"/>
            </w:pPr>
            <w:r>
              <w:rPr>
                <w:rFonts w:ascii="宋体" w:hAnsi="宋体" w:eastAsia="宋体"/>
                <w:sz w:val="24"/>
              </w:rPr>
              <w:t>单位整体支出绩效自评表</w:t>
            </w:r>
          </w:p>
        </w:tc>
      </w:tr>
      <w:tr w14:paraId="398EBCDE">
        <w:tblPrEx>
          <w:tblCellMar>
            <w:top w:w="0" w:type="dxa"/>
            <w:left w:w="108" w:type="dxa"/>
            <w:bottom w:w="0" w:type="dxa"/>
            <w:right w:w="108" w:type="dxa"/>
          </w:tblCellMar>
        </w:tblPrEx>
        <w:tc>
          <w:tcPr>
            <w:tcW w:w="8840" w:type="dxa"/>
            <w:gridSpan w:val="8"/>
            <w:vAlign w:val="center"/>
          </w:tcPr>
          <w:p w14:paraId="7715D6C4">
            <w:pPr>
              <w:jc w:val="center"/>
            </w:pPr>
            <w:r>
              <w:rPr>
                <w:rFonts w:ascii="宋体" w:hAnsi="宋体" w:eastAsia="宋体"/>
                <w:sz w:val="24"/>
              </w:rPr>
              <w:t>（2024年度）</w:t>
            </w:r>
          </w:p>
        </w:tc>
      </w:tr>
      <w:tr w14:paraId="5F2867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DA9A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159E1">
            <w:pPr>
              <w:jc w:val="center"/>
            </w:pPr>
            <w:r>
              <w:rPr>
                <w:rFonts w:ascii="宋体" w:hAnsi="宋体" w:eastAsia="宋体"/>
                <w:sz w:val="16"/>
              </w:rPr>
              <w:t>托里县准噶尔非公有制经济服务中心</w:t>
            </w:r>
          </w:p>
        </w:tc>
      </w:tr>
      <w:tr w14:paraId="5C1040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B9F4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FC9C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0CB3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F1B1C">
            <w:pPr>
              <w:jc w:val="center"/>
            </w:pPr>
            <w:r>
              <w:rPr>
                <w:rFonts w:ascii="宋体" w:hAnsi="宋体" w:eastAsia="宋体"/>
                <w:sz w:val="16"/>
              </w:rPr>
              <w:t>预算数</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54C6E91C">
            <w:pPr>
              <w:jc w:val="center"/>
            </w:pPr>
            <w:r>
              <w:rPr>
                <w:rFonts w:ascii="宋体" w:hAnsi="宋体" w:eastAsia="宋体"/>
                <w:sz w:val="16"/>
              </w:rPr>
              <w:t>执行数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EBC67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1A01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E65A7">
            <w:pPr>
              <w:jc w:val="center"/>
            </w:pPr>
            <w:r>
              <w:rPr>
                <w:rFonts w:ascii="宋体" w:hAnsi="宋体" w:eastAsia="宋体"/>
                <w:sz w:val="16"/>
              </w:rPr>
              <w:t>得分</w:t>
            </w:r>
          </w:p>
        </w:tc>
      </w:tr>
      <w:tr w14:paraId="18EB04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080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A52A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249BA">
            <w:pPr>
              <w:jc w:val="center"/>
            </w:pPr>
            <w:r>
              <w:rPr>
                <w:rFonts w:ascii="宋体" w:hAnsi="宋体" w:eastAsia="宋体"/>
                <w:sz w:val="16"/>
              </w:rPr>
              <w:t>191.93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D9F28">
            <w:pPr>
              <w:jc w:val="center"/>
            </w:pPr>
            <w:r>
              <w:rPr>
                <w:rFonts w:ascii="宋体" w:hAnsi="宋体" w:eastAsia="宋体"/>
                <w:sz w:val="16"/>
              </w:rPr>
              <w:t>291.67</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7826BEC5">
            <w:pPr>
              <w:jc w:val="center"/>
            </w:pPr>
            <w:r>
              <w:rPr>
                <w:rFonts w:ascii="宋体" w:hAnsi="宋体" w:eastAsia="宋体"/>
                <w:sz w:val="16"/>
              </w:rPr>
              <w:t>291.63</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60D03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6E30E">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C83B7">
            <w:pPr>
              <w:jc w:val="center"/>
            </w:pPr>
            <w:r>
              <w:rPr>
                <w:rFonts w:ascii="宋体" w:hAnsi="宋体" w:eastAsia="宋体"/>
                <w:sz w:val="16"/>
              </w:rPr>
              <w:t>9.9</w:t>
            </w:r>
          </w:p>
        </w:tc>
      </w:tr>
      <w:tr w14:paraId="365FCC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9F8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5E3C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049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D30D3">
            <w:pPr>
              <w:jc w:val="center"/>
            </w:pPr>
            <w:r>
              <w:rPr>
                <w:rFonts w:ascii="宋体" w:hAnsi="宋体" w:eastAsia="宋体"/>
                <w:sz w:val="16"/>
              </w:rPr>
              <w:t>0.00</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7DCACF3A">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57BF8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788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75BF5">
            <w:pPr>
              <w:jc w:val="center"/>
            </w:pPr>
            <w:r>
              <w:rPr>
                <w:rFonts w:ascii="宋体" w:hAnsi="宋体" w:eastAsia="宋体"/>
                <w:sz w:val="16"/>
              </w:rPr>
              <w:t>-</w:t>
            </w:r>
          </w:p>
        </w:tc>
      </w:tr>
      <w:tr w14:paraId="728041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1F6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0CB7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558E7">
            <w:pPr>
              <w:jc w:val="center"/>
            </w:pPr>
            <w:r>
              <w:rPr>
                <w:rFonts w:ascii="宋体" w:hAnsi="宋体" w:eastAsia="宋体"/>
                <w:sz w:val="16"/>
              </w:rPr>
              <w:t>181.92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7F8DB">
            <w:pPr>
              <w:jc w:val="center"/>
            </w:pPr>
            <w:r>
              <w:rPr>
                <w:rFonts w:ascii="宋体" w:hAnsi="宋体" w:eastAsia="宋体"/>
                <w:sz w:val="16"/>
              </w:rPr>
              <w:t>291.67</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6F69A4C7">
            <w:pPr>
              <w:jc w:val="center"/>
            </w:pPr>
            <w:r>
              <w:rPr>
                <w:rFonts w:ascii="宋体" w:hAnsi="宋体" w:eastAsia="宋体"/>
                <w:sz w:val="16"/>
              </w:rPr>
              <w:t>291.63</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AFC9A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0B9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FBF2B">
            <w:pPr>
              <w:jc w:val="center"/>
            </w:pPr>
            <w:r>
              <w:rPr>
                <w:rFonts w:ascii="宋体" w:hAnsi="宋体" w:eastAsia="宋体"/>
                <w:sz w:val="16"/>
              </w:rPr>
              <w:t>-</w:t>
            </w:r>
          </w:p>
        </w:tc>
      </w:tr>
      <w:tr w14:paraId="598A5F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531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DA9F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CA8B6">
            <w:pPr>
              <w:jc w:val="center"/>
            </w:pPr>
            <w:r>
              <w:rPr>
                <w:rFonts w:ascii="宋体" w:hAnsi="宋体" w:eastAsia="宋体"/>
                <w:sz w:val="16"/>
              </w:rPr>
              <w:t>10.01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A63B5">
            <w:pPr>
              <w:jc w:val="center"/>
            </w:pPr>
            <w:r>
              <w:rPr>
                <w:rFonts w:ascii="宋体" w:hAnsi="宋体" w:eastAsia="宋体"/>
                <w:sz w:val="16"/>
              </w:rPr>
              <w:t>0.00</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430398D4">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44DFB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6F4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E09A7">
            <w:pPr>
              <w:jc w:val="center"/>
            </w:pPr>
            <w:r>
              <w:rPr>
                <w:rFonts w:ascii="宋体" w:hAnsi="宋体" w:eastAsia="宋体"/>
                <w:sz w:val="16"/>
              </w:rPr>
              <w:t>-</w:t>
            </w:r>
          </w:p>
        </w:tc>
      </w:tr>
      <w:tr w14:paraId="1AAAD6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713A0">
            <w:pPr>
              <w:jc w:val="center"/>
            </w:pPr>
            <w:r>
              <w:rPr>
                <w:rFonts w:ascii="宋体" w:hAnsi="宋体" w:eastAsia="宋体"/>
                <w:sz w:val="16"/>
              </w:rPr>
              <w:t>年度总目标</w:t>
            </w:r>
          </w:p>
        </w:tc>
        <w:tc>
          <w:tcPr>
            <w:tcW w:w="46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3A5C4F">
            <w:pPr>
              <w:jc w:val="center"/>
            </w:pPr>
            <w:r>
              <w:rPr>
                <w:rFonts w:ascii="宋体" w:hAnsi="宋体" w:eastAsia="宋体"/>
                <w:sz w:val="16"/>
              </w:rPr>
              <w:t>预期目标</w:t>
            </w:r>
          </w:p>
        </w:tc>
        <w:tc>
          <w:tcPr>
            <w:tcW w:w="30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FF3816">
            <w:pPr>
              <w:jc w:val="center"/>
            </w:pPr>
            <w:r>
              <w:rPr>
                <w:rFonts w:ascii="宋体" w:hAnsi="宋体" w:eastAsia="宋体"/>
                <w:sz w:val="16"/>
              </w:rPr>
              <w:t>实际完成情况</w:t>
            </w:r>
          </w:p>
        </w:tc>
      </w:tr>
      <w:tr w14:paraId="6A5800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72DD22"/>
        </w:tc>
        <w:tc>
          <w:tcPr>
            <w:tcW w:w="46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FD25F8">
            <w:pPr>
              <w:jc w:val="both"/>
            </w:pPr>
            <w:r>
              <w:rPr>
                <w:rFonts w:ascii="宋体" w:hAnsi="宋体" w:eastAsia="宋体"/>
                <w:sz w:val="16"/>
              </w:rPr>
              <w:t>1.坚持稳定、发展、民生三位一体,紧贴民生推动发展,持续推进以就业、教育、医疗、社保等为重点的惠民工程,让稳定改革发展成果更多、更公平惠及各族群众；</w:t>
            </w:r>
            <w:r>
              <w:rPr>
                <w:rFonts w:ascii="宋体" w:hAnsi="宋体" w:eastAsia="宋体"/>
                <w:sz w:val="16"/>
              </w:rPr>
              <w:br w:type="textWrapping"/>
            </w:r>
            <w:r>
              <w:rPr>
                <w:rFonts w:ascii="宋体" w:hAnsi="宋体" w:eastAsia="宋体"/>
                <w:sz w:val="16"/>
              </w:rPr>
              <w:t>2.组织党员培训5场次，提高党员干部自身素养，参与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w:t>
            </w:r>
            <w:r>
              <w:rPr>
                <w:rFonts w:ascii="宋体" w:hAnsi="宋体" w:eastAsia="宋体"/>
                <w:sz w:val="16"/>
              </w:rPr>
              <w:br w:type="textWrapping"/>
            </w:r>
            <w:r>
              <w:rPr>
                <w:rFonts w:ascii="宋体" w:hAnsi="宋体" w:eastAsia="宋体"/>
                <w:sz w:val="16"/>
              </w:rPr>
              <w:t>3.解决困难群众诉求50次，提高群众认同感，组织应急演练，提升居民安全意识；</w:t>
            </w:r>
            <w:r>
              <w:rPr>
                <w:rFonts w:ascii="宋体" w:hAnsi="宋体" w:eastAsia="宋体"/>
                <w:sz w:val="16"/>
              </w:rPr>
              <w:br w:type="textWrapping"/>
            </w:r>
            <w:r>
              <w:rPr>
                <w:rFonts w:ascii="宋体" w:hAnsi="宋体" w:eastAsia="宋体"/>
                <w:sz w:val="16"/>
              </w:rPr>
              <w:t>4.开展人居环境整治工作10次，提升总体卫生水平，组织</w:t>
            </w:r>
            <w:r>
              <w:rPr>
                <w:rFonts w:hint="eastAsia" w:ascii="宋体" w:hAnsi="宋体"/>
                <w:sz w:val="16"/>
                <w:lang w:eastAsia="zh-CN"/>
              </w:rPr>
              <w:t>排查</w:t>
            </w:r>
            <w:r>
              <w:rPr>
                <w:rFonts w:ascii="宋体" w:hAnsi="宋体" w:eastAsia="宋体"/>
                <w:sz w:val="16"/>
              </w:rPr>
              <w:t>居民楼安全隐患3轮，降低火灾发生概率。</w:t>
            </w:r>
          </w:p>
        </w:tc>
        <w:tc>
          <w:tcPr>
            <w:tcW w:w="30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DB596">
            <w:pPr>
              <w:jc w:val="both"/>
            </w:pPr>
            <w:r>
              <w:rPr>
                <w:rFonts w:ascii="宋体" w:hAnsi="宋体" w:eastAsia="宋体"/>
                <w:sz w:val="16"/>
              </w:rPr>
              <w:t>组织党员培训5场次，提高党员干部自身素养，参与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、爱祖国、感党恩思想教育宣传；解决困难群众诉求50次，提高群众认同感，组织应急演练，提升居民安全意识；开展人居环境整治工作10次，提升总体卫生水平，组织</w:t>
            </w:r>
            <w:r>
              <w:rPr>
                <w:rFonts w:hint="eastAsia" w:ascii="宋体" w:hAnsi="宋体"/>
                <w:sz w:val="16"/>
                <w:lang w:eastAsia="zh-CN"/>
              </w:rPr>
              <w:t>排查</w:t>
            </w:r>
            <w:r>
              <w:rPr>
                <w:rFonts w:ascii="宋体" w:hAnsi="宋体" w:eastAsia="宋体"/>
                <w:sz w:val="16"/>
              </w:rPr>
              <w:t>居民楼安全隐患3轮，降低火灾发生概率。</w:t>
            </w:r>
          </w:p>
        </w:tc>
      </w:tr>
      <w:tr w14:paraId="2F4B8D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25B3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1468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38EF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03D78">
            <w:pPr>
              <w:jc w:val="center"/>
            </w:pPr>
            <w:r>
              <w:rPr>
                <w:rFonts w:ascii="宋体" w:hAnsi="宋体" w:eastAsia="宋体"/>
                <w:sz w:val="16"/>
              </w:rPr>
              <w:t>指标值</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077227C3">
            <w:pPr>
              <w:jc w:val="center"/>
            </w:pPr>
            <w:r>
              <w:rPr>
                <w:rFonts w:ascii="宋体" w:hAnsi="宋体" w:eastAsia="宋体"/>
                <w:sz w:val="16"/>
              </w:rPr>
              <w:t>指标设定依据</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7374D4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D4F1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DA091">
            <w:pPr>
              <w:jc w:val="center"/>
            </w:pPr>
            <w:r>
              <w:rPr>
                <w:rFonts w:ascii="宋体" w:hAnsi="宋体" w:eastAsia="宋体"/>
                <w:sz w:val="16"/>
              </w:rPr>
              <w:t>得分</w:t>
            </w:r>
          </w:p>
        </w:tc>
      </w:tr>
      <w:tr w14:paraId="25B809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1621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B027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CEEF5">
            <w:pPr>
              <w:jc w:val="center"/>
            </w:pPr>
            <w:r>
              <w:rPr>
                <w:rFonts w:ascii="宋体" w:hAnsi="宋体" w:eastAsia="宋体"/>
                <w:sz w:val="16"/>
              </w:rPr>
              <w:t>组织党员培训会议场次数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A5F2D">
            <w:pPr>
              <w:jc w:val="center"/>
            </w:pPr>
            <w:r>
              <w:rPr>
                <w:rFonts w:ascii="宋体" w:hAnsi="宋体" w:eastAsia="宋体"/>
                <w:sz w:val="16"/>
              </w:rPr>
              <w:t>&gt;=5场次</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6C327EEA">
            <w:pPr>
              <w:jc w:val="center"/>
            </w:pPr>
            <w:r>
              <w:rPr>
                <w:rFonts w:ascii="宋体" w:hAnsi="宋体" w:eastAsia="宋体"/>
                <w:sz w:val="16"/>
              </w:rPr>
              <w:t>2023年工作总结及2024年工作计划</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6E0E84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C0B98">
            <w:pPr>
              <w:jc w:val="center"/>
            </w:pPr>
            <w:r>
              <w:rPr>
                <w:rFonts w:ascii="宋体" w:hAnsi="宋体" w:eastAsia="宋体"/>
                <w:sz w:val="16"/>
              </w:rPr>
              <w:t>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7A514">
            <w:pPr>
              <w:jc w:val="center"/>
            </w:pPr>
            <w:r>
              <w:rPr>
                <w:rFonts w:ascii="宋体" w:hAnsi="宋体" w:eastAsia="宋体"/>
                <w:sz w:val="16"/>
              </w:rPr>
              <w:t>20</w:t>
            </w:r>
          </w:p>
        </w:tc>
      </w:tr>
      <w:tr w14:paraId="1EAC4B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0A7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6774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830D8">
            <w:pPr>
              <w:jc w:val="center"/>
            </w:pPr>
            <w:r>
              <w:rPr>
                <w:rFonts w:ascii="宋体" w:hAnsi="宋体" w:eastAsia="宋体"/>
                <w:sz w:val="16"/>
              </w:rPr>
              <w:t>组织排查安全隐患轮数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AF62D">
            <w:pPr>
              <w:jc w:val="center"/>
            </w:pPr>
            <w:r>
              <w:rPr>
                <w:rFonts w:ascii="宋体" w:hAnsi="宋体" w:eastAsia="宋体"/>
                <w:sz w:val="16"/>
              </w:rPr>
              <w:t>&gt;=3轮</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5DD39F8A">
            <w:pPr>
              <w:jc w:val="center"/>
            </w:pPr>
            <w:r>
              <w:rPr>
                <w:rFonts w:ascii="宋体" w:hAnsi="宋体" w:eastAsia="宋体"/>
                <w:sz w:val="16"/>
              </w:rPr>
              <w:t>2023年工作总结及2024年工作计划</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F5FE7F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A40F0">
            <w:pPr>
              <w:jc w:val="center"/>
            </w:pPr>
            <w:r>
              <w:rPr>
                <w:rFonts w:ascii="宋体" w:hAnsi="宋体" w:eastAsia="宋体"/>
                <w:sz w:val="16"/>
              </w:rPr>
              <w: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18C2A">
            <w:pPr>
              <w:jc w:val="center"/>
            </w:pPr>
            <w:r>
              <w:rPr>
                <w:rFonts w:ascii="宋体" w:hAnsi="宋体" w:eastAsia="宋体"/>
                <w:sz w:val="16"/>
              </w:rPr>
              <w:t>20</w:t>
            </w:r>
          </w:p>
        </w:tc>
      </w:tr>
      <w:tr w14:paraId="38896B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1DE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17A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42035">
            <w:pPr>
              <w:jc w:val="center"/>
            </w:pPr>
            <w:r>
              <w:rPr>
                <w:rFonts w:ascii="宋体" w:hAnsi="宋体" w:eastAsia="宋体"/>
                <w:sz w:val="16"/>
              </w:rPr>
              <w:t>收集解决居民矛盾纠纷次数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9E12B">
            <w:pPr>
              <w:jc w:val="center"/>
            </w:pPr>
            <w:r>
              <w:rPr>
                <w:rFonts w:ascii="宋体" w:hAnsi="宋体" w:eastAsia="宋体"/>
                <w:sz w:val="16"/>
              </w:rPr>
              <w:t>&gt;=50次</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30CABECB">
            <w:pPr>
              <w:jc w:val="center"/>
            </w:pPr>
            <w:r>
              <w:rPr>
                <w:rFonts w:ascii="宋体" w:hAnsi="宋体" w:eastAsia="宋体"/>
                <w:sz w:val="16"/>
              </w:rPr>
              <w:t>2023年工作总结及2024年工作计划</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689907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941E8">
            <w:pPr>
              <w:jc w:val="center"/>
            </w:pPr>
            <w:r>
              <w:rPr>
                <w:rFonts w:ascii="宋体" w:hAnsi="宋体" w:eastAsia="宋体"/>
                <w:sz w:val="16"/>
              </w:rPr>
              <w:t>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6637B">
            <w:pPr>
              <w:jc w:val="center"/>
            </w:pPr>
            <w:r>
              <w:rPr>
                <w:rFonts w:ascii="宋体" w:hAnsi="宋体" w:eastAsia="宋体"/>
                <w:sz w:val="16"/>
              </w:rPr>
              <w:t>20</w:t>
            </w:r>
          </w:p>
        </w:tc>
      </w:tr>
      <w:tr w14:paraId="5657CC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6978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4A32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C7B0E">
            <w:pPr>
              <w:jc w:val="center"/>
            </w:pPr>
            <w:r>
              <w:rPr>
                <w:rFonts w:ascii="宋体" w:hAnsi="宋体" w:eastAsia="宋体"/>
                <w:sz w:val="16"/>
              </w:rPr>
              <w:t>开展各类消防安全演练次数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1A56B">
            <w:pPr>
              <w:jc w:val="center"/>
            </w:pPr>
            <w:r>
              <w:rPr>
                <w:rFonts w:ascii="宋体" w:hAnsi="宋体" w:eastAsia="宋体"/>
                <w:sz w:val="16"/>
              </w:rPr>
              <w:t>&gt;=5场次</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1C5CFC6B">
            <w:pPr>
              <w:jc w:val="center"/>
            </w:pPr>
            <w:r>
              <w:rPr>
                <w:rFonts w:ascii="宋体" w:hAnsi="宋体" w:eastAsia="宋体"/>
                <w:sz w:val="16"/>
              </w:rPr>
              <w:t>2023年工作总结及2024年工作计划</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83C98D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D37BB">
            <w:pPr>
              <w:jc w:val="center"/>
            </w:pPr>
            <w:r>
              <w:rPr>
                <w:rFonts w:ascii="宋体" w:hAnsi="宋体" w:eastAsia="宋体"/>
                <w:sz w:val="16"/>
              </w:rPr>
              <w:t>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A0373">
            <w:pPr>
              <w:jc w:val="center"/>
            </w:pPr>
            <w:r>
              <w:rPr>
                <w:rFonts w:ascii="宋体" w:hAnsi="宋体" w:eastAsia="宋体"/>
                <w:sz w:val="16"/>
              </w:rPr>
              <w:t>15</w:t>
            </w:r>
          </w:p>
        </w:tc>
      </w:tr>
      <w:tr w14:paraId="05D312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3D47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A01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6025A">
            <w:pPr>
              <w:jc w:val="center"/>
            </w:pPr>
            <w:r>
              <w:rPr>
                <w:rFonts w:ascii="宋体" w:hAnsi="宋体" w:eastAsia="宋体"/>
                <w:sz w:val="16"/>
              </w:rPr>
              <w:t>开展人居环境整治工作次数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44381">
            <w:pPr>
              <w:jc w:val="center"/>
            </w:pPr>
            <w:r>
              <w:rPr>
                <w:rFonts w:ascii="宋体" w:hAnsi="宋体" w:eastAsia="宋体"/>
                <w:sz w:val="16"/>
              </w:rPr>
              <w:t>&gt;=10次</w:t>
            </w:r>
          </w:p>
        </w:tc>
        <w:tc>
          <w:tcPr>
            <w:tcW w:w="1370" w:type="dxa"/>
            <w:tcBorders>
              <w:top w:val="single" w:color="auto" w:sz="10" w:space="0"/>
              <w:left w:val="single" w:color="auto" w:sz="10" w:space="0"/>
              <w:bottom w:val="single" w:color="auto" w:sz="10" w:space="0"/>
              <w:right w:val="single" w:color="auto" w:sz="10" w:space="0"/>
              <w:insideV w:val="single" w:sz="10" w:space="0"/>
            </w:tcBorders>
            <w:vAlign w:val="center"/>
          </w:tcPr>
          <w:p w14:paraId="754ED334">
            <w:pPr>
              <w:jc w:val="center"/>
            </w:pPr>
            <w:r>
              <w:rPr>
                <w:rFonts w:ascii="宋体" w:hAnsi="宋体" w:eastAsia="宋体"/>
                <w:sz w:val="16"/>
              </w:rPr>
              <w:t>2023年工作总结及2024年工作计划</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E75AA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A5D09">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E7880">
            <w:pPr>
              <w:jc w:val="center"/>
            </w:pPr>
            <w:r>
              <w:rPr>
                <w:rFonts w:ascii="宋体" w:hAnsi="宋体" w:eastAsia="宋体"/>
                <w:sz w:val="16"/>
              </w:rPr>
              <w:t>15</w:t>
            </w:r>
          </w:p>
        </w:tc>
      </w:tr>
    </w:tbl>
    <w:p w14:paraId="4FF7C357">
      <w:r>
        <w:br w:type="page"/>
      </w:r>
    </w:p>
    <w:p w14:paraId="4A947FAE">
      <w:pPr>
        <w:spacing w:line="640" w:lineRule="exact"/>
        <w:ind w:firstLine="640"/>
        <w:jc w:val="both"/>
        <w:outlineLvl w:val="2"/>
      </w:pPr>
      <w:r>
        <w:rPr>
          <w:rFonts w:ascii="黑体" w:hAnsi="黑体" w:eastAsia="黑体"/>
          <w:sz w:val="32"/>
        </w:rPr>
        <w:t>十二、其他需说明的事项</w:t>
      </w:r>
    </w:p>
    <w:p w14:paraId="3CC81D84">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1DC7031">
      <w:r>
        <w:br w:type="page"/>
      </w:r>
    </w:p>
    <w:p w14:paraId="380A03D3">
      <w:pPr>
        <w:spacing w:line="240" w:lineRule="auto"/>
        <w:jc w:val="center"/>
        <w:outlineLvl w:val="1"/>
      </w:pPr>
      <w:r>
        <w:rPr>
          <w:rFonts w:ascii="黑体" w:hAnsi="黑体" w:eastAsia="黑体"/>
          <w:sz w:val="32"/>
        </w:rPr>
        <w:t>第三部分 专业名词解释</w:t>
      </w:r>
    </w:p>
    <w:p w14:paraId="6A70B29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CBA42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798EC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112E3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2BF26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CE3EC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CB796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C577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2FACE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6FC2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E026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A87A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BD8E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3BE27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2F00F0">
      <w:r>
        <w:br w:type="page"/>
      </w:r>
    </w:p>
    <w:p w14:paraId="2A30AB0F">
      <w:pPr>
        <w:spacing w:line="240" w:lineRule="auto"/>
        <w:jc w:val="center"/>
        <w:outlineLvl w:val="1"/>
      </w:pPr>
      <w:r>
        <w:rPr>
          <w:rFonts w:ascii="黑体" w:hAnsi="黑体" w:eastAsia="黑体"/>
          <w:sz w:val="32"/>
        </w:rPr>
        <w:t>第四部分 部门决算报表（见附表）</w:t>
      </w:r>
    </w:p>
    <w:p w14:paraId="00DC80DA">
      <w:pPr>
        <w:spacing w:line="240" w:lineRule="auto"/>
        <w:ind w:firstLine="640"/>
        <w:jc w:val="both"/>
      </w:pPr>
      <w:r>
        <w:rPr>
          <w:rFonts w:ascii="仿宋_GB2312" w:hAnsi="仿宋_GB2312" w:eastAsia="仿宋_GB2312"/>
          <w:b w:val="0"/>
          <w:sz w:val="32"/>
        </w:rPr>
        <w:t>一、《收入支出决算总表》</w:t>
      </w:r>
    </w:p>
    <w:p w14:paraId="7376EEAC">
      <w:pPr>
        <w:spacing w:line="240" w:lineRule="auto"/>
        <w:ind w:firstLine="640"/>
        <w:jc w:val="both"/>
      </w:pPr>
      <w:r>
        <w:rPr>
          <w:rFonts w:ascii="仿宋_GB2312" w:hAnsi="仿宋_GB2312" w:eastAsia="仿宋_GB2312"/>
          <w:b w:val="0"/>
          <w:sz w:val="32"/>
        </w:rPr>
        <w:t>二、《收入决算表》</w:t>
      </w:r>
    </w:p>
    <w:p w14:paraId="3AF026AE">
      <w:pPr>
        <w:spacing w:line="240" w:lineRule="auto"/>
        <w:ind w:firstLine="640"/>
        <w:jc w:val="both"/>
      </w:pPr>
      <w:r>
        <w:rPr>
          <w:rFonts w:ascii="仿宋_GB2312" w:hAnsi="仿宋_GB2312" w:eastAsia="仿宋_GB2312"/>
          <w:b w:val="0"/>
          <w:sz w:val="32"/>
        </w:rPr>
        <w:t>三、《支出决算表》</w:t>
      </w:r>
    </w:p>
    <w:p w14:paraId="316E892F">
      <w:pPr>
        <w:spacing w:line="240" w:lineRule="auto"/>
        <w:ind w:firstLine="640"/>
        <w:jc w:val="both"/>
      </w:pPr>
      <w:r>
        <w:rPr>
          <w:rFonts w:ascii="仿宋_GB2312" w:hAnsi="仿宋_GB2312" w:eastAsia="仿宋_GB2312"/>
          <w:b w:val="0"/>
          <w:sz w:val="32"/>
        </w:rPr>
        <w:t>四、《财政拨款收入支出决算总表》</w:t>
      </w:r>
    </w:p>
    <w:p w14:paraId="1F259B3E">
      <w:pPr>
        <w:spacing w:line="240" w:lineRule="auto"/>
        <w:ind w:firstLine="640"/>
        <w:jc w:val="both"/>
      </w:pPr>
      <w:r>
        <w:rPr>
          <w:rFonts w:ascii="仿宋_GB2312" w:hAnsi="仿宋_GB2312" w:eastAsia="仿宋_GB2312"/>
          <w:b w:val="0"/>
          <w:sz w:val="32"/>
        </w:rPr>
        <w:t>五、《一般公共预算财政拨款支出决算表》</w:t>
      </w:r>
    </w:p>
    <w:p w14:paraId="47674E68">
      <w:pPr>
        <w:spacing w:line="240" w:lineRule="auto"/>
        <w:ind w:firstLine="640"/>
        <w:jc w:val="both"/>
      </w:pPr>
      <w:r>
        <w:rPr>
          <w:rFonts w:ascii="仿宋_GB2312" w:hAnsi="仿宋_GB2312" w:eastAsia="仿宋_GB2312"/>
          <w:b w:val="0"/>
          <w:sz w:val="32"/>
        </w:rPr>
        <w:t>六、《一般公共预算财政拨款基本支出决算表》</w:t>
      </w:r>
    </w:p>
    <w:p w14:paraId="26D86B84">
      <w:pPr>
        <w:spacing w:line="240" w:lineRule="auto"/>
        <w:ind w:firstLine="640"/>
        <w:jc w:val="both"/>
      </w:pPr>
      <w:r>
        <w:rPr>
          <w:rFonts w:ascii="仿宋_GB2312" w:hAnsi="仿宋_GB2312" w:eastAsia="仿宋_GB2312"/>
          <w:b w:val="0"/>
          <w:sz w:val="32"/>
        </w:rPr>
        <w:t>七、《政府性基金预算财政拨款收入支出决算表》</w:t>
      </w:r>
    </w:p>
    <w:p w14:paraId="09EFCB4E">
      <w:pPr>
        <w:spacing w:line="240" w:lineRule="auto"/>
        <w:ind w:firstLine="640"/>
        <w:jc w:val="both"/>
      </w:pPr>
      <w:r>
        <w:rPr>
          <w:rFonts w:ascii="仿宋_GB2312" w:hAnsi="仿宋_GB2312" w:eastAsia="仿宋_GB2312"/>
          <w:b w:val="0"/>
          <w:sz w:val="32"/>
        </w:rPr>
        <w:t>八、《国有资本经营预算财政拨款收入支出决算表》</w:t>
      </w:r>
    </w:p>
    <w:p w14:paraId="46FFFDC3">
      <w:pPr>
        <w:spacing w:line="240" w:lineRule="auto"/>
        <w:ind w:firstLine="640"/>
        <w:jc w:val="both"/>
      </w:pPr>
      <w:r>
        <w:rPr>
          <w:rFonts w:ascii="仿宋_GB2312" w:hAnsi="仿宋_GB2312" w:eastAsia="仿宋_GB2312"/>
          <w:b w:val="0"/>
          <w:sz w:val="32"/>
        </w:rPr>
        <w:t>九、《财政拨款“三公”经费支出决算表》</w:t>
      </w:r>
    </w:p>
    <w:p w14:paraId="5ADB9566">
      <w:pPr>
        <w:spacing w:line="240" w:lineRule="auto"/>
        <w:ind w:firstLine="640"/>
        <w:jc w:val="both"/>
      </w:pPr>
    </w:p>
    <w:p w14:paraId="4D1723AA">
      <w:pPr>
        <w:spacing w:line="240" w:lineRule="auto"/>
        <w:ind w:firstLine="640"/>
        <w:jc w:val="both"/>
      </w:pPr>
    </w:p>
    <w:p w14:paraId="7B7AB764">
      <w:pPr>
        <w:spacing w:line="240" w:lineRule="auto"/>
        <w:ind w:firstLine="640"/>
        <w:jc w:val="both"/>
      </w:pPr>
    </w:p>
    <w:p w14:paraId="5F1C12B1">
      <w:pPr>
        <w:spacing w:line="240" w:lineRule="auto"/>
        <w:ind w:firstLine="640"/>
        <w:jc w:val="both"/>
      </w:pPr>
    </w:p>
    <w:p w14:paraId="595B88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5D3D1D-0D62-4E66-A49C-72C2A668C3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9D39A3D-1B4B-4908-B6BF-6139A0010360}"/>
  </w:font>
  <w:font w:name="仿宋_GB2312">
    <w:altName w:val="仿宋"/>
    <w:panose1 w:val="02010609030101010101"/>
    <w:charset w:val="86"/>
    <w:family w:val="modern"/>
    <w:pitch w:val="default"/>
    <w:sig w:usb0="00000000" w:usb1="00000000" w:usb2="00000000" w:usb3="00000000" w:csb0="00040000" w:csb1="00000000"/>
    <w:embedRegular r:id="rId3" w:fontKey="{65CC0641-88BF-4F32-B39E-F4F8E6211B0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057A85A1-046E-47D3-BF38-CF970CC3A5D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0E478C"/>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5D0D3D"/>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0D41AA"/>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1086</Words>
  <Characters>1093</Characters>
  <Lines>0</Lines>
  <Paragraphs>0</Paragraphs>
  <TotalTime>9</TotalTime>
  <ScaleCrop>false</ScaleCrop>
  <LinksUpToDate>false</LinksUpToDate>
  <CharactersWithSpaces>1100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2025-11-03T02:05:52Z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