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托里县公安局2024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F23F193">
      <w:r>
        <w:br w:type="page"/>
      </w:r>
    </w:p>
    <w:p w14:paraId="40CEC245">
      <w:pPr>
        <w:spacing w:line="640" w:lineRule="exact"/>
        <w:jc w:val="center"/>
        <w:outlineLvl w:val="1"/>
      </w:pPr>
      <w:r>
        <w:rPr>
          <w:rFonts w:ascii="黑体" w:hAnsi="黑体" w:eastAsia="黑体"/>
          <w:sz w:val="32"/>
        </w:rPr>
        <w:t>第一部分 单位概况</w:t>
      </w:r>
    </w:p>
    <w:p w14:paraId="436D2083">
      <w:pPr>
        <w:spacing w:line="640" w:lineRule="exact"/>
        <w:ind w:firstLine="640"/>
        <w:jc w:val="both"/>
        <w:outlineLvl w:val="2"/>
      </w:pPr>
      <w:r>
        <w:rPr>
          <w:rFonts w:ascii="黑体" w:hAnsi="黑体" w:eastAsia="黑体"/>
          <w:sz w:val="32"/>
        </w:rPr>
        <w:t>一、主要职能</w:t>
      </w:r>
    </w:p>
    <w:p w14:paraId="58FB1C22">
      <w:pPr>
        <w:spacing w:line="580" w:lineRule="exact"/>
        <w:ind w:firstLine="640"/>
        <w:jc w:val="both"/>
      </w:pPr>
      <w:r>
        <w:rPr>
          <w:rFonts w:ascii="仿宋_GB2312" w:hAnsi="仿宋_GB2312" w:eastAsia="仿宋_GB2312"/>
          <w:sz w:val="32"/>
        </w:rPr>
        <w:t>1.预防、制止和侦查违法活动。</w:t>
      </w:r>
    </w:p>
    <w:p w14:paraId="1DBBA579">
      <w:pPr>
        <w:spacing w:line="580" w:lineRule="exact"/>
        <w:ind w:firstLine="640"/>
        <w:jc w:val="both"/>
      </w:pPr>
      <w:r>
        <w:rPr>
          <w:rFonts w:ascii="仿宋_GB2312" w:hAnsi="仿宋_GB2312" w:eastAsia="仿宋_GB2312"/>
          <w:sz w:val="32"/>
        </w:rPr>
        <w:t>2.防范、打击社恐活动，维护社会治安秩序，制止危害社会治安秩序的行为。</w:t>
      </w:r>
    </w:p>
    <w:p w14:paraId="612BD940">
      <w:pPr>
        <w:spacing w:line="580" w:lineRule="exact"/>
        <w:ind w:firstLine="640"/>
        <w:jc w:val="both"/>
      </w:pPr>
      <w:r>
        <w:rPr>
          <w:rFonts w:ascii="仿宋_GB2312" w:hAnsi="仿宋_GB2312" w:eastAsia="仿宋_GB2312"/>
          <w:sz w:val="32"/>
        </w:rPr>
        <w:t>3.管理交通、消防、危险物品和特种行业。</w:t>
      </w:r>
    </w:p>
    <w:p w14:paraId="5FCF60D5">
      <w:pPr>
        <w:spacing w:line="580" w:lineRule="exact"/>
        <w:ind w:firstLine="640"/>
        <w:jc w:val="both"/>
      </w:pPr>
      <w:r>
        <w:rPr>
          <w:rFonts w:ascii="仿宋_GB2312" w:hAnsi="仿宋_GB2312" w:eastAsia="仿宋_GB2312"/>
          <w:sz w:val="32"/>
        </w:rPr>
        <w:t>4.管理户证、国籍、入境出境事务和外国人在境内居留、旅行等有关事务，维护国（边）境地区的治安秩序，警卫国家规定的特定人员、守卫重要场所和设施。</w:t>
      </w:r>
    </w:p>
    <w:p w14:paraId="4C66EFAB">
      <w:pPr>
        <w:spacing w:line="580" w:lineRule="exact"/>
        <w:ind w:firstLine="640"/>
        <w:jc w:val="both"/>
      </w:pPr>
      <w:r>
        <w:rPr>
          <w:rFonts w:ascii="仿宋_GB2312" w:hAnsi="仿宋_GB2312" w:eastAsia="仿宋_GB2312"/>
          <w:sz w:val="32"/>
        </w:rPr>
        <w:t>5.监督管理公共信息网络安全监察工作。</w:t>
      </w:r>
    </w:p>
    <w:p w14:paraId="32C03D18">
      <w:pPr>
        <w:spacing w:line="580" w:lineRule="exact"/>
        <w:ind w:firstLine="640"/>
        <w:jc w:val="both"/>
      </w:pPr>
      <w:r>
        <w:rPr>
          <w:rFonts w:ascii="仿宋_GB2312" w:hAnsi="仿宋_GB2312" w:eastAsia="仿宋_GB2312"/>
          <w:sz w:val="32"/>
        </w:rPr>
        <w:t>6.指导和监督国家机关、社会团体、企事业组织和重点建设工程的治安保卫工作，指导治安保卫委员会等群众性组织的治安防范工作。</w:t>
      </w:r>
    </w:p>
    <w:p w14:paraId="41582FCF">
      <w:pPr>
        <w:spacing w:line="640" w:lineRule="exact"/>
        <w:ind w:firstLine="640"/>
        <w:jc w:val="both"/>
        <w:outlineLvl w:val="2"/>
      </w:pPr>
      <w:r>
        <w:rPr>
          <w:rFonts w:ascii="黑体" w:hAnsi="黑体" w:eastAsia="黑体"/>
          <w:sz w:val="32"/>
        </w:rPr>
        <w:t>二、机构设置及人员情况</w:t>
      </w:r>
    </w:p>
    <w:p w14:paraId="6C49B0BA">
      <w:pPr>
        <w:spacing w:line="580" w:lineRule="exact"/>
        <w:ind w:firstLine="640"/>
        <w:jc w:val="both"/>
      </w:pPr>
      <w:r>
        <w:rPr>
          <w:rFonts w:ascii="仿宋_GB2312" w:hAnsi="仿宋_GB2312" w:eastAsia="仿宋_GB2312"/>
          <w:sz w:val="32"/>
        </w:rPr>
        <w:t>本单位机构设置及人员情况不予公开。</w:t>
      </w:r>
    </w:p>
    <w:p w14:paraId="269FF775">
      <w:r>
        <w:br w:type="page"/>
      </w:r>
    </w:p>
    <w:p w14:paraId="4C5D6A3F">
      <w:pPr>
        <w:spacing w:line="240" w:lineRule="auto"/>
        <w:jc w:val="center"/>
        <w:outlineLvl w:val="1"/>
      </w:pPr>
      <w:r>
        <w:rPr>
          <w:rFonts w:ascii="黑体" w:hAnsi="黑体" w:eastAsia="黑体"/>
          <w:sz w:val="32"/>
        </w:rPr>
        <w:t>第二部分 部门决算情况说明</w:t>
      </w:r>
    </w:p>
    <w:p w14:paraId="131C51C8">
      <w:pPr>
        <w:spacing w:line="640" w:lineRule="exact"/>
        <w:ind w:firstLine="640"/>
        <w:jc w:val="both"/>
        <w:outlineLvl w:val="2"/>
      </w:pPr>
      <w:r>
        <w:rPr>
          <w:rFonts w:ascii="黑体" w:hAnsi="黑体" w:eastAsia="黑体"/>
          <w:sz w:val="32"/>
        </w:rPr>
        <w:t>一、收入支出决算总体情况说明</w:t>
      </w:r>
    </w:p>
    <w:p w14:paraId="0E76287B">
      <w:pPr>
        <w:spacing w:line="580" w:lineRule="exact"/>
        <w:ind w:firstLine="640"/>
        <w:jc w:val="both"/>
      </w:pPr>
      <w:r>
        <w:rPr>
          <w:rFonts w:ascii="仿宋_GB2312" w:hAnsi="仿宋_GB2312" w:eastAsia="仿宋_GB2312"/>
          <w:b/>
          <w:sz w:val="32"/>
        </w:rPr>
        <w:t>2024年度收入总计13,752.70万元，</w:t>
      </w:r>
      <w:r>
        <w:rPr>
          <w:rFonts w:ascii="仿宋_GB2312" w:hAnsi="仿宋_GB2312" w:eastAsia="仿宋_GB2312"/>
          <w:b w:val="0"/>
          <w:sz w:val="32"/>
        </w:rPr>
        <w:t>其中：本年收入合计12,854.05万元，使用非财政拨款结余（含专用结余）0.00万元，年初结转和结余898.65万元。</w:t>
      </w:r>
    </w:p>
    <w:p w14:paraId="609A91D7">
      <w:pPr>
        <w:spacing w:line="580" w:lineRule="exact"/>
        <w:ind w:firstLine="640"/>
        <w:jc w:val="both"/>
      </w:pPr>
      <w:r>
        <w:rPr>
          <w:rFonts w:ascii="仿宋_GB2312" w:hAnsi="仿宋_GB2312" w:eastAsia="仿宋_GB2312"/>
          <w:b/>
          <w:sz w:val="32"/>
        </w:rPr>
        <w:t>2024年度支出总计13,752.70万元，</w:t>
      </w:r>
      <w:r>
        <w:rPr>
          <w:rFonts w:ascii="仿宋_GB2312" w:hAnsi="仿宋_GB2312" w:eastAsia="仿宋_GB2312"/>
          <w:b w:val="0"/>
          <w:sz w:val="32"/>
        </w:rPr>
        <w:t>其中：本年支出合计12,854.05万元，结余分配0.00万元，年末结转和结余898.65万元。</w:t>
      </w:r>
    </w:p>
    <w:p w14:paraId="54D744F6">
      <w:pPr>
        <w:spacing w:line="580" w:lineRule="exact"/>
        <w:ind w:firstLine="640"/>
        <w:jc w:val="both"/>
        <w:rPr>
          <w:spacing w:val="-6"/>
          <w:sz w:val="32"/>
        </w:rPr>
      </w:pPr>
      <w:r>
        <w:rPr>
          <w:rFonts w:ascii="仿宋_GB2312" w:hAnsi="仿宋_GB2312" w:eastAsia="仿宋_GB2312"/>
          <w:b w:val="0"/>
          <w:spacing w:val="-6"/>
          <w:sz w:val="32"/>
        </w:rPr>
        <w:t>收入支出总体与上年相比，减少4,499.66万元，下降24.65%，主要原因是：本年因协警人员减少，相应人员工资、人员社保、人员住房公积金，运转经费等都相应减少；本年减少专项项目资金。</w:t>
      </w:r>
    </w:p>
    <w:p w14:paraId="1FB08985">
      <w:pPr>
        <w:spacing w:line="640" w:lineRule="exact"/>
        <w:ind w:firstLine="640"/>
        <w:jc w:val="both"/>
        <w:outlineLvl w:val="2"/>
      </w:pPr>
      <w:r>
        <w:rPr>
          <w:rFonts w:ascii="黑体" w:hAnsi="黑体" w:eastAsia="黑体"/>
          <w:sz w:val="32"/>
        </w:rPr>
        <w:t>二、收入决算情况说明</w:t>
      </w:r>
    </w:p>
    <w:p w14:paraId="002DF6B5">
      <w:pPr>
        <w:spacing w:line="580" w:lineRule="exact"/>
        <w:ind w:firstLine="640"/>
        <w:jc w:val="both"/>
      </w:pPr>
      <w:r>
        <w:rPr>
          <w:rFonts w:ascii="仿宋_GB2312" w:hAnsi="仿宋_GB2312" w:eastAsia="仿宋_GB2312"/>
          <w:b/>
          <w:sz w:val="32"/>
        </w:rPr>
        <w:t>本年收入12,854.05万元，</w:t>
      </w:r>
      <w:r>
        <w:rPr>
          <w:rFonts w:ascii="仿宋_GB2312" w:hAnsi="仿宋_GB2312" w:eastAsia="仿宋_GB2312"/>
          <w:b w:val="0"/>
          <w:sz w:val="32"/>
        </w:rPr>
        <w:t>其中：财政拨款收入12,847.15万元，占99.95%；上级补助收入0.00万元，占0.00%；事业收入0.00万元，占0.00%；经营收入0.00万元，占0.00%；附属单位上缴收入0.00万元，占0.00%；其他收入6.90万元，占0.05%。</w:t>
      </w:r>
    </w:p>
    <w:p w14:paraId="19010969">
      <w:pPr>
        <w:spacing w:line="640" w:lineRule="exact"/>
        <w:ind w:firstLine="640"/>
        <w:jc w:val="both"/>
        <w:outlineLvl w:val="2"/>
      </w:pPr>
      <w:r>
        <w:rPr>
          <w:rFonts w:ascii="黑体" w:hAnsi="黑体" w:eastAsia="黑体"/>
          <w:sz w:val="32"/>
        </w:rPr>
        <w:t>三、支出决算情况说明</w:t>
      </w:r>
    </w:p>
    <w:p w14:paraId="6C19A86D">
      <w:pPr>
        <w:spacing w:line="580" w:lineRule="exact"/>
        <w:ind w:firstLine="640"/>
        <w:jc w:val="both"/>
      </w:pPr>
      <w:r>
        <w:rPr>
          <w:rFonts w:ascii="仿宋_GB2312" w:hAnsi="仿宋_GB2312" w:eastAsia="仿宋_GB2312"/>
          <w:b/>
          <w:sz w:val="32"/>
        </w:rPr>
        <w:t>本年支出12,854.05万元，</w:t>
      </w:r>
      <w:r>
        <w:rPr>
          <w:rFonts w:ascii="仿宋_GB2312" w:hAnsi="仿宋_GB2312" w:eastAsia="仿宋_GB2312"/>
          <w:b w:val="0"/>
          <w:sz w:val="32"/>
        </w:rPr>
        <w:t>其中：基本支出6,172.90万元，占48.02%；项目支出6,681.15万元，占51.98%；上缴上级支出0.00万元，占0.00%；经营支出0.00万元，占0.00%；对附属单位补助支出0.00万元，占0.00%。</w:t>
      </w:r>
    </w:p>
    <w:p w14:paraId="7DCCFB1F">
      <w:pPr>
        <w:spacing w:line="640" w:lineRule="exact"/>
        <w:ind w:firstLine="640"/>
        <w:jc w:val="both"/>
        <w:outlineLvl w:val="2"/>
      </w:pPr>
      <w:r>
        <w:rPr>
          <w:rFonts w:ascii="黑体" w:hAnsi="黑体" w:eastAsia="黑体"/>
          <w:sz w:val="32"/>
        </w:rPr>
        <w:t>四、财政拨款收入支出决算总体情况说明</w:t>
      </w:r>
    </w:p>
    <w:p w14:paraId="48E57979">
      <w:pPr>
        <w:spacing w:line="580" w:lineRule="exact"/>
        <w:ind w:firstLine="640"/>
        <w:jc w:val="both"/>
      </w:pPr>
      <w:r>
        <w:rPr>
          <w:rFonts w:ascii="仿宋_GB2312" w:hAnsi="仿宋_GB2312" w:eastAsia="仿宋_GB2312"/>
          <w:b/>
          <w:sz w:val="32"/>
        </w:rPr>
        <w:t>2024年度财政拨款收入总计13,662.52万元，</w:t>
      </w:r>
      <w:r>
        <w:rPr>
          <w:rFonts w:ascii="仿宋_GB2312" w:hAnsi="仿宋_GB2312" w:eastAsia="仿宋_GB2312"/>
          <w:b w:val="0"/>
          <w:sz w:val="32"/>
        </w:rPr>
        <w:t>其中：年初财政拨款结转和结余815.37万元，本年财政拨款收入12,847.15万元。</w:t>
      </w:r>
      <w:r>
        <w:rPr>
          <w:rFonts w:ascii="仿宋_GB2312" w:hAnsi="仿宋_GB2312" w:eastAsia="仿宋_GB2312"/>
          <w:b/>
          <w:sz w:val="32"/>
        </w:rPr>
        <w:t>财政拨款支出总计13,662.52万元，</w:t>
      </w:r>
      <w:r>
        <w:rPr>
          <w:rFonts w:ascii="仿宋_GB2312" w:hAnsi="仿宋_GB2312" w:eastAsia="仿宋_GB2312"/>
          <w:b w:val="0"/>
          <w:sz w:val="32"/>
        </w:rPr>
        <w:t>其中：年末财政拨款结转和结余815.37万元，本年财政拨款支出12,847.15万元。</w:t>
      </w:r>
    </w:p>
    <w:p w14:paraId="69EB16E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减少4,203.03万元，下降23.53%，主要原因是：本年因协警人员减少，相应人员工资、人员社保、人员住房公积金，运转经费等都相应减少；本年减少专项项目资金。</w:t>
      </w:r>
      <w:r>
        <w:rPr>
          <w:rFonts w:ascii="仿宋_GB2312" w:hAnsi="仿宋_GB2312" w:eastAsia="仿宋_GB2312"/>
          <w:b/>
          <w:sz w:val="32"/>
        </w:rPr>
        <w:t>与年初预算相比，</w:t>
      </w:r>
      <w:r>
        <w:rPr>
          <w:rFonts w:ascii="仿宋_GB2312" w:hAnsi="仿宋_GB2312" w:eastAsia="仿宋_GB2312"/>
          <w:b w:val="0"/>
          <w:sz w:val="32"/>
        </w:rPr>
        <w:t>年初预算数14,283.67万元，决算数13,662.52万元，预决算差异率-4.35%，主要原因是：2024年度相较于2023年度辅警人员数量减少，因此人员工资、人员社保、人员住房公积金减少，年中调减人员经费。</w:t>
      </w:r>
    </w:p>
    <w:p w14:paraId="1D83C58C">
      <w:pPr>
        <w:spacing w:line="640" w:lineRule="exact"/>
        <w:ind w:firstLine="640"/>
        <w:jc w:val="both"/>
        <w:outlineLvl w:val="2"/>
      </w:pPr>
      <w:r>
        <w:rPr>
          <w:rFonts w:ascii="黑体" w:hAnsi="黑体" w:eastAsia="黑体"/>
          <w:sz w:val="32"/>
        </w:rPr>
        <w:t>五、一般公共预算财政拨款支出决算情况说明</w:t>
      </w:r>
    </w:p>
    <w:p w14:paraId="288E305D">
      <w:pPr>
        <w:spacing w:line="640" w:lineRule="exact"/>
        <w:ind w:firstLine="640"/>
        <w:jc w:val="both"/>
        <w:outlineLvl w:val="3"/>
      </w:pPr>
      <w:r>
        <w:rPr>
          <w:rFonts w:ascii="楷体_GB2312" w:hAnsi="楷体_GB2312" w:eastAsia="楷体_GB2312"/>
          <w:b/>
          <w:sz w:val="32"/>
        </w:rPr>
        <w:t>（一）一般公共预算财政拨款支出决算总体情况</w:t>
      </w:r>
    </w:p>
    <w:p w14:paraId="5205FC41">
      <w:pPr>
        <w:spacing w:line="580" w:lineRule="exact"/>
        <w:ind w:firstLine="640"/>
        <w:jc w:val="both"/>
      </w:pPr>
      <w:r>
        <w:rPr>
          <w:rFonts w:ascii="仿宋_GB2312" w:hAnsi="仿宋_GB2312" w:eastAsia="仿宋_GB2312"/>
          <w:b/>
          <w:sz w:val="32"/>
        </w:rPr>
        <w:t>2024年度一般公共预算财政拨款支出9,684.09万元，</w:t>
      </w:r>
      <w:r>
        <w:rPr>
          <w:rFonts w:ascii="仿宋_GB2312" w:hAnsi="仿宋_GB2312" w:eastAsia="仿宋_GB2312"/>
          <w:b w:val="0"/>
          <w:sz w:val="32"/>
        </w:rPr>
        <w:t>占本年支出合计的75.34%。</w:t>
      </w:r>
      <w:r>
        <w:rPr>
          <w:rFonts w:ascii="仿宋_GB2312" w:hAnsi="仿宋_GB2312" w:eastAsia="仿宋_GB2312"/>
          <w:b/>
          <w:sz w:val="32"/>
        </w:rPr>
        <w:t>与上年相比，</w:t>
      </w:r>
      <w:r>
        <w:rPr>
          <w:rFonts w:ascii="仿宋_GB2312" w:hAnsi="仿宋_GB2312" w:eastAsia="仿宋_GB2312"/>
          <w:b w:val="0"/>
          <w:sz w:val="32"/>
        </w:rPr>
        <w:t>减少6,716.85万元，下降40.95%，主要原因是：本年因协警人员减少，相应人员工资、人员社保、人员住房公积金，运转经费等都相应减少；本年减少专项项目资金。</w:t>
      </w:r>
      <w:r>
        <w:rPr>
          <w:rFonts w:ascii="仿宋_GB2312" w:hAnsi="仿宋_GB2312" w:eastAsia="仿宋_GB2312"/>
          <w:b/>
          <w:sz w:val="32"/>
        </w:rPr>
        <w:t>与年初预算相比,</w:t>
      </w:r>
      <w:r>
        <w:rPr>
          <w:rFonts w:ascii="仿宋_GB2312" w:hAnsi="仿宋_GB2312" w:eastAsia="仿宋_GB2312"/>
          <w:b w:val="0"/>
          <w:sz w:val="32"/>
        </w:rPr>
        <w:t>年初预算数</w:t>
      </w:r>
      <w:r>
        <w:rPr>
          <w:rFonts w:ascii="仿宋_GB2312" w:hAnsi="仿宋_GB2312" w:eastAsia="仿宋_GB2312"/>
          <w:b w:val="0"/>
          <w:spacing w:val="-6"/>
          <w:sz w:val="32"/>
        </w:rPr>
        <w:t>11,435.59万元，决算数9,684.09万元，预决算差异率-15.32%，主要原因是：2024年度相较于2023年度辅警人员数量减少，因此人员工资、人员社保、人员住房公积金减少，年中调减人员经费。</w:t>
      </w:r>
    </w:p>
    <w:p w14:paraId="4B70B7B3">
      <w:pPr>
        <w:spacing w:line="640" w:lineRule="exact"/>
        <w:ind w:firstLine="640"/>
        <w:jc w:val="both"/>
        <w:outlineLvl w:val="3"/>
      </w:pPr>
      <w:r>
        <w:rPr>
          <w:rFonts w:ascii="楷体_GB2312" w:hAnsi="楷体_GB2312" w:eastAsia="楷体_GB2312"/>
          <w:b/>
          <w:sz w:val="32"/>
        </w:rPr>
        <w:t>（二）一般公共预算财政拨款支出决算结构情况</w:t>
      </w:r>
    </w:p>
    <w:p w14:paraId="107854B2">
      <w:pPr>
        <w:spacing w:line="580" w:lineRule="exact"/>
        <w:ind w:firstLine="640"/>
        <w:jc w:val="both"/>
      </w:pPr>
      <w:r>
        <w:rPr>
          <w:rFonts w:ascii="仿宋_GB2312" w:hAnsi="仿宋_GB2312" w:eastAsia="仿宋_GB2312"/>
          <w:b w:val="0"/>
          <w:sz w:val="32"/>
        </w:rPr>
        <w:t>1.公共安全支出(类)7,963.06万元,占82.23%。</w:t>
      </w:r>
    </w:p>
    <w:p w14:paraId="68CB91D0">
      <w:pPr>
        <w:spacing w:line="580" w:lineRule="exact"/>
        <w:ind w:firstLine="640"/>
        <w:jc w:val="both"/>
      </w:pPr>
      <w:r>
        <w:rPr>
          <w:rFonts w:ascii="仿宋_GB2312" w:hAnsi="仿宋_GB2312" w:eastAsia="仿宋_GB2312"/>
          <w:b w:val="0"/>
          <w:sz w:val="32"/>
        </w:rPr>
        <w:t>2.科学技术支出(类)368.34万元,占3.80%。</w:t>
      </w:r>
    </w:p>
    <w:p w14:paraId="4DFDA1D2">
      <w:pPr>
        <w:spacing w:line="580" w:lineRule="exact"/>
        <w:ind w:firstLine="640"/>
        <w:jc w:val="both"/>
      </w:pPr>
      <w:r>
        <w:rPr>
          <w:rFonts w:ascii="仿宋_GB2312" w:hAnsi="仿宋_GB2312" w:eastAsia="仿宋_GB2312"/>
          <w:b w:val="0"/>
          <w:sz w:val="32"/>
        </w:rPr>
        <w:t>3.社会保障和就业支出(类)659.19万元,占6.81%。</w:t>
      </w:r>
    </w:p>
    <w:p w14:paraId="5907AA39">
      <w:pPr>
        <w:spacing w:line="580" w:lineRule="exact"/>
        <w:ind w:firstLine="640"/>
        <w:jc w:val="both"/>
      </w:pPr>
      <w:r>
        <w:rPr>
          <w:rFonts w:ascii="仿宋_GB2312" w:hAnsi="仿宋_GB2312" w:eastAsia="仿宋_GB2312"/>
          <w:b w:val="0"/>
          <w:sz w:val="32"/>
        </w:rPr>
        <w:t>4.卫生健康支出(类)295.93万元,占3.06%。</w:t>
      </w:r>
    </w:p>
    <w:p w14:paraId="5B1810ED">
      <w:pPr>
        <w:spacing w:line="580" w:lineRule="exact"/>
        <w:ind w:firstLine="640"/>
        <w:jc w:val="both"/>
      </w:pPr>
      <w:r>
        <w:rPr>
          <w:rFonts w:ascii="仿宋_GB2312" w:hAnsi="仿宋_GB2312" w:eastAsia="仿宋_GB2312"/>
          <w:b w:val="0"/>
          <w:sz w:val="32"/>
        </w:rPr>
        <w:t>5.住房保障支出(类)397.57万元,占4.11%。</w:t>
      </w:r>
    </w:p>
    <w:p w14:paraId="0C2FBED9">
      <w:pPr>
        <w:spacing w:line="640" w:lineRule="exact"/>
        <w:ind w:firstLine="640"/>
        <w:jc w:val="both"/>
        <w:outlineLvl w:val="3"/>
      </w:pPr>
      <w:r>
        <w:rPr>
          <w:rFonts w:ascii="楷体_GB2312" w:hAnsi="楷体_GB2312" w:eastAsia="楷体_GB2312"/>
          <w:b/>
          <w:sz w:val="32"/>
        </w:rPr>
        <w:t>（三）一般公共预算财政拨款支出决算具体情况</w:t>
      </w:r>
    </w:p>
    <w:p w14:paraId="78BACDC9">
      <w:pPr>
        <w:spacing w:line="580" w:lineRule="exact"/>
        <w:ind w:firstLine="640"/>
        <w:jc w:val="both"/>
      </w:pPr>
      <w:r>
        <w:rPr>
          <w:rFonts w:ascii="仿宋_GB2312" w:hAnsi="仿宋_GB2312" w:eastAsia="仿宋_GB2312"/>
          <w:b w:val="0"/>
          <w:sz w:val="32"/>
        </w:rPr>
        <w:t>1.公共安全支出(类)公安(款)行政运行(项):支出决算数为4,816.07万元，比上年决算减少4,419.21万元，下降47.85%,主要原因是：因协警人员减少，相应人员工资，运转经费等减少。</w:t>
      </w:r>
    </w:p>
    <w:p w14:paraId="3DECE081">
      <w:pPr>
        <w:spacing w:line="580" w:lineRule="exact"/>
        <w:ind w:firstLine="640"/>
        <w:jc w:val="both"/>
      </w:pPr>
      <w:r>
        <w:rPr>
          <w:rFonts w:ascii="仿宋_GB2312" w:hAnsi="仿宋_GB2312" w:eastAsia="仿宋_GB2312"/>
          <w:b w:val="0"/>
          <w:sz w:val="32"/>
        </w:rPr>
        <w:t>2.公共安全支出(类)公安(款)一般行政管理事务(项):支出决算数为1,051.73万元，比上年决算减少1,048.27万元，下降49.92%,主要原因是：本年安保任务较上年任务</w:t>
      </w:r>
      <w:r>
        <w:rPr>
          <w:rFonts w:hint="eastAsia" w:ascii="仿宋_GB2312" w:hAnsi="仿宋_GB2312" w:eastAsia="仿宋_GB2312"/>
          <w:b w:val="0"/>
          <w:sz w:val="32"/>
          <w:lang w:val="en-US" w:eastAsia="zh-CN"/>
        </w:rPr>
        <w:t>减</w:t>
      </w:r>
      <w:r>
        <w:rPr>
          <w:rFonts w:ascii="仿宋_GB2312" w:hAnsi="仿宋_GB2312" w:eastAsia="仿宋_GB2312"/>
          <w:b w:val="0"/>
          <w:sz w:val="32"/>
        </w:rPr>
        <w:t>少，基层巡逻任务</w:t>
      </w:r>
      <w:r>
        <w:rPr>
          <w:rFonts w:hint="eastAsia" w:ascii="仿宋_GB2312" w:hAnsi="仿宋_GB2312" w:eastAsia="仿宋_GB2312"/>
          <w:b w:val="0"/>
          <w:sz w:val="32"/>
          <w:lang w:val="en-US" w:eastAsia="zh-CN"/>
        </w:rPr>
        <w:t>减</w:t>
      </w:r>
      <w:r>
        <w:rPr>
          <w:rFonts w:ascii="仿宋_GB2312" w:hAnsi="仿宋_GB2312" w:eastAsia="仿宋_GB2312"/>
          <w:b w:val="0"/>
          <w:sz w:val="32"/>
        </w:rPr>
        <w:t>少，导致经费较上年减少。</w:t>
      </w:r>
    </w:p>
    <w:p w14:paraId="102E99B9">
      <w:pPr>
        <w:spacing w:line="580" w:lineRule="exact"/>
        <w:ind w:firstLine="640"/>
        <w:jc w:val="both"/>
      </w:pPr>
      <w:r>
        <w:rPr>
          <w:rFonts w:ascii="仿宋_GB2312" w:hAnsi="仿宋_GB2312" w:eastAsia="仿宋_GB2312"/>
          <w:b w:val="0"/>
          <w:sz w:val="32"/>
        </w:rPr>
        <w:t>3.公共安全支出(类)公安(款)执法办案(项):支出决算数为12.15万元，比上年决算减少37.70万元，下降75.63%,主要原因是：本年减少2023年自治区公安业务费。</w:t>
      </w:r>
    </w:p>
    <w:p w14:paraId="7CF3AA06">
      <w:pPr>
        <w:spacing w:line="580" w:lineRule="exact"/>
        <w:ind w:firstLine="640"/>
        <w:jc w:val="both"/>
      </w:pPr>
      <w:r>
        <w:rPr>
          <w:rFonts w:ascii="仿宋_GB2312" w:hAnsi="仿宋_GB2312" w:eastAsia="仿宋_GB2312"/>
          <w:b w:val="0"/>
          <w:sz w:val="32"/>
        </w:rPr>
        <w:t>4.公共安全支出(类)公安(款)其他公安支出(项):支出决算数为2,083.11万元，比上年决算增加617.29万元，增长42.11%,主要原因是：本年增加专项项目资金。</w:t>
      </w:r>
    </w:p>
    <w:p w14:paraId="72CB9E95">
      <w:pPr>
        <w:spacing w:line="580" w:lineRule="exact"/>
        <w:ind w:firstLine="640"/>
        <w:jc w:val="both"/>
      </w:pPr>
      <w:r>
        <w:rPr>
          <w:rFonts w:ascii="仿宋_GB2312" w:hAnsi="仿宋_GB2312" w:eastAsia="仿宋_GB2312"/>
          <w:b w:val="0"/>
          <w:sz w:val="32"/>
        </w:rPr>
        <w:t>5.公共安全支出(类)其他公共安全支出(款)其他公共安全支出(项):支出决算数为0.00万元，比上年决算减少1.44万元，下降100.00%,主要原因是：本年减少中小企业项目-托里县公安局城北检查站建设项目（设计）。</w:t>
      </w:r>
    </w:p>
    <w:p w14:paraId="45F25E82">
      <w:pPr>
        <w:spacing w:line="580" w:lineRule="exact"/>
        <w:ind w:firstLine="640"/>
        <w:jc w:val="both"/>
      </w:pPr>
      <w:r>
        <w:rPr>
          <w:rFonts w:ascii="仿宋_GB2312" w:hAnsi="仿宋_GB2312" w:eastAsia="仿宋_GB2312"/>
          <w:b w:val="0"/>
          <w:sz w:val="32"/>
        </w:rPr>
        <w:t>6.科学技术支出(类)技术研究与开发(款)科技成果转化与扩散(项):支出决算数为368.34万元，比上年决算减少1,794.03万元，下降82.97%,主要原因是：本年减少专项项目资金。</w:t>
      </w:r>
    </w:p>
    <w:p w14:paraId="177921C4">
      <w:pPr>
        <w:spacing w:line="580" w:lineRule="exact"/>
        <w:ind w:firstLine="640"/>
        <w:jc w:val="both"/>
        <w:rPr>
          <w:spacing w:val="-6"/>
          <w:sz w:val="32"/>
        </w:rPr>
      </w:pPr>
      <w:r>
        <w:rPr>
          <w:rFonts w:ascii="仿宋_GB2312" w:hAnsi="仿宋_GB2312" w:eastAsia="仿宋_GB2312"/>
          <w:b w:val="0"/>
          <w:spacing w:val="-6"/>
          <w:sz w:val="32"/>
        </w:rPr>
        <w:t>7.社会保障和就业支出(类)行政事业单位养老支出(款)行政单位离退休(项):支出决算数为73.08万元，比上年决算减少19.49万元，下降21.05%,主要原因是：本年减少退休人员绩效奖。</w:t>
      </w:r>
    </w:p>
    <w:p w14:paraId="757B4605">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498.89万元，比上年决算增加79.78万元，增长19.04%,主要原因是：本年在职人员增加，养老保险缴费较上年增加。</w:t>
      </w:r>
    </w:p>
    <w:p w14:paraId="5C12BC08">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87.22万元，比上年决算减少172.50万元，下降66.42%,主要原因是：本年新增调出人员较上年减少，职业年金缴费较上年减少。</w:t>
      </w:r>
    </w:p>
    <w:p w14:paraId="77970127">
      <w:pPr>
        <w:spacing w:line="580" w:lineRule="exact"/>
        <w:ind w:firstLine="640"/>
        <w:jc w:val="both"/>
      </w:pPr>
      <w:r>
        <w:rPr>
          <w:rFonts w:ascii="仿宋_GB2312" w:hAnsi="仿宋_GB2312" w:eastAsia="仿宋_GB2312"/>
          <w:b w:val="0"/>
          <w:sz w:val="32"/>
        </w:rPr>
        <w:t>10.卫生健康支出(类)行政事业单位医疗(款)行政单位医疗(项):支出决算数为217.05万元，比上年决算增加25.23万元，增长13.15%,主要原因是：本年在职人员工资基数调增，医疗缴费基数上涨，相应支出增加。</w:t>
      </w:r>
    </w:p>
    <w:p w14:paraId="45F8A3EE">
      <w:pPr>
        <w:spacing w:line="580" w:lineRule="exact"/>
        <w:ind w:firstLine="640"/>
        <w:jc w:val="both"/>
      </w:pPr>
      <w:r>
        <w:rPr>
          <w:rFonts w:ascii="仿宋_GB2312" w:hAnsi="仿宋_GB2312" w:eastAsia="仿宋_GB2312"/>
          <w:b w:val="0"/>
          <w:sz w:val="32"/>
        </w:rPr>
        <w:t>11.卫生健康支出(类)行政事业单位医疗(款)公务员医疗补助(项):支出决算数为78.89万元，比上年决算增加4.00万元，增长5.34%,主要原因是：本年在职人员工资基数调增，公务员医疗补助上涨，相应支出增加。</w:t>
      </w:r>
    </w:p>
    <w:p w14:paraId="45A89215">
      <w:pPr>
        <w:spacing w:line="580" w:lineRule="exact"/>
        <w:ind w:firstLine="640"/>
        <w:jc w:val="both"/>
      </w:pPr>
      <w:r>
        <w:rPr>
          <w:rFonts w:ascii="仿宋_GB2312" w:hAnsi="仿宋_GB2312" w:eastAsia="仿宋_GB2312"/>
          <w:b w:val="0"/>
          <w:sz w:val="32"/>
        </w:rPr>
        <w:t>12.住房保障支出(类)住房改革支出(款)住房公积金(项):支出决算数为397.57万元，比上年决算增加49.50万元，增长14.22%,主要原因是：本年在职人员工资基数调增，公积金缴费基数上涨，相应支出增加；本单位向县财政为辅警人员争取缴纳公积金，住房公积金支出较上年增加。</w:t>
      </w:r>
    </w:p>
    <w:p w14:paraId="22940461">
      <w:pPr>
        <w:spacing w:line="640" w:lineRule="exact"/>
        <w:ind w:firstLine="640"/>
        <w:jc w:val="both"/>
        <w:outlineLvl w:val="2"/>
      </w:pPr>
      <w:r>
        <w:rPr>
          <w:rFonts w:ascii="黑体" w:hAnsi="黑体" w:eastAsia="黑体"/>
          <w:sz w:val="32"/>
        </w:rPr>
        <w:t>六、一般公共预算财政拨款基本支出决算情况说明</w:t>
      </w:r>
    </w:p>
    <w:p w14:paraId="5CED7AA4">
      <w:pPr>
        <w:spacing w:line="580" w:lineRule="exact"/>
        <w:ind w:firstLine="640"/>
        <w:jc w:val="both"/>
      </w:pPr>
      <w:r>
        <w:rPr>
          <w:rFonts w:ascii="仿宋_GB2312" w:hAnsi="仿宋_GB2312" w:eastAsia="仿宋_GB2312"/>
          <w:b w:val="0"/>
          <w:sz w:val="32"/>
        </w:rPr>
        <w:t>2024年度一般公共预算财政拨款基本支出6,172.90万元，其中：</w:t>
      </w:r>
      <w:r>
        <w:rPr>
          <w:rFonts w:ascii="仿宋_GB2312" w:hAnsi="仿宋_GB2312" w:eastAsia="仿宋_GB2312"/>
          <w:b/>
          <w:sz w:val="32"/>
        </w:rPr>
        <w:t>人员经费5,667.80万元，</w:t>
      </w:r>
      <w:r>
        <w:rPr>
          <w:rFonts w:ascii="仿宋_GB2312" w:hAnsi="仿宋_GB2312" w:eastAsia="仿宋_GB2312"/>
          <w:b w:val="0"/>
          <w:sz w:val="32"/>
        </w:rPr>
        <w:t>包括：基本工资、津贴补贴、奖金、伙食补助费、绩效工资、机关事业单位基本养老保险缴费、职业年金缴费、职工基本医疗保险缴费、公务员医疗补助缴费、其他社会保障缴费、住房公积金、其他工资福利支出、退休费、抚恤金、生活补助、医疗费补助、奖励金。</w:t>
      </w:r>
    </w:p>
    <w:p w14:paraId="3970D45F">
      <w:pPr>
        <w:spacing w:line="580" w:lineRule="exact"/>
        <w:ind w:firstLine="640"/>
        <w:jc w:val="both"/>
      </w:pPr>
      <w:r>
        <w:rPr>
          <w:rFonts w:ascii="仿宋_GB2312" w:hAnsi="仿宋_GB2312" w:eastAsia="仿宋_GB2312"/>
          <w:b/>
          <w:sz w:val="32"/>
        </w:rPr>
        <w:t>公用经费505.10万元，</w:t>
      </w:r>
      <w:r>
        <w:rPr>
          <w:rFonts w:ascii="仿宋_GB2312" w:hAnsi="仿宋_GB2312" w:eastAsia="仿宋_GB2312"/>
          <w:b w:val="0"/>
          <w:sz w:val="32"/>
        </w:rPr>
        <w:t>包括：办公费、水费、电费、邮电费、取暖费、差旅费、维修（护）费、培训费、专用材料费、被装购置费、劳务费、委托业务费、工会经费、福利费、公务用车运行维护费、税金及附加费用、专用设备购置。</w:t>
      </w:r>
    </w:p>
    <w:p w14:paraId="1EAC99EE">
      <w:pPr>
        <w:spacing w:line="640" w:lineRule="exact"/>
        <w:ind w:firstLine="640"/>
        <w:jc w:val="both"/>
        <w:outlineLvl w:val="2"/>
      </w:pPr>
      <w:r>
        <w:rPr>
          <w:rFonts w:ascii="黑体" w:hAnsi="黑体" w:eastAsia="黑体"/>
          <w:sz w:val="32"/>
        </w:rPr>
        <w:t>七、政府性基金预算财政拨款收入支出决算情况说明</w:t>
      </w:r>
    </w:p>
    <w:p w14:paraId="4D1DDC49">
      <w:pPr>
        <w:spacing w:line="580" w:lineRule="exact"/>
        <w:ind w:firstLine="640"/>
        <w:jc w:val="both"/>
      </w:pPr>
      <w:r>
        <w:rPr>
          <w:rFonts w:ascii="仿宋_GB2312" w:hAnsi="仿宋_GB2312" w:eastAsia="仿宋_GB2312"/>
          <w:b/>
          <w:sz w:val="32"/>
        </w:rPr>
        <w:t>2024年度政府性基金预算财政拨款收入总计3,163.06万元，</w:t>
      </w:r>
      <w:r>
        <w:rPr>
          <w:rFonts w:ascii="仿宋_GB2312" w:hAnsi="仿宋_GB2312" w:eastAsia="仿宋_GB2312"/>
          <w:b w:val="0"/>
          <w:sz w:val="32"/>
        </w:rPr>
        <w:t>其中：年初结转和结余0.00万元，本年收入3,163.06万元。</w:t>
      </w:r>
      <w:r>
        <w:rPr>
          <w:rFonts w:ascii="仿宋_GB2312" w:hAnsi="仿宋_GB2312" w:eastAsia="仿宋_GB2312"/>
          <w:b/>
          <w:sz w:val="32"/>
        </w:rPr>
        <w:t>政府性基金预算财政拨款支出总计3,163.06万元，</w:t>
      </w:r>
      <w:r>
        <w:rPr>
          <w:rFonts w:ascii="仿宋_GB2312" w:hAnsi="仿宋_GB2312" w:eastAsia="仿宋_GB2312"/>
          <w:b w:val="0"/>
          <w:sz w:val="32"/>
        </w:rPr>
        <w:t>其中：年末结转和结余0.00万元，本年支出3,163.06万元。</w:t>
      </w:r>
    </w:p>
    <w:p w14:paraId="000A1EA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增加2,513.82万元，增长387.19%，主要原因是：本年增加托里县公安局城北检查站建设项目（施工）、托里县农村基础设施工程建设项目（一期）、业务专项项目。</w:t>
      </w:r>
      <w:r>
        <w:rPr>
          <w:rFonts w:ascii="仿宋_GB2312" w:hAnsi="仿宋_GB2312" w:eastAsia="仿宋_GB2312"/>
          <w:b/>
          <w:sz w:val="32"/>
        </w:rPr>
        <w:t>与年初预算相比，</w:t>
      </w:r>
      <w:r>
        <w:rPr>
          <w:rFonts w:ascii="仿宋_GB2312" w:hAnsi="仿宋_GB2312" w:eastAsia="仿宋_GB2312"/>
          <w:b w:val="0"/>
          <w:sz w:val="32"/>
        </w:rPr>
        <w:t>年初预算数2,848.08万元，决算数3,163.06万元，预决算差异率11.06%，主要原因是：年中追加业务专项项目，导致预决算存在差异。</w:t>
      </w:r>
    </w:p>
    <w:p w14:paraId="62BD3089">
      <w:pPr>
        <w:spacing w:line="580" w:lineRule="exact"/>
        <w:ind w:firstLine="640"/>
        <w:jc w:val="both"/>
      </w:pPr>
      <w:r>
        <w:rPr>
          <w:rFonts w:ascii="仿宋_GB2312" w:hAnsi="仿宋_GB2312" w:eastAsia="仿宋_GB2312"/>
          <w:b w:val="0"/>
          <w:sz w:val="32"/>
        </w:rPr>
        <w:t>政府性基金预算财政拨款支出3,163.06万元。</w:t>
      </w:r>
    </w:p>
    <w:p w14:paraId="6B3DAC6D">
      <w:pPr>
        <w:spacing w:line="580" w:lineRule="exact"/>
        <w:ind w:firstLine="640"/>
        <w:jc w:val="both"/>
      </w:pPr>
      <w:r>
        <w:rPr>
          <w:rFonts w:ascii="仿宋_GB2312" w:hAnsi="仿宋_GB2312" w:eastAsia="仿宋_GB2312"/>
          <w:b w:val="0"/>
          <w:sz w:val="32"/>
        </w:rPr>
        <w:t>1.城乡社区支出(类)国有土地使用权出让收入安排的支出(款)城市建设支出(项):支出决算数为68.25万元，比上年决算增加54.03万元，增长379.96%,主要原因是：本年增加业务专项项目。</w:t>
      </w:r>
    </w:p>
    <w:p w14:paraId="1AC6A36C">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194.74万元，比上年决算增加90.69万元，增长87.16%,主要原因是：本年增加托里县公安局城北检查站建设项目（施工）。</w:t>
      </w:r>
    </w:p>
    <w:p w14:paraId="32D392F0">
      <w:pPr>
        <w:spacing w:line="580" w:lineRule="exact"/>
        <w:ind w:firstLine="640"/>
        <w:jc w:val="both"/>
      </w:pPr>
      <w:r>
        <w:rPr>
          <w:rFonts w:ascii="仿宋_GB2312" w:hAnsi="仿宋_GB2312" w:eastAsia="仿宋_GB2312"/>
          <w:b w:val="0"/>
          <w:sz w:val="32"/>
        </w:rPr>
        <w:t>3.城乡社区支出(类)国有土地使用权出让收入安排的支出(款)其他国有土地使用权出让收入安排的支出(项):支出决算数为471.35万元，比上年决算减少59.62万元，下降11.23%,主要原因是：本年减少托里县公安局一般债券项目。</w:t>
      </w:r>
    </w:p>
    <w:p w14:paraId="5A87DC47">
      <w:pPr>
        <w:spacing w:line="580" w:lineRule="exact"/>
        <w:ind w:firstLine="640"/>
        <w:jc w:val="both"/>
      </w:pPr>
      <w:r>
        <w:rPr>
          <w:rFonts w:ascii="仿宋_GB2312" w:hAnsi="仿宋_GB2312" w:eastAsia="仿宋_GB2312"/>
          <w:b w:val="0"/>
          <w:sz w:val="32"/>
        </w:rPr>
        <w:t>4.城乡社区支出(类)国有土地使用权出让收入对应专项债务收入安排的支出(款)城市建设支出(项):支出决算数为2,428.73万元，比上年决算增加2,428.73万元，增长100.00%,主要原因是：本年增加业务专项项目。</w:t>
      </w:r>
    </w:p>
    <w:p w14:paraId="0897ED50">
      <w:pPr>
        <w:spacing w:line="640" w:lineRule="exact"/>
        <w:ind w:firstLine="640"/>
        <w:jc w:val="both"/>
        <w:outlineLvl w:val="2"/>
      </w:pPr>
      <w:r>
        <w:rPr>
          <w:rFonts w:ascii="黑体" w:hAnsi="黑体" w:eastAsia="黑体"/>
          <w:sz w:val="32"/>
        </w:rPr>
        <w:t>八、国有资本经营预算财政拨款收入支出决算情况说明</w:t>
      </w:r>
    </w:p>
    <w:p w14:paraId="7E75870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2C7376A">
      <w:pPr>
        <w:spacing w:line="640" w:lineRule="exact"/>
        <w:ind w:firstLine="640"/>
        <w:jc w:val="both"/>
        <w:outlineLvl w:val="2"/>
      </w:pPr>
      <w:r>
        <w:rPr>
          <w:rFonts w:ascii="黑体" w:hAnsi="黑体" w:eastAsia="黑体"/>
          <w:sz w:val="32"/>
        </w:rPr>
        <w:t>九、财政拨款“三公”经费支出决算情况说明</w:t>
      </w:r>
    </w:p>
    <w:p w14:paraId="14E5418A">
      <w:pPr>
        <w:spacing w:line="580" w:lineRule="exact"/>
        <w:ind w:firstLine="640"/>
        <w:jc w:val="both"/>
      </w:pPr>
      <w:r>
        <w:rPr>
          <w:rFonts w:ascii="仿宋_GB2312" w:hAnsi="仿宋_GB2312" w:eastAsia="仿宋_GB2312"/>
          <w:b/>
          <w:sz w:val="32"/>
        </w:rPr>
        <w:t>2024年度财政拨款“三公”经费支出300.97万元，</w:t>
      </w:r>
      <w:r>
        <w:rPr>
          <w:rFonts w:ascii="仿宋_GB2312" w:hAnsi="仿宋_GB2312" w:eastAsia="仿宋_GB2312"/>
          <w:b w:val="0"/>
          <w:sz w:val="32"/>
        </w:rPr>
        <w:t>比上年减少179.74万元，下降37.39%，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300.97万元，占100.00%，比上年减少179.74万元，下降37.39%，主要原因是：严格落实中央八项规定精神，厉行节约，减少公务用车运行维护费。公务接待费支出0.00万元，占0.00%，比上年增加0.00万元，增长0.00%，主要原因是：2023年与2024年均未安排公务接待费支出。</w:t>
      </w:r>
    </w:p>
    <w:p w14:paraId="6B0EBD78">
      <w:pPr>
        <w:spacing w:line="580" w:lineRule="exact"/>
        <w:ind w:firstLine="640"/>
        <w:jc w:val="both"/>
      </w:pPr>
      <w:r>
        <w:rPr>
          <w:rFonts w:ascii="仿宋_GB2312" w:hAnsi="仿宋_GB2312" w:eastAsia="仿宋_GB2312"/>
          <w:b/>
          <w:sz w:val="32"/>
        </w:rPr>
        <w:t>具体情况如下：</w:t>
      </w:r>
    </w:p>
    <w:p w14:paraId="68DB835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09CB55C">
      <w:pPr>
        <w:spacing w:line="580" w:lineRule="exact"/>
        <w:ind w:firstLine="640"/>
        <w:jc w:val="both"/>
      </w:pPr>
      <w:r>
        <w:rPr>
          <w:rFonts w:ascii="仿宋_GB2312" w:hAnsi="仿宋_GB2312" w:eastAsia="仿宋_GB2312"/>
          <w:b w:val="0"/>
          <w:sz w:val="32"/>
        </w:rPr>
        <w:t>公务用车购置及运行维护费300.97万元，其中：公务用车购置费0.00万元，公务用车运行维护费300.97万元。公务用车运行维护费开支内容包括车辆加油费、维修费、保险费、审车费、过路费等。公务用车购置数0辆，公务用车保有量158辆。国有资产占用情况中固定资产车辆158辆，与公务用车保有量差异原因是：本单位固定资产车辆与公务用车保有量一致无差异。</w:t>
      </w:r>
    </w:p>
    <w:p w14:paraId="384D899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71D56C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300.97万元，决算数300.97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300.97万元，决算数300.97万元，预决算差异率0.00%，主要原因是：严格按照预算执行，预决算无差异。公务接待费全年预算数0.00万元，决算数0.00万元，预决算差异率0.00%，主要原因是：本单位无公务接待费。</w:t>
      </w:r>
    </w:p>
    <w:p w14:paraId="424CDFAE">
      <w:pPr>
        <w:spacing w:line="640" w:lineRule="exact"/>
        <w:ind w:firstLine="640"/>
        <w:jc w:val="both"/>
        <w:outlineLvl w:val="2"/>
      </w:pPr>
      <w:r>
        <w:rPr>
          <w:rFonts w:ascii="黑体" w:hAnsi="黑体" w:eastAsia="黑体"/>
          <w:sz w:val="32"/>
        </w:rPr>
        <w:t>十、其他重要事项的情况说明</w:t>
      </w:r>
    </w:p>
    <w:p w14:paraId="3F856E93">
      <w:pPr>
        <w:spacing w:line="640" w:lineRule="exact"/>
        <w:ind w:firstLine="640"/>
        <w:jc w:val="both"/>
        <w:outlineLvl w:val="3"/>
      </w:pPr>
      <w:r>
        <w:rPr>
          <w:rFonts w:ascii="楷体_GB2312" w:hAnsi="楷体_GB2312" w:eastAsia="楷体_GB2312"/>
          <w:b/>
          <w:sz w:val="32"/>
        </w:rPr>
        <w:t>（一）机关运行经费及公用经费支出情况</w:t>
      </w:r>
    </w:p>
    <w:p w14:paraId="147C34C1">
      <w:pPr>
        <w:spacing w:line="580" w:lineRule="exact"/>
        <w:ind w:firstLine="640"/>
        <w:jc w:val="both"/>
      </w:pPr>
      <w:r>
        <w:rPr>
          <w:rFonts w:ascii="仿宋_GB2312" w:hAnsi="仿宋_GB2312" w:eastAsia="仿宋_GB2312"/>
          <w:b w:val="0"/>
          <w:sz w:val="32"/>
        </w:rPr>
        <w:t>2024年度托里县公安局（行政单位和参照公务员法管理事业单位）机关运行经费支出505.10万元，比上年增加143.38万元，增长39.64%，主要原因是：本年办公费用增加。</w:t>
      </w:r>
    </w:p>
    <w:p w14:paraId="7BACD46B">
      <w:pPr>
        <w:spacing w:line="640" w:lineRule="exact"/>
        <w:ind w:firstLine="640"/>
        <w:jc w:val="both"/>
        <w:outlineLvl w:val="3"/>
      </w:pPr>
      <w:r>
        <w:rPr>
          <w:rFonts w:ascii="楷体_GB2312" w:hAnsi="楷体_GB2312" w:eastAsia="楷体_GB2312"/>
          <w:b/>
          <w:sz w:val="32"/>
        </w:rPr>
        <w:t>（二）政府采购情况</w:t>
      </w:r>
    </w:p>
    <w:p w14:paraId="6D3924EC">
      <w:pPr>
        <w:spacing w:line="580" w:lineRule="exact"/>
        <w:ind w:firstLine="640"/>
        <w:jc w:val="both"/>
      </w:pPr>
      <w:r>
        <w:rPr>
          <w:rFonts w:ascii="仿宋_GB2312" w:hAnsi="仿宋_GB2312" w:eastAsia="仿宋_GB2312"/>
          <w:b w:val="0"/>
          <w:sz w:val="32"/>
        </w:rPr>
        <w:t>2024年度政府采购支出总额475.07万元，其中：政府采购货物支出296.43万元、政府采购工程支出0.00万元、政府采购服务支出178.63万元。</w:t>
      </w:r>
    </w:p>
    <w:p w14:paraId="45728BD7">
      <w:pPr>
        <w:spacing w:line="580" w:lineRule="exact"/>
        <w:ind w:firstLine="640"/>
        <w:jc w:val="both"/>
      </w:pPr>
      <w:r>
        <w:rPr>
          <w:rFonts w:ascii="仿宋_GB2312" w:hAnsi="仿宋_GB2312" w:eastAsia="仿宋_GB2312"/>
          <w:b w:val="0"/>
          <w:sz w:val="32"/>
        </w:rPr>
        <w:t>授予中小企业合同金额458.72万元，占政府采购支出总额的96.56%，其中：授予小微企业合同金额413.42万元，占政府采购支出总额的87.02%。</w:t>
      </w:r>
    </w:p>
    <w:p w14:paraId="64E8B3A1">
      <w:pPr>
        <w:spacing w:line="640" w:lineRule="exact"/>
        <w:ind w:firstLine="640"/>
        <w:jc w:val="both"/>
        <w:outlineLvl w:val="3"/>
      </w:pPr>
      <w:r>
        <w:rPr>
          <w:rFonts w:ascii="楷体_GB2312" w:hAnsi="楷体_GB2312" w:eastAsia="楷体_GB2312"/>
          <w:b/>
          <w:sz w:val="32"/>
        </w:rPr>
        <w:t>（三）国有资产占用情况说明</w:t>
      </w:r>
    </w:p>
    <w:p w14:paraId="704E0113">
      <w:pPr>
        <w:spacing w:line="580" w:lineRule="exact"/>
        <w:ind w:firstLine="640"/>
        <w:jc w:val="both"/>
      </w:pPr>
      <w:r>
        <w:rPr>
          <w:rFonts w:ascii="仿宋_GB2312" w:hAnsi="仿宋_GB2312" w:eastAsia="仿宋_GB2312"/>
          <w:b w:val="0"/>
          <w:sz w:val="32"/>
        </w:rPr>
        <w:t>截至2024年12月31日，房屋59,185.01平方米，价值14,344.19万元。车辆158辆，价值1,653.55万元，其中：副部（省）级及以上领导用车0辆、主要负责人用车0辆、机要通信用车0辆、应急保障用车1辆、执法执勤用车157辆、特种专业技术用车0辆、离退休干部服务用车0辆、其他用车0辆，其他用车主要是：本单位无其他用车。单价100万元（含）以上设备（不含车辆）29台（套）。</w:t>
      </w:r>
    </w:p>
    <w:p w14:paraId="054B0540">
      <w:pPr>
        <w:spacing w:line="640" w:lineRule="exact"/>
        <w:ind w:firstLine="640"/>
        <w:jc w:val="both"/>
        <w:outlineLvl w:val="2"/>
      </w:pPr>
      <w:r>
        <w:rPr>
          <w:rFonts w:ascii="黑体" w:hAnsi="黑体" w:eastAsia="黑体"/>
          <w:sz w:val="32"/>
        </w:rPr>
        <w:t>十一、预算绩效的情况说明</w:t>
      </w:r>
    </w:p>
    <w:p w14:paraId="65B03F3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13,752.70</w:t>
      </w:r>
      <w:r>
        <w:rPr>
          <w:rFonts w:ascii="仿宋_GB2312" w:hAnsi="仿宋_GB2312" w:eastAsia="仿宋_GB2312"/>
          <w:b w:val="0"/>
          <w:sz w:val="32"/>
        </w:rPr>
        <w:t>万元，实际执行总额</w:t>
      </w:r>
      <w:r>
        <w:rPr>
          <w:rFonts w:hint="eastAsia" w:ascii="仿宋_GB2312" w:hAnsi="仿宋_GB2312" w:eastAsia="仿宋_GB2312"/>
          <w:b w:val="0"/>
          <w:sz w:val="32"/>
        </w:rPr>
        <w:t>13,752.70</w:t>
      </w:r>
      <w:r>
        <w:rPr>
          <w:rFonts w:ascii="仿宋_GB2312" w:hAnsi="仿宋_GB2312" w:eastAsia="仿宋_GB2312"/>
          <w:b w:val="0"/>
          <w:sz w:val="32"/>
        </w:rPr>
        <w:t>万元；预算绩效评价项目</w:t>
      </w:r>
      <w:r>
        <w:rPr>
          <w:rFonts w:hint="eastAsia" w:ascii="仿宋_GB2312" w:hAnsi="仿宋_GB2312" w:eastAsia="仿宋_GB2312"/>
          <w:b w:val="0"/>
          <w:sz w:val="32"/>
          <w:lang w:val="en-US" w:eastAsia="zh-CN"/>
        </w:rPr>
        <w:t>9</w:t>
      </w:r>
      <w:r>
        <w:rPr>
          <w:rFonts w:ascii="仿宋_GB2312" w:hAnsi="仿宋_GB2312" w:eastAsia="仿宋_GB2312"/>
          <w:b w:val="0"/>
          <w:sz w:val="32"/>
        </w:rPr>
        <w:t>个，全年预算数12</w:t>
      </w:r>
      <w:r>
        <w:rPr>
          <w:rFonts w:hint="eastAsia" w:ascii="仿宋_GB2312" w:hAnsi="仿宋_GB2312" w:eastAsia="仿宋_GB2312"/>
          <w:b w:val="0"/>
          <w:sz w:val="32"/>
          <w:lang w:val="en-US" w:eastAsia="zh-CN"/>
        </w:rPr>
        <w:t>,</w:t>
      </w:r>
      <w:r>
        <w:rPr>
          <w:rFonts w:ascii="仿宋_GB2312" w:hAnsi="仿宋_GB2312" w:eastAsia="仿宋_GB2312"/>
          <w:b w:val="0"/>
          <w:sz w:val="32"/>
        </w:rPr>
        <w:t>854.05万元，全年执行数12</w:t>
      </w:r>
      <w:r>
        <w:rPr>
          <w:rFonts w:hint="eastAsia" w:ascii="仿宋_GB2312" w:hAnsi="仿宋_GB2312" w:eastAsia="仿宋_GB2312"/>
          <w:b w:val="0"/>
          <w:sz w:val="32"/>
          <w:lang w:val="en-US" w:eastAsia="zh-CN"/>
        </w:rPr>
        <w:t>,</w:t>
      </w:r>
      <w:r>
        <w:rPr>
          <w:rFonts w:ascii="仿宋_GB2312" w:hAnsi="仿宋_GB2312" w:eastAsia="仿宋_GB2312"/>
          <w:b w:val="0"/>
          <w:sz w:val="32"/>
        </w:rPr>
        <w:t>854.05万元。预算绩效管理取得的成效：本年度本单位预算绩效项目不予公开。发现的问题及原因：本年度本单位预算绩效项目不予公开。</w:t>
      </w:r>
      <w:bookmarkStart w:id="0" w:name="_GoBack"/>
      <w:r>
        <w:rPr>
          <w:rFonts w:ascii="仿宋_GB2312" w:hAnsi="仿宋_GB2312" w:eastAsia="仿宋_GB2312"/>
          <w:b w:val="0"/>
          <w:sz w:val="32"/>
        </w:rPr>
        <w:t>下一步改进措施：本年度本单位预算绩效项目不予公开。</w:t>
      </w:r>
    </w:p>
    <w:bookmarkEnd w:id="0"/>
    <w:p w14:paraId="3A1EDA29">
      <w:r>
        <w:br w:type="page"/>
      </w:r>
    </w:p>
    <w:p w14:paraId="6C522A78">
      <w:pPr>
        <w:spacing w:line="640" w:lineRule="exact"/>
        <w:ind w:firstLine="640"/>
        <w:jc w:val="both"/>
        <w:outlineLvl w:val="2"/>
      </w:pPr>
      <w:r>
        <w:rPr>
          <w:rFonts w:ascii="黑体" w:hAnsi="黑体" w:eastAsia="黑体"/>
          <w:sz w:val="32"/>
        </w:rPr>
        <w:t>十二、其他需说明的事项</w:t>
      </w:r>
    </w:p>
    <w:p w14:paraId="4A13132D">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项目9个，全年预算数12</w:t>
      </w:r>
      <w:r>
        <w:rPr>
          <w:rFonts w:hint="eastAsia" w:ascii="仿宋_GB2312" w:hAnsi="仿宋_GB2312" w:eastAsia="仿宋_GB2312"/>
          <w:b w:val="0"/>
          <w:sz w:val="32"/>
          <w:lang w:val="en-US" w:eastAsia="zh-CN"/>
        </w:rPr>
        <w:t>,</w:t>
      </w:r>
      <w:r>
        <w:rPr>
          <w:rFonts w:ascii="仿宋_GB2312" w:hAnsi="仿宋_GB2312" w:eastAsia="仿宋_GB2312"/>
          <w:b w:val="0"/>
          <w:sz w:val="32"/>
        </w:rPr>
        <w:t>854.05万元，全年执行数12</w:t>
      </w:r>
      <w:r>
        <w:rPr>
          <w:rFonts w:hint="eastAsia" w:ascii="仿宋_GB2312" w:hAnsi="仿宋_GB2312" w:eastAsia="仿宋_GB2312"/>
          <w:b w:val="0"/>
          <w:sz w:val="32"/>
          <w:lang w:val="en-US" w:eastAsia="zh-CN"/>
        </w:rPr>
        <w:t>,</w:t>
      </w:r>
      <w:r>
        <w:rPr>
          <w:rFonts w:ascii="仿宋_GB2312" w:hAnsi="仿宋_GB2312" w:eastAsia="仿宋_GB2312"/>
          <w:b w:val="0"/>
          <w:sz w:val="32"/>
        </w:rPr>
        <w:t>854.05万元。</w:t>
      </w:r>
    </w:p>
    <w:p w14:paraId="4549EC83">
      <w:pPr>
        <w:spacing w:line="580" w:lineRule="exact"/>
        <w:ind w:firstLine="640"/>
        <w:jc w:val="both"/>
      </w:pPr>
      <w:r>
        <w:rPr>
          <w:rFonts w:ascii="仿宋_GB2312" w:hAnsi="仿宋_GB2312" w:eastAsia="仿宋_GB2312"/>
          <w:b w:val="0"/>
          <w:sz w:val="32"/>
        </w:rPr>
        <w:t>本年度本单位整体绩效自评表不予公开。</w:t>
      </w:r>
    </w:p>
    <w:p w14:paraId="168A3BC3">
      <w:r>
        <w:br w:type="page"/>
      </w:r>
    </w:p>
    <w:p w14:paraId="2EC05DDB">
      <w:pPr>
        <w:spacing w:line="240" w:lineRule="auto"/>
        <w:jc w:val="center"/>
        <w:outlineLvl w:val="1"/>
      </w:pPr>
      <w:r>
        <w:rPr>
          <w:rFonts w:ascii="黑体" w:hAnsi="黑体" w:eastAsia="黑体"/>
          <w:sz w:val="32"/>
        </w:rPr>
        <w:t>第三部分 专业名词解释</w:t>
      </w:r>
    </w:p>
    <w:p w14:paraId="43AA36C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037E6A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29E989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F8ABDA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03F86F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D03C0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31B4B0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B3F21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62B8F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E095D0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A4C5FE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1394ED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63318F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8808AC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C129932">
      <w:r>
        <w:br w:type="page"/>
      </w:r>
    </w:p>
    <w:p w14:paraId="6D59B97B">
      <w:pPr>
        <w:spacing w:line="240" w:lineRule="auto"/>
        <w:jc w:val="center"/>
        <w:outlineLvl w:val="1"/>
      </w:pPr>
      <w:r>
        <w:rPr>
          <w:rFonts w:ascii="黑体" w:hAnsi="黑体" w:eastAsia="黑体"/>
          <w:sz w:val="32"/>
        </w:rPr>
        <w:t>第四部分 部门决算报表（见附表）</w:t>
      </w:r>
    </w:p>
    <w:p w14:paraId="65050DD5">
      <w:pPr>
        <w:spacing w:line="240" w:lineRule="auto"/>
        <w:ind w:firstLine="640"/>
        <w:jc w:val="both"/>
      </w:pPr>
      <w:r>
        <w:rPr>
          <w:rFonts w:ascii="仿宋_GB2312" w:hAnsi="仿宋_GB2312" w:eastAsia="仿宋_GB2312"/>
          <w:b w:val="0"/>
          <w:sz w:val="32"/>
        </w:rPr>
        <w:t>一、《收入支出决算总表》</w:t>
      </w:r>
    </w:p>
    <w:p w14:paraId="17088122">
      <w:pPr>
        <w:spacing w:line="240" w:lineRule="auto"/>
        <w:ind w:firstLine="640"/>
        <w:jc w:val="both"/>
      </w:pPr>
      <w:r>
        <w:rPr>
          <w:rFonts w:ascii="仿宋_GB2312" w:hAnsi="仿宋_GB2312" w:eastAsia="仿宋_GB2312"/>
          <w:b w:val="0"/>
          <w:sz w:val="32"/>
        </w:rPr>
        <w:t>二、《收入决算表》</w:t>
      </w:r>
    </w:p>
    <w:p w14:paraId="5450CB56">
      <w:pPr>
        <w:spacing w:line="240" w:lineRule="auto"/>
        <w:ind w:firstLine="640"/>
        <w:jc w:val="both"/>
      </w:pPr>
      <w:r>
        <w:rPr>
          <w:rFonts w:ascii="仿宋_GB2312" w:hAnsi="仿宋_GB2312" w:eastAsia="仿宋_GB2312"/>
          <w:b w:val="0"/>
          <w:sz w:val="32"/>
        </w:rPr>
        <w:t>三、《支出决算表》</w:t>
      </w:r>
    </w:p>
    <w:p w14:paraId="10C46B38">
      <w:pPr>
        <w:spacing w:line="240" w:lineRule="auto"/>
        <w:ind w:firstLine="640"/>
        <w:jc w:val="both"/>
      </w:pPr>
      <w:r>
        <w:rPr>
          <w:rFonts w:ascii="仿宋_GB2312" w:hAnsi="仿宋_GB2312" w:eastAsia="仿宋_GB2312"/>
          <w:b w:val="0"/>
          <w:sz w:val="32"/>
        </w:rPr>
        <w:t>四、《财政拨款收入支出决算总表》</w:t>
      </w:r>
    </w:p>
    <w:p w14:paraId="2C40414E">
      <w:pPr>
        <w:spacing w:line="240" w:lineRule="auto"/>
        <w:ind w:firstLine="640"/>
        <w:jc w:val="both"/>
      </w:pPr>
      <w:r>
        <w:rPr>
          <w:rFonts w:ascii="仿宋_GB2312" w:hAnsi="仿宋_GB2312" w:eastAsia="仿宋_GB2312"/>
          <w:b w:val="0"/>
          <w:sz w:val="32"/>
        </w:rPr>
        <w:t>五、《一般公共预算财政拨款支出决算表》</w:t>
      </w:r>
    </w:p>
    <w:p w14:paraId="042A449B">
      <w:pPr>
        <w:spacing w:line="240" w:lineRule="auto"/>
        <w:ind w:firstLine="640"/>
        <w:jc w:val="both"/>
      </w:pPr>
      <w:r>
        <w:rPr>
          <w:rFonts w:ascii="仿宋_GB2312" w:hAnsi="仿宋_GB2312" w:eastAsia="仿宋_GB2312"/>
          <w:b w:val="0"/>
          <w:sz w:val="32"/>
        </w:rPr>
        <w:t>六、《一般公共预算财政拨款基本支出决算表》</w:t>
      </w:r>
    </w:p>
    <w:p w14:paraId="39EFD790">
      <w:pPr>
        <w:spacing w:line="240" w:lineRule="auto"/>
        <w:ind w:firstLine="640"/>
        <w:jc w:val="both"/>
      </w:pPr>
      <w:r>
        <w:rPr>
          <w:rFonts w:ascii="仿宋_GB2312" w:hAnsi="仿宋_GB2312" w:eastAsia="仿宋_GB2312"/>
          <w:b w:val="0"/>
          <w:sz w:val="32"/>
        </w:rPr>
        <w:t>七、《政府性基金预算财政拨款收入支出决算表》</w:t>
      </w:r>
    </w:p>
    <w:p w14:paraId="641823A3">
      <w:pPr>
        <w:spacing w:line="240" w:lineRule="auto"/>
        <w:ind w:firstLine="640"/>
        <w:jc w:val="both"/>
      </w:pPr>
      <w:r>
        <w:rPr>
          <w:rFonts w:ascii="仿宋_GB2312" w:hAnsi="仿宋_GB2312" w:eastAsia="仿宋_GB2312"/>
          <w:b w:val="0"/>
          <w:sz w:val="32"/>
        </w:rPr>
        <w:t>八、《国有资本经营预算财政拨款收入支出决算表》</w:t>
      </w:r>
    </w:p>
    <w:p w14:paraId="7C316D05">
      <w:pPr>
        <w:spacing w:line="240" w:lineRule="auto"/>
        <w:ind w:firstLine="640"/>
        <w:jc w:val="both"/>
      </w:pPr>
      <w:r>
        <w:rPr>
          <w:rFonts w:ascii="仿宋_GB2312" w:hAnsi="仿宋_GB2312" w:eastAsia="仿宋_GB2312"/>
          <w:b w:val="0"/>
          <w:sz w:val="32"/>
        </w:rPr>
        <w:t>九、《财政拨款“三公”经费支出决算表》</w:t>
      </w:r>
    </w:p>
    <w:p w14:paraId="7DC0AF5D">
      <w:pPr>
        <w:spacing w:line="240" w:lineRule="auto"/>
        <w:ind w:firstLine="640"/>
        <w:jc w:val="both"/>
      </w:pPr>
    </w:p>
    <w:p w14:paraId="5C0ED5A8">
      <w:pPr>
        <w:spacing w:line="240" w:lineRule="auto"/>
        <w:ind w:firstLine="640"/>
        <w:jc w:val="both"/>
      </w:pPr>
    </w:p>
    <w:p w14:paraId="00BCAABF">
      <w:pPr>
        <w:spacing w:line="240" w:lineRule="auto"/>
        <w:ind w:firstLine="640"/>
        <w:jc w:val="both"/>
      </w:pPr>
    </w:p>
    <w:p w14:paraId="32E2E706">
      <w:pPr>
        <w:spacing w:line="240" w:lineRule="auto"/>
        <w:ind w:firstLine="640"/>
        <w:jc w:val="both"/>
      </w:pPr>
    </w:p>
    <w:p w14:paraId="265EC21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1CA1585-92FE-4672-B61D-6EC5ADB9DD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17F8501-1844-41E1-8977-C9646D3CE7E4}"/>
  </w:font>
  <w:font w:name="仿宋_GB2312">
    <w:panose1 w:val="02010609030101010101"/>
    <w:charset w:val="86"/>
    <w:family w:val="modern"/>
    <w:pitch w:val="default"/>
    <w:sig w:usb0="00000001" w:usb1="080E0000" w:usb2="00000000" w:usb3="00000000" w:csb0="00040000" w:csb1="00000000"/>
    <w:embedRegular r:id="rId3" w:fontKey="{75B92F6D-2931-4B63-B6E7-D3C774A1F7A3}"/>
  </w:font>
  <w:font w:name="楷体_GB2312">
    <w:panose1 w:val="02010609030101010101"/>
    <w:charset w:val="86"/>
    <w:family w:val="auto"/>
    <w:pitch w:val="default"/>
    <w:sig w:usb0="00000001" w:usb1="080E0000" w:usb2="00000000" w:usb3="00000000" w:csb0="00040000" w:csb1="00000000"/>
    <w:embedRegular r:id="rId4" w:fontKey="{244CDB9B-1153-4E19-A151-4BA8793B48F5}"/>
  </w:font>
  <w:font w:name="WPSEMBED23">
    <w:panose1 w:val="02010609030101010101"/>
    <w:charset w:val="86"/>
    <w:family w:val="auto"/>
    <w:pitch w:val="default"/>
    <w:sig w:usb0="00000001" w:usb1="080E0000" w:usb2="00000000" w:usb3="00000000" w:csb0="00040000" w:csb1="00000000"/>
  </w:font>
  <w:font w:name="WPSEMBED2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781595"/>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571CA1"/>
    <w:rsid w:val="60DE4D57"/>
    <w:rsid w:val="613409CB"/>
    <w:rsid w:val="61A46A97"/>
    <w:rsid w:val="62DD7D21"/>
    <w:rsid w:val="65D97752"/>
    <w:rsid w:val="664C500C"/>
    <w:rsid w:val="67D111AB"/>
    <w:rsid w:val="68DB0208"/>
    <w:rsid w:val="68DF36D5"/>
    <w:rsid w:val="69846A0E"/>
    <w:rsid w:val="69AD798C"/>
    <w:rsid w:val="69FC3F33"/>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00480D"/>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6286</Words>
  <Characters>7380</Characters>
  <Lines>0</Lines>
  <Paragraphs>0</Paragraphs>
  <TotalTime>6</TotalTime>
  <ScaleCrop>false</ScaleCrop>
  <LinksUpToDate>false</LinksUpToDate>
  <CharactersWithSpaces>7390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2025-10-31T09:38:15Z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