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托里县人民政府办公室2024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DB4F7D">
      <w:r>
        <w:br w:type="page"/>
      </w:r>
    </w:p>
    <w:p w14:paraId="790EAD12">
      <w:pPr>
        <w:spacing w:line="640" w:lineRule="exact"/>
        <w:jc w:val="center"/>
        <w:outlineLvl w:val="1"/>
      </w:pPr>
      <w:r>
        <w:rPr>
          <w:rFonts w:ascii="黑体" w:hAnsi="黑体" w:eastAsia="黑体"/>
          <w:sz w:val="32"/>
        </w:rPr>
        <w:t>第一部分 单位概况</w:t>
      </w:r>
    </w:p>
    <w:p w14:paraId="184CF826">
      <w:pPr>
        <w:spacing w:line="640" w:lineRule="exact"/>
        <w:ind w:firstLine="640"/>
        <w:jc w:val="both"/>
        <w:outlineLvl w:val="2"/>
      </w:pPr>
      <w:r>
        <w:rPr>
          <w:rFonts w:ascii="黑体" w:hAnsi="黑体" w:eastAsia="黑体"/>
          <w:sz w:val="32"/>
        </w:rPr>
        <w:t>一、主要职能</w:t>
      </w:r>
    </w:p>
    <w:p w14:paraId="4AE67231">
      <w:pPr>
        <w:spacing w:line="580" w:lineRule="exact"/>
        <w:ind w:firstLine="640"/>
        <w:jc w:val="both"/>
      </w:pPr>
      <w:r>
        <w:rPr>
          <w:rFonts w:ascii="仿宋_GB2312" w:hAnsi="仿宋_GB2312" w:eastAsia="仿宋_GB2312"/>
          <w:sz w:val="32"/>
        </w:rPr>
        <w:t>（一）围绕自治区党委决策部署、自治区人民政府中心工作和地委、行署、县委、县人民政府工作要求，筹</w:t>
      </w:r>
      <w:r>
        <w:rPr>
          <w:rFonts w:hint="eastAsia" w:ascii="仿宋_GB2312" w:hAnsi="仿宋_GB2312" w:eastAsia="仿宋_GB2312"/>
          <w:sz w:val="32"/>
          <w:lang w:eastAsia="zh-CN"/>
        </w:rPr>
        <w:t>备和</w:t>
      </w:r>
      <w:r>
        <w:rPr>
          <w:rFonts w:ascii="仿宋_GB2312" w:hAnsi="仿宋_GB2312" w:eastAsia="仿宋_GB2312"/>
          <w:sz w:val="32"/>
        </w:rPr>
        <w:t>组织政府各类会议，协助政府领导组织实施会议决定事项。负责政府领导参加重大活动的组织、协调和安排。负责搜集政府领导参加各类重要活动的声像资料。</w:t>
      </w:r>
    </w:p>
    <w:p w14:paraId="3948BEA5">
      <w:pPr>
        <w:spacing w:line="580" w:lineRule="exact"/>
        <w:ind w:firstLine="640"/>
        <w:jc w:val="both"/>
      </w:pPr>
      <w:r>
        <w:rPr>
          <w:rFonts w:ascii="仿宋_GB2312" w:hAnsi="仿宋_GB2312" w:eastAsia="仿宋_GB2312"/>
          <w:sz w:val="32"/>
        </w:rPr>
        <w:t>（二）负责政府日常文件（电报）处理和日常事务工作，协助政府领导组织起草或审核以政府、政府办公室名义发的文件。</w:t>
      </w:r>
    </w:p>
    <w:p w14:paraId="7434B803">
      <w:pPr>
        <w:spacing w:line="580" w:lineRule="exact"/>
        <w:ind w:firstLine="640"/>
        <w:jc w:val="both"/>
      </w:pPr>
      <w:r>
        <w:rPr>
          <w:rFonts w:ascii="仿宋_GB2312" w:hAnsi="仿宋_GB2312" w:eastAsia="仿宋_GB2312"/>
          <w:sz w:val="32"/>
        </w:rPr>
        <w:t>（三）研究县各部门和各乡（镇）人民政府请示政府的事项，提出审核或处理意见，报政府领导审定。</w:t>
      </w:r>
    </w:p>
    <w:p w14:paraId="7CAB91EE">
      <w:pPr>
        <w:spacing w:line="580" w:lineRule="exact"/>
        <w:ind w:firstLine="640"/>
        <w:jc w:val="both"/>
      </w:pPr>
      <w:r>
        <w:rPr>
          <w:rFonts w:ascii="仿宋_GB2312" w:hAnsi="仿宋_GB2312" w:eastAsia="仿宋_GB2312"/>
          <w:sz w:val="32"/>
        </w:rPr>
        <w:t>（四）督促检查党中央、国务院和自治区党委、自治区人民政府、地委、行署以及县委、县人民政府重要文件、重要会议和领导同志重要批示、交办事项贯彻落实情况并跟踪调研，及时向政府领导同志报告。督促12345政务服务便民热线工单办理。</w:t>
      </w:r>
    </w:p>
    <w:p w14:paraId="027CE90C">
      <w:pPr>
        <w:spacing w:line="580" w:lineRule="exact"/>
        <w:ind w:firstLine="640"/>
        <w:jc w:val="both"/>
      </w:pPr>
      <w:r>
        <w:rPr>
          <w:rFonts w:ascii="仿宋_GB2312" w:hAnsi="仿宋_GB2312" w:eastAsia="仿宋_GB2312"/>
          <w:sz w:val="32"/>
        </w:rPr>
        <w:t>（五）负责人大代表的建议意见及政协委员提案的办理和答复工作。</w:t>
      </w:r>
    </w:p>
    <w:p w14:paraId="2D4AF83E">
      <w:pPr>
        <w:spacing w:line="580" w:lineRule="exact"/>
        <w:ind w:firstLine="640"/>
        <w:jc w:val="both"/>
      </w:pPr>
      <w:r>
        <w:rPr>
          <w:rFonts w:ascii="仿宋_GB2312" w:hAnsi="仿宋_GB2312" w:eastAsia="仿宋_GB2312"/>
          <w:sz w:val="32"/>
        </w:rPr>
        <w:t>（六）负责政府办公室的政务值班和日常对外联络、协调及政务活动工作；指导、检查政府各单位（部门）和乡（镇）人民政府政务值班、应急值守；负责政府领导参与各类突发事件应急处置时的信息报送、服务保障。负责全县政府系统电子政务的</w:t>
      </w:r>
      <w:r>
        <w:rPr>
          <w:rFonts w:hint="eastAsia" w:ascii="仿宋_GB2312" w:hAnsi="仿宋_GB2312" w:eastAsia="仿宋_GB2312"/>
          <w:sz w:val="32"/>
          <w:lang w:eastAsia="zh-CN"/>
        </w:rPr>
        <w:t>规划、组织</w:t>
      </w:r>
      <w:r>
        <w:rPr>
          <w:rFonts w:ascii="仿宋_GB2312" w:hAnsi="仿宋_GB2312" w:eastAsia="仿宋_GB2312"/>
          <w:sz w:val="32"/>
        </w:rPr>
        <w:t>、协调和指导工作。</w:t>
      </w:r>
    </w:p>
    <w:p w14:paraId="353D6261">
      <w:pPr>
        <w:spacing w:line="580" w:lineRule="exact"/>
        <w:ind w:firstLine="640"/>
        <w:jc w:val="both"/>
      </w:pPr>
      <w:r>
        <w:rPr>
          <w:rFonts w:ascii="仿宋_GB2312" w:hAnsi="仿宋_GB2312" w:eastAsia="仿宋_GB2312"/>
          <w:sz w:val="32"/>
        </w:rPr>
        <w:t>（七）负责指导监督县政务公开和协调推进政府职能转变和“放管服”改革工作、县政务公开工作。</w:t>
      </w:r>
    </w:p>
    <w:p w14:paraId="7AFFCE40">
      <w:pPr>
        <w:spacing w:line="580" w:lineRule="exact"/>
        <w:ind w:firstLine="640"/>
        <w:jc w:val="both"/>
      </w:pPr>
      <w:r>
        <w:rPr>
          <w:rFonts w:ascii="仿宋_GB2312" w:hAnsi="仿宋_GB2312" w:eastAsia="仿宋_GB2312"/>
          <w:sz w:val="32"/>
        </w:rPr>
        <w:t>（八）根据政府工作部署和政府领导指示，组织开展专题调查研究、收集信息，及时反映情况，提出建议。</w:t>
      </w:r>
    </w:p>
    <w:p w14:paraId="5606253C">
      <w:pPr>
        <w:spacing w:line="580" w:lineRule="exact"/>
        <w:ind w:firstLine="640"/>
        <w:jc w:val="both"/>
      </w:pPr>
      <w:r>
        <w:rPr>
          <w:rFonts w:ascii="仿宋_GB2312" w:hAnsi="仿宋_GB2312" w:eastAsia="仿宋_GB2312"/>
          <w:sz w:val="32"/>
        </w:rPr>
        <w:t>（九）负责政府及办公室制发的规范性文件、决策决定规范性审查工作；负责协调法律顾问做好机关项目建设、资产处置等事宜的法律咨询和重要文件、重大合同审核审查；组织开展机关依法行政和法治宣传教育工作。</w:t>
      </w:r>
    </w:p>
    <w:p w14:paraId="394B3955">
      <w:pPr>
        <w:spacing w:line="580" w:lineRule="exact"/>
        <w:ind w:firstLine="640"/>
        <w:jc w:val="both"/>
      </w:pPr>
      <w:r>
        <w:rPr>
          <w:rFonts w:ascii="仿宋_GB2312" w:hAnsi="仿宋_GB2312" w:eastAsia="仿宋_GB2312"/>
          <w:sz w:val="32"/>
        </w:rPr>
        <w:t>（十）统筹、协调、组织县政府系统绩效考评工作。</w:t>
      </w:r>
    </w:p>
    <w:p w14:paraId="0C74085C">
      <w:pPr>
        <w:spacing w:line="580" w:lineRule="exact"/>
        <w:ind w:firstLine="640"/>
        <w:jc w:val="both"/>
      </w:pPr>
      <w:r>
        <w:rPr>
          <w:rFonts w:ascii="仿宋_GB2312" w:hAnsi="仿宋_GB2312" w:eastAsia="仿宋_GB2312"/>
          <w:sz w:val="32"/>
        </w:rPr>
        <w:t>（十一）完成县委、县政府交办的其他任务。</w:t>
      </w:r>
    </w:p>
    <w:p w14:paraId="03608549">
      <w:pPr>
        <w:spacing w:line="640" w:lineRule="exact"/>
        <w:ind w:firstLine="640"/>
        <w:jc w:val="both"/>
        <w:outlineLvl w:val="2"/>
      </w:pPr>
      <w:r>
        <w:rPr>
          <w:rFonts w:ascii="黑体" w:hAnsi="黑体" w:eastAsia="黑体"/>
          <w:sz w:val="32"/>
        </w:rPr>
        <w:t>二、机构设置及人员情况</w:t>
      </w:r>
    </w:p>
    <w:p w14:paraId="113C9874">
      <w:pPr>
        <w:spacing w:line="580" w:lineRule="exact"/>
        <w:ind w:firstLine="640"/>
        <w:jc w:val="both"/>
      </w:pPr>
      <w:r>
        <w:rPr>
          <w:rFonts w:ascii="仿宋_GB2312" w:hAnsi="仿宋_GB2312" w:eastAsia="仿宋_GB2312"/>
          <w:sz w:val="32"/>
        </w:rPr>
        <w:t>托里县人民政府办公室2024年度，实有人数123人，其中：在职人员39人，减少5人；离休人员0人，增加0人；退休人员84人,减少1人。</w:t>
      </w:r>
    </w:p>
    <w:p w14:paraId="5D6190EE">
      <w:pPr>
        <w:spacing w:line="580" w:lineRule="exact"/>
        <w:ind w:firstLine="640"/>
        <w:jc w:val="both"/>
      </w:pPr>
      <w:r>
        <w:rPr>
          <w:rFonts w:ascii="仿宋_GB2312" w:hAnsi="仿宋_GB2312" w:eastAsia="仿宋_GB2312"/>
          <w:sz w:val="32"/>
        </w:rPr>
        <w:t>托里县人民政府办公室无下属预算单位，下设8个科室，分别是：机关办公室、秘书科、综合科、后勤保障科、督查室、机要档案室、信息化办公室、财务室。</w:t>
      </w:r>
    </w:p>
    <w:p w14:paraId="0CB519D2">
      <w:r>
        <w:br w:type="page"/>
      </w:r>
    </w:p>
    <w:p w14:paraId="08992D0B">
      <w:pPr>
        <w:spacing w:line="240" w:lineRule="auto"/>
        <w:jc w:val="center"/>
        <w:outlineLvl w:val="1"/>
      </w:pPr>
      <w:r>
        <w:rPr>
          <w:rFonts w:ascii="黑体" w:hAnsi="黑体" w:eastAsia="黑体"/>
          <w:sz w:val="32"/>
        </w:rPr>
        <w:t>第二部分 部门决算情况说明</w:t>
      </w:r>
    </w:p>
    <w:p w14:paraId="28420EF8">
      <w:pPr>
        <w:spacing w:line="640" w:lineRule="exact"/>
        <w:ind w:firstLine="640"/>
        <w:jc w:val="both"/>
        <w:outlineLvl w:val="2"/>
      </w:pPr>
      <w:r>
        <w:rPr>
          <w:rFonts w:ascii="黑体" w:hAnsi="黑体" w:eastAsia="黑体"/>
          <w:sz w:val="32"/>
        </w:rPr>
        <w:t>一、收入支出决算总体情况说明</w:t>
      </w:r>
    </w:p>
    <w:p w14:paraId="7547911D">
      <w:pPr>
        <w:spacing w:line="580" w:lineRule="exact"/>
        <w:ind w:firstLine="640"/>
        <w:jc w:val="both"/>
      </w:pPr>
      <w:r>
        <w:rPr>
          <w:rFonts w:ascii="仿宋_GB2312" w:hAnsi="仿宋_GB2312" w:eastAsia="仿宋_GB2312"/>
          <w:b/>
          <w:sz w:val="32"/>
        </w:rPr>
        <w:t>2024年度收入总计1,209.85万元，</w:t>
      </w:r>
      <w:r>
        <w:rPr>
          <w:rFonts w:ascii="仿宋_GB2312" w:hAnsi="仿宋_GB2312" w:eastAsia="仿宋_GB2312"/>
          <w:b w:val="0"/>
          <w:sz w:val="32"/>
        </w:rPr>
        <w:t>其中：本年收入合计1,136.03万元，使用非财政拨款结余（含专用结余）0.00万元，年初结转和结余73.82万元。</w:t>
      </w:r>
    </w:p>
    <w:p w14:paraId="1D2058F6">
      <w:pPr>
        <w:spacing w:line="580" w:lineRule="exact"/>
        <w:ind w:firstLine="640"/>
        <w:jc w:val="both"/>
      </w:pPr>
      <w:r>
        <w:rPr>
          <w:rFonts w:ascii="仿宋_GB2312" w:hAnsi="仿宋_GB2312" w:eastAsia="仿宋_GB2312"/>
          <w:b/>
          <w:sz w:val="32"/>
        </w:rPr>
        <w:t>2024年度支出总计1,209.85万元，</w:t>
      </w:r>
      <w:r>
        <w:rPr>
          <w:rFonts w:ascii="仿宋_GB2312" w:hAnsi="仿宋_GB2312" w:eastAsia="仿宋_GB2312"/>
          <w:b w:val="0"/>
          <w:sz w:val="32"/>
        </w:rPr>
        <w:t>其中：本年支出合计1,136.03万元，结余分配0.00万元，年末结转和结余73.82万元。</w:t>
      </w:r>
    </w:p>
    <w:p w14:paraId="07F64311">
      <w:pPr>
        <w:spacing w:line="580" w:lineRule="exact"/>
        <w:ind w:firstLine="640"/>
        <w:jc w:val="both"/>
      </w:pPr>
      <w:r>
        <w:rPr>
          <w:rFonts w:ascii="仿宋_GB2312" w:hAnsi="仿宋_GB2312" w:eastAsia="仿宋_GB2312"/>
          <w:b w:val="0"/>
          <w:sz w:val="32"/>
        </w:rPr>
        <w:t>收入支出总体与上年相比，减少319.90万元，下降20.91%，主要原因是：本年减少托里县金都绿城廉租住房建设项目耕地占用税项目、托里县人民政府办公室用于皮山县地震救灾捐款及日常办公项目用于维修维护及办公设备购置项目支出，导致经费较上年减少。</w:t>
      </w:r>
    </w:p>
    <w:p w14:paraId="03B6C890">
      <w:pPr>
        <w:spacing w:line="640" w:lineRule="exact"/>
        <w:ind w:firstLine="640"/>
        <w:jc w:val="both"/>
        <w:outlineLvl w:val="2"/>
      </w:pPr>
      <w:r>
        <w:rPr>
          <w:rFonts w:ascii="黑体" w:hAnsi="黑体" w:eastAsia="黑体"/>
          <w:sz w:val="32"/>
        </w:rPr>
        <w:t>二、收入决算情况说明</w:t>
      </w:r>
    </w:p>
    <w:p w14:paraId="18573D33">
      <w:pPr>
        <w:spacing w:line="580" w:lineRule="exact"/>
        <w:ind w:firstLine="640"/>
        <w:jc w:val="both"/>
      </w:pPr>
      <w:r>
        <w:rPr>
          <w:rFonts w:ascii="仿宋_GB2312" w:hAnsi="仿宋_GB2312" w:eastAsia="仿宋_GB2312"/>
          <w:b/>
          <w:sz w:val="32"/>
        </w:rPr>
        <w:t>本年收入1,136.03万元，</w:t>
      </w:r>
      <w:r>
        <w:rPr>
          <w:rFonts w:ascii="仿宋_GB2312" w:hAnsi="仿宋_GB2312" w:eastAsia="仿宋_GB2312"/>
          <w:b w:val="0"/>
          <w:sz w:val="32"/>
        </w:rPr>
        <w:t>其中：财政拨款收入1,136.03万元，占100.00%；上级补助收入0.00万元，占0.00%；事业收入0.00万元，占0.00%；经营收入0.00万元，占0.00%；附属单位上缴收入0.00万元，占0.00%；其他收入0.00万元，占0.00%。</w:t>
      </w:r>
    </w:p>
    <w:p w14:paraId="29753C3F">
      <w:pPr>
        <w:spacing w:line="640" w:lineRule="exact"/>
        <w:ind w:firstLine="640"/>
        <w:jc w:val="both"/>
        <w:outlineLvl w:val="2"/>
      </w:pPr>
      <w:r>
        <w:rPr>
          <w:rFonts w:ascii="黑体" w:hAnsi="黑体" w:eastAsia="黑体"/>
          <w:sz w:val="32"/>
        </w:rPr>
        <w:t>三、支出决算情况说明</w:t>
      </w:r>
    </w:p>
    <w:p w14:paraId="4DA644F3">
      <w:pPr>
        <w:spacing w:line="580" w:lineRule="exact"/>
        <w:ind w:firstLine="640"/>
        <w:jc w:val="both"/>
      </w:pPr>
      <w:r>
        <w:rPr>
          <w:rFonts w:ascii="仿宋_GB2312" w:hAnsi="仿宋_GB2312" w:eastAsia="仿宋_GB2312"/>
          <w:b/>
          <w:sz w:val="32"/>
        </w:rPr>
        <w:t>本年支出1,136.03万元，</w:t>
      </w:r>
      <w:r>
        <w:rPr>
          <w:rFonts w:ascii="仿宋_GB2312" w:hAnsi="仿宋_GB2312" w:eastAsia="仿宋_GB2312"/>
          <w:b w:val="0"/>
          <w:sz w:val="32"/>
        </w:rPr>
        <w:t>其中：基本支出1,120.03万元，占98.59%；项目支出16.00万元，占1.41%；上缴上级支出0.00万元，占0.00%；经营支出0.00万元，占0.00%；对附属单位补助支出0.00万元，占0.00%。</w:t>
      </w:r>
    </w:p>
    <w:p w14:paraId="21B273F9">
      <w:pPr>
        <w:spacing w:line="640" w:lineRule="exact"/>
        <w:ind w:firstLine="640"/>
        <w:jc w:val="both"/>
        <w:outlineLvl w:val="2"/>
      </w:pPr>
      <w:r>
        <w:rPr>
          <w:rFonts w:ascii="黑体" w:hAnsi="黑体" w:eastAsia="黑体"/>
          <w:sz w:val="32"/>
        </w:rPr>
        <w:t>四、财政拨款收入支出决算总体情况说明</w:t>
      </w:r>
    </w:p>
    <w:p w14:paraId="2D47ED9F">
      <w:pPr>
        <w:spacing w:line="580" w:lineRule="exact"/>
        <w:ind w:firstLine="640"/>
        <w:jc w:val="both"/>
      </w:pPr>
      <w:r>
        <w:rPr>
          <w:rFonts w:ascii="仿宋_GB2312" w:hAnsi="仿宋_GB2312" w:eastAsia="仿宋_GB2312"/>
          <w:b/>
          <w:sz w:val="32"/>
        </w:rPr>
        <w:t>2024年度财政拨款收入总计1,209.85万元，</w:t>
      </w:r>
      <w:r>
        <w:rPr>
          <w:rFonts w:ascii="仿宋_GB2312" w:hAnsi="仿宋_GB2312" w:eastAsia="仿宋_GB2312"/>
          <w:b w:val="0"/>
          <w:sz w:val="32"/>
        </w:rPr>
        <w:t>其中：年初财政拨款结转和结余73.82万元，本年财政拨款收入1,136.03万元。</w:t>
      </w:r>
      <w:r>
        <w:rPr>
          <w:rFonts w:ascii="仿宋_GB2312" w:hAnsi="仿宋_GB2312" w:eastAsia="仿宋_GB2312"/>
          <w:b/>
          <w:sz w:val="32"/>
        </w:rPr>
        <w:t>财政拨款支出总计1,209.85万元，</w:t>
      </w:r>
      <w:r>
        <w:rPr>
          <w:rFonts w:ascii="仿宋_GB2312" w:hAnsi="仿宋_GB2312" w:eastAsia="仿宋_GB2312"/>
          <w:b w:val="0"/>
          <w:sz w:val="32"/>
        </w:rPr>
        <w:t>其中：年末财政拨款结转和结余73.82万元，本年财政拨款支出1,136.03万元。</w:t>
      </w:r>
    </w:p>
    <w:p w14:paraId="6A62796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318.59万元，下降20.84%，主要原因是：本年减少托里县金都绿城廉租住房建设项目耕地占用税项目、托里县人民政府办公室用于皮山县地震救灾捐款及日常办公项目用于维修维护及办公设备购置项目支出，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1,063.14万元，决算数1,209.85万元，预决算差异率13.80%，主要原因是：年中追加人员工资、社保、公积金基数调增部分资金；年中追加托里县人民政府聘请政府法律顾问、保障政府行政行为合法有效项目经费，导致预决算存在差异。</w:t>
      </w:r>
    </w:p>
    <w:p w14:paraId="2244C6C8">
      <w:pPr>
        <w:spacing w:line="640" w:lineRule="exact"/>
        <w:ind w:firstLine="640"/>
        <w:jc w:val="both"/>
        <w:outlineLvl w:val="2"/>
      </w:pPr>
      <w:r>
        <w:rPr>
          <w:rFonts w:ascii="黑体" w:hAnsi="黑体" w:eastAsia="黑体"/>
          <w:sz w:val="32"/>
        </w:rPr>
        <w:t>五、一般公共预算财政拨款支出决算情况说明</w:t>
      </w:r>
    </w:p>
    <w:p w14:paraId="24303F05">
      <w:pPr>
        <w:spacing w:line="640" w:lineRule="exact"/>
        <w:ind w:firstLine="640"/>
        <w:jc w:val="both"/>
        <w:outlineLvl w:val="3"/>
      </w:pPr>
      <w:r>
        <w:rPr>
          <w:rFonts w:ascii="楷体_GB2312" w:hAnsi="楷体_GB2312" w:eastAsia="楷体_GB2312"/>
          <w:b/>
          <w:sz w:val="32"/>
        </w:rPr>
        <w:t>（一）一般公共预算财政拨款支出决算总体情况</w:t>
      </w:r>
    </w:p>
    <w:p w14:paraId="2A6375AC">
      <w:pPr>
        <w:spacing w:line="580" w:lineRule="exact"/>
        <w:ind w:firstLine="640"/>
        <w:jc w:val="both"/>
      </w:pPr>
      <w:r>
        <w:rPr>
          <w:rFonts w:ascii="仿宋_GB2312" w:hAnsi="仿宋_GB2312" w:eastAsia="仿宋_GB2312"/>
          <w:b/>
          <w:sz w:val="32"/>
        </w:rPr>
        <w:t>2024年度一般公共预算财政拨款支出1,136.03万元，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318.59万元，下降21.90%，主要原因是：本年减少托里县金都绿城廉租住房建设项目耕地占用税项目、托里县人民政府办公室用于皮山县地震救灾捐款及日常办公项目用于维修维护及办公设备购置项目支出，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1,063.14万元，决算数1,136.03万元，预决算差异率6.86%，主要原因是：年中追加人员工资、社保、公积金基数调增部分资金；年中追加托里县人民政府聘请政府法律顾问、保障政府行政行为合法有效项目经费，导致预决算存在差异。</w:t>
      </w:r>
    </w:p>
    <w:p w14:paraId="77BE3145">
      <w:pPr>
        <w:spacing w:line="640" w:lineRule="exact"/>
        <w:ind w:firstLine="640"/>
        <w:jc w:val="both"/>
        <w:outlineLvl w:val="3"/>
      </w:pPr>
      <w:r>
        <w:rPr>
          <w:rFonts w:ascii="楷体_GB2312" w:hAnsi="楷体_GB2312" w:eastAsia="楷体_GB2312"/>
          <w:b/>
          <w:sz w:val="32"/>
        </w:rPr>
        <w:t>（二）一般公共预算财政拨款支出决算结构情况</w:t>
      </w:r>
    </w:p>
    <w:p w14:paraId="21747901">
      <w:pPr>
        <w:spacing w:line="580" w:lineRule="exact"/>
        <w:ind w:firstLine="640"/>
        <w:jc w:val="both"/>
      </w:pPr>
      <w:r>
        <w:rPr>
          <w:rFonts w:ascii="仿宋_GB2312" w:hAnsi="仿宋_GB2312" w:eastAsia="仿宋_GB2312"/>
          <w:b w:val="0"/>
          <w:sz w:val="32"/>
        </w:rPr>
        <w:t>1.一般公共服务支出(类)850.24万元,占74.84%。</w:t>
      </w:r>
    </w:p>
    <w:p w14:paraId="082BD216">
      <w:pPr>
        <w:spacing w:line="580" w:lineRule="exact"/>
        <w:ind w:firstLine="640"/>
        <w:jc w:val="both"/>
      </w:pPr>
      <w:r>
        <w:rPr>
          <w:rFonts w:ascii="仿宋_GB2312" w:hAnsi="仿宋_GB2312" w:eastAsia="仿宋_GB2312"/>
          <w:b w:val="0"/>
          <w:sz w:val="32"/>
        </w:rPr>
        <w:t>2.社会保障和就业支出(类)191.95万元,占16.90%。</w:t>
      </w:r>
    </w:p>
    <w:p w14:paraId="09975B40">
      <w:pPr>
        <w:spacing w:line="580" w:lineRule="exact"/>
        <w:ind w:firstLine="640"/>
        <w:jc w:val="both"/>
      </w:pPr>
      <w:r>
        <w:rPr>
          <w:rFonts w:ascii="仿宋_GB2312" w:hAnsi="仿宋_GB2312" w:eastAsia="仿宋_GB2312"/>
          <w:b w:val="0"/>
          <w:sz w:val="32"/>
        </w:rPr>
        <w:t>3.卫生健康支出(类)36.49万元,占3.21%。</w:t>
      </w:r>
    </w:p>
    <w:p w14:paraId="63C6BA26">
      <w:pPr>
        <w:spacing w:line="580" w:lineRule="exact"/>
        <w:ind w:firstLine="640"/>
        <w:jc w:val="both"/>
      </w:pPr>
      <w:r>
        <w:rPr>
          <w:rFonts w:ascii="仿宋_GB2312" w:hAnsi="仿宋_GB2312" w:eastAsia="仿宋_GB2312"/>
          <w:b w:val="0"/>
          <w:sz w:val="32"/>
        </w:rPr>
        <w:t>4.住房保障支出(类)57.34万元,占5.05%。</w:t>
      </w:r>
    </w:p>
    <w:p w14:paraId="01A5B589">
      <w:pPr>
        <w:spacing w:line="640" w:lineRule="exact"/>
        <w:ind w:firstLine="640"/>
        <w:jc w:val="both"/>
        <w:outlineLvl w:val="3"/>
      </w:pPr>
      <w:r>
        <w:rPr>
          <w:rFonts w:ascii="楷体_GB2312" w:hAnsi="楷体_GB2312" w:eastAsia="楷体_GB2312"/>
          <w:b/>
          <w:sz w:val="32"/>
        </w:rPr>
        <w:t>（三）一般公共预算财政拨款支出决算具体情况</w:t>
      </w:r>
    </w:p>
    <w:p w14:paraId="618DCA16">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834.24万元，比上年决算增加67.84万元，增长8.85%,主要原因是：本年在职人员工资调增，补发2017年全年及2020年半年绩效工资，导致相关人员经费较上年有所增加。</w:t>
      </w:r>
    </w:p>
    <w:p w14:paraId="021475A2">
      <w:pPr>
        <w:spacing w:line="580" w:lineRule="exact"/>
        <w:ind w:firstLine="640"/>
        <w:jc w:val="both"/>
      </w:pPr>
      <w:r>
        <w:rPr>
          <w:rFonts w:ascii="仿宋_GB2312" w:hAnsi="仿宋_GB2312" w:eastAsia="仿宋_GB2312"/>
          <w:b w:val="0"/>
          <w:sz w:val="32"/>
        </w:rPr>
        <w:t>2.一般公共服务支出(类)政府办公厅（室）及相关机构事务(款)一般行政管理事务(项):支出决算数为0.00万元，比上年决算减少16.77万元，下降100.00%,主要原因是：本年未安排托里县人民政府办公室用于维修维护及办公设备购置项目，导致相关支出较上年减少。</w:t>
      </w:r>
    </w:p>
    <w:p w14:paraId="2F17206C">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16.00万元，比上年决算减少286.67万元，下降94.71%,主要原因是：本年减少托里县人民政府办公室用于皮山县地震救灾捐款及日常办公项目、托里县金都绿城廉租住房建设项目耕地占用税项目，导致相关支出较上年减少。</w:t>
      </w:r>
    </w:p>
    <w:p w14:paraId="190CF097">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4.社会保障和就业支出(类)行政事业单位养老支出(款)行政单位离退休(项):支出决算数为109.39万元，比上年决算减少90.07万元，下降45.16%,主要原因是：本年退休人员减少，行政单位离退休经费较上年减少。</w:t>
      </w:r>
    </w:p>
    <w:p w14:paraId="75FA9358">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70.95万元，比上年决算增加8.90万元，增长14.34%,主要原因是：本年在职人员工资基数调增，养老缴费基数上涨，相应支出增加。</w:t>
      </w:r>
    </w:p>
    <w:p w14:paraId="24A6F925">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11.61万元，比上年决算减少10.39万元，下降47.23%,主要原因是：本年新增退休人员较上年减少，职业年金缴费较上年减少。</w:t>
      </w:r>
    </w:p>
    <w:p w14:paraId="224ADC5C">
      <w:pPr>
        <w:spacing w:line="580" w:lineRule="exact"/>
        <w:ind w:firstLine="640"/>
        <w:jc w:val="both"/>
      </w:pPr>
      <w:r>
        <w:rPr>
          <w:rFonts w:ascii="仿宋_GB2312" w:hAnsi="仿宋_GB2312" w:eastAsia="仿宋_GB2312"/>
          <w:b w:val="0"/>
          <w:sz w:val="32"/>
        </w:rPr>
        <w:t>7.卫生健康支出(类)行政事业单位医疗(款)行政单位医疗(项):支出决算数为29.49万元，比上年决算增加1.58万元，增长5.66%,主要原因是：本年在职人员工资基数调增，医疗缴费基数上涨，相应支出增加。</w:t>
      </w:r>
    </w:p>
    <w:p w14:paraId="7287A00E">
      <w:pPr>
        <w:spacing w:line="580" w:lineRule="exact"/>
        <w:ind w:firstLine="640"/>
        <w:jc w:val="both"/>
      </w:pPr>
      <w:r>
        <w:rPr>
          <w:rFonts w:ascii="仿宋_GB2312" w:hAnsi="仿宋_GB2312" w:eastAsia="仿宋_GB2312"/>
          <w:b w:val="0"/>
          <w:sz w:val="32"/>
        </w:rPr>
        <w:t>8.卫生健康支出(类)行政事业单位医疗(款)公务员医疗补助(项):支出决算数为7.00万元，比上年决算减少0.28万元，下降3.85%,主要原因是：本年在职人员减少，公务员医疗补助较上年减少。</w:t>
      </w:r>
    </w:p>
    <w:p w14:paraId="4C2A59E6">
      <w:pPr>
        <w:spacing w:line="580" w:lineRule="exact"/>
        <w:ind w:firstLine="640"/>
        <w:jc w:val="both"/>
      </w:pPr>
      <w:r>
        <w:rPr>
          <w:rFonts w:ascii="仿宋_GB2312" w:hAnsi="仿宋_GB2312" w:eastAsia="仿宋_GB2312"/>
          <w:b w:val="0"/>
          <w:sz w:val="32"/>
        </w:rPr>
        <w:t>9.住房保障支出(类)住房改革支出(款)住房公积金(项):支出决算数为57.34万元，比上年决算增加7.27万元，增长14.52%,主要原因是：本年在职人员工资基数调增，公积金缴费基数上涨，相应支出增加。</w:t>
      </w:r>
    </w:p>
    <w:p w14:paraId="77375E8E">
      <w:pPr>
        <w:spacing w:line="640" w:lineRule="exact"/>
        <w:ind w:firstLine="640"/>
        <w:jc w:val="both"/>
        <w:outlineLvl w:val="2"/>
      </w:pPr>
      <w:r>
        <w:rPr>
          <w:rFonts w:ascii="黑体" w:hAnsi="黑体" w:eastAsia="黑体"/>
          <w:sz w:val="32"/>
        </w:rPr>
        <w:t>六、一般公共预算财政拨款基本支出决算情况说明</w:t>
      </w:r>
    </w:p>
    <w:p w14:paraId="79EF5A8C">
      <w:pPr>
        <w:spacing w:line="580" w:lineRule="exact"/>
        <w:ind w:firstLine="640"/>
        <w:jc w:val="both"/>
      </w:pPr>
      <w:r>
        <w:rPr>
          <w:rFonts w:ascii="仿宋_GB2312" w:hAnsi="仿宋_GB2312" w:eastAsia="仿宋_GB2312"/>
          <w:b w:val="0"/>
          <w:sz w:val="32"/>
        </w:rPr>
        <w:t>2024年度一般公共预算财政拨款基本支出1,120.03万元，其中：</w:t>
      </w:r>
      <w:r>
        <w:rPr>
          <w:rFonts w:ascii="仿宋_GB2312" w:hAnsi="仿宋_GB2312" w:eastAsia="仿宋_GB2312"/>
          <w:b/>
          <w:sz w:val="32"/>
        </w:rPr>
        <w:t>人员经费904.53万元，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3BBD30FD">
      <w:pPr>
        <w:spacing w:line="580" w:lineRule="exact"/>
        <w:ind w:firstLine="640"/>
        <w:jc w:val="both"/>
      </w:pPr>
      <w:r>
        <w:rPr>
          <w:rFonts w:ascii="仿宋_GB2312" w:hAnsi="仿宋_GB2312" w:eastAsia="仿宋_GB2312"/>
          <w:b/>
          <w:sz w:val="32"/>
        </w:rPr>
        <w:t>公用经费215.49万元，</w:t>
      </w:r>
      <w:r>
        <w:rPr>
          <w:rFonts w:ascii="仿宋_GB2312" w:hAnsi="仿宋_GB2312" w:eastAsia="仿宋_GB2312"/>
          <w:b w:val="0"/>
          <w:sz w:val="32"/>
        </w:rPr>
        <w:t>包括：办公费、印刷费、水费、邮电费、取暖费、差旅费、维修（护）费、培训费、公务接待费、劳务费、工会经费、公务用车运行维护费、办公设备购置。</w:t>
      </w:r>
    </w:p>
    <w:p w14:paraId="0E04A4B9">
      <w:pPr>
        <w:spacing w:line="640" w:lineRule="exact"/>
        <w:ind w:firstLine="640"/>
        <w:jc w:val="both"/>
        <w:outlineLvl w:val="2"/>
      </w:pPr>
      <w:r>
        <w:rPr>
          <w:rFonts w:ascii="黑体" w:hAnsi="黑体" w:eastAsia="黑体"/>
          <w:sz w:val="32"/>
        </w:rPr>
        <w:t>七、政府性基金预算财政拨款收入支出决算情况说明</w:t>
      </w:r>
    </w:p>
    <w:p w14:paraId="1E8DDEC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77AEB9A">
      <w:pPr>
        <w:spacing w:line="640" w:lineRule="exact"/>
        <w:ind w:firstLine="640"/>
        <w:jc w:val="both"/>
        <w:outlineLvl w:val="2"/>
      </w:pPr>
      <w:r>
        <w:rPr>
          <w:rFonts w:ascii="黑体" w:hAnsi="黑体" w:eastAsia="黑体"/>
          <w:sz w:val="32"/>
        </w:rPr>
        <w:t>八、国有资本经营预算财政拨款收入支出决算情况说明</w:t>
      </w:r>
    </w:p>
    <w:p w14:paraId="6D9785D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376873">
      <w:pPr>
        <w:spacing w:line="640" w:lineRule="exact"/>
        <w:ind w:firstLine="640"/>
        <w:jc w:val="both"/>
        <w:outlineLvl w:val="2"/>
      </w:pPr>
      <w:r>
        <w:rPr>
          <w:rFonts w:ascii="黑体" w:hAnsi="黑体" w:eastAsia="黑体"/>
          <w:sz w:val="32"/>
        </w:rPr>
        <w:t>九、财政拨款“三公”经费支出决算情况说明</w:t>
      </w:r>
    </w:p>
    <w:p w14:paraId="0F181363">
      <w:pPr>
        <w:spacing w:line="580" w:lineRule="exact"/>
        <w:ind w:firstLine="640"/>
        <w:jc w:val="both"/>
      </w:pPr>
      <w:r>
        <w:rPr>
          <w:rFonts w:ascii="仿宋_GB2312" w:hAnsi="仿宋_GB2312" w:eastAsia="仿宋_GB2312"/>
          <w:b/>
          <w:sz w:val="32"/>
        </w:rPr>
        <w:t>2024年度财政拨款“三公”经费支出111.78万元，</w:t>
      </w:r>
      <w:r>
        <w:rPr>
          <w:rFonts w:ascii="仿宋_GB2312" w:hAnsi="仿宋_GB2312" w:eastAsia="仿宋_GB2312"/>
          <w:b w:val="0"/>
          <w:sz w:val="32"/>
        </w:rPr>
        <w:t>比上年减少17.49万元，下降13.53%，主要原因是：本年安排公务接待工作较上年减少，导致公务接待费较上年减少。严格落实中央八项规定精神，厉行节约，减少公务用车运行维护费。其中：因公出国（境）费支出0.00万元，占0.00%，比上年增加0.00万元，增长0.00%，主要原因是：2023年与2024年均未安排因公出国（境）费支出。公务用车购置及运行维护费支出104.49万元，占93.48%，比上年减少6.61万元，下降5.95%，主要原因是：严格落实中央八项规定精神，厉行节约，减少公务用车运行维护费。公务接待费支出7.29万元，占6.52%，比上年减少10.88万元，下降59.88%，主要原因是：本年安排公务接待工作较上年减少，导致公务接待费较上年减少。</w:t>
      </w:r>
    </w:p>
    <w:p w14:paraId="2A126015">
      <w:pPr>
        <w:spacing w:line="580" w:lineRule="exact"/>
        <w:ind w:firstLine="640"/>
        <w:jc w:val="both"/>
      </w:pPr>
      <w:r>
        <w:rPr>
          <w:rFonts w:ascii="仿宋_GB2312" w:hAnsi="仿宋_GB2312" w:eastAsia="仿宋_GB2312"/>
          <w:b/>
          <w:sz w:val="32"/>
        </w:rPr>
        <w:t>具体情况如下：</w:t>
      </w:r>
    </w:p>
    <w:p w14:paraId="68793E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873D036">
      <w:pPr>
        <w:spacing w:line="580" w:lineRule="exact"/>
        <w:ind w:firstLine="640"/>
        <w:jc w:val="both"/>
      </w:pPr>
      <w:r>
        <w:rPr>
          <w:rFonts w:ascii="仿宋_GB2312" w:hAnsi="仿宋_GB2312" w:eastAsia="仿宋_GB2312"/>
          <w:b w:val="0"/>
          <w:sz w:val="32"/>
        </w:rPr>
        <w:t>公务用车购置及运行维护费104.49万元，其中：公务用车购置费0.00万元，公务用车运行维护费104.49万元。公务用车运行维护费开支内容包括车辆加油</w:t>
      </w:r>
      <w:r>
        <w:rPr>
          <w:rFonts w:hint="eastAsia" w:ascii="仿宋_GB2312" w:hAnsi="仿宋_GB2312" w:eastAsia="仿宋_GB2312"/>
          <w:b w:val="0"/>
          <w:sz w:val="32"/>
          <w:lang w:val="en-US" w:eastAsia="zh-CN"/>
        </w:rPr>
        <w:t>费</w:t>
      </w:r>
      <w:r>
        <w:rPr>
          <w:rFonts w:ascii="仿宋_GB2312" w:hAnsi="仿宋_GB2312" w:eastAsia="仿宋_GB2312"/>
          <w:b w:val="0"/>
          <w:sz w:val="32"/>
        </w:rPr>
        <w:t>、保险</w:t>
      </w:r>
      <w:r>
        <w:rPr>
          <w:rFonts w:hint="eastAsia" w:ascii="仿宋_GB2312" w:hAnsi="仿宋_GB2312" w:eastAsia="仿宋_GB2312"/>
          <w:b w:val="0"/>
          <w:sz w:val="32"/>
          <w:lang w:val="en-US" w:eastAsia="zh-CN"/>
        </w:rPr>
        <w:t>费</w:t>
      </w:r>
      <w:r>
        <w:rPr>
          <w:rFonts w:ascii="仿宋_GB2312" w:hAnsi="仿宋_GB2312" w:eastAsia="仿宋_GB2312"/>
          <w:b w:val="0"/>
          <w:sz w:val="32"/>
        </w:rPr>
        <w:t>、维修</w:t>
      </w:r>
      <w:r>
        <w:rPr>
          <w:rFonts w:hint="eastAsia" w:ascii="仿宋_GB2312" w:hAnsi="仿宋_GB2312" w:eastAsia="仿宋_GB2312"/>
          <w:b w:val="0"/>
          <w:sz w:val="32"/>
          <w:lang w:val="en-US" w:eastAsia="zh-CN"/>
        </w:rPr>
        <w:t>费</w:t>
      </w:r>
      <w:r>
        <w:rPr>
          <w:rFonts w:ascii="仿宋_GB2312" w:hAnsi="仿宋_GB2312" w:eastAsia="仿宋_GB2312"/>
          <w:b w:val="0"/>
          <w:sz w:val="32"/>
        </w:rPr>
        <w:t>、过路</w:t>
      </w:r>
      <w:r>
        <w:rPr>
          <w:rFonts w:hint="eastAsia" w:ascii="仿宋_GB2312" w:hAnsi="仿宋_GB2312" w:eastAsia="仿宋_GB2312"/>
          <w:b w:val="0"/>
          <w:sz w:val="32"/>
          <w:lang w:val="en-US" w:eastAsia="zh-CN"/>
        </w:rPr>
        <w:t>费、</w:t>
      </w:r>
      <w:r>
        <w:rPr>
          <w:rFonts w:ascii="仿宋_GB2312" w:hAnsi="仿宋_GB2312" w:eastAsia="仿宋_GB2312"/>
          <w:b w:val="0"/>
          <w:sz w:val="32"/>
        </w:rPr>
        <w:t>车辆审验费</w:t>
      </w:r>
      <w:r>
        <w:rPr>
          <w:rFonts w:hint="eastAsia" w:ascii="仿宋_GB2312" w:hAnsi="仿宋_GB2312" w:eastAsia="仿宋_GB2312"/>
          <w:b w:val="0"/>
          <w:sz w:val="32"/>
          <w:lang w:val="en-US" w:eastAsia="zh-CN"/>
        </w:rPr>
        <w:t>等</w:t>
      </w:r>
      <w:r>
        <w:rPr>
          <w:rFonts w:ascii="仿宋_GB2312" w:hAnsi="仿宋_GB2312" w:eastAsia="仿宋_GB2312"/>
          <w:b w:val="0"/>
          <w:sz w:val="32"/>
        </w:rPr>
        <w:t>。公务用车购置数0辆，公务用车保有量14辆。国有资产占用情况中固定资产车辆14辆，与公务用车保有量差异原因是：本单位固定资产车辆与公务用车保有量一致无差异。</w:t>
      </w:r>
    </w:p>
    <w:p w14:paraId="162CD091">
      <w:pPr>
        <w:spacing w:line="580" w:lineRule="exact"/>
        <w:ind w:firstLine="640"/>
        <w:jc w:val="both"/>
      </w:pPr>
      <w:r>
        <w:rPr>
          <w:rFonts w:ascii="仿宋_GB2312" w:hAnsi="仿宋_GB2312" w:eastAsia="仿宋_GB2312"/>
          <w:b w:val="0"/>
          <w:sz w:val="32"/>
        </w:rPr>
        <w:t>公务接待费7.29万元，开支内容包括因上级领导、督导组检查工作，接待上级领导、督导组产生的就餐费。单位全年安排的国内公务接待50批次，600人次。</w:t>
      </w:r>
    </w:p>
    <w:p w14:paraId="6D81E91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111.78万元，决算数111.78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104.49万元，决算数104.49万元，预决算差异率0.00%，主要原因是：严格按照预算执行，预决算无差异。公务接待费全年预算数7.29万元，决算数7.29万元，预决算差异率0.00%，主要原因是：严格按照预算执行，预决算无差异。</w:t>
      </w:r>
    </w:p>
    <w:p w14:paraId="5A2D0DD8">
      <w:pPr>
        <w:spacing w:line="640" w:lineRule="exact"/>
        <w:ind w:firstLine="640"/>
        <w:jc w:val="both"/>
        <w:outlineLvl w:val="2"/>
      </w:pPr>
      <w:r>
        <w:rPr>
          <w:rFonts w:ascii="黑体" w:hAnsi="黑体" w:eastAsia="黑体"/>
          <w:sz w:val="32"/>
        </w:rPr>
        <w:t>十、其他重要事项的情况说明</w:t>
      </w:r>
    </w:p>
    <w:p w14:paraId="517BA238">
      <w:pPr>
        <w:spacing w:line="640" w:lineRule="exact"/>
        <w:ind w:firstLine="640"/>
        <w:jc w:val="both"/>
        <w:outlineLvl w:val="3"/>
      </w:pPr>
      <w:r>
        <w:rPr>
          <w:rFonts w:ascii="楷体_GB2312" w:hAnsi="楷体_GB2312" w:eastAsia="楷体_GB2312"/>
          <w:b/>
          <w:sz w:val="32"/>
        </w:rPr>
        <w:t>（一）机关运行经费及公用经费支出情况</w:t>
      </w:r>
    </w:p>
    <w:p w14:paraId="52BCEFC3">
      <w:pPr>
        <w:spacing w:line="580" w:lineRule="exact"/>
        <w:ind w:firstLine="640"/>
        <w:jc w:val="both"/>
      </w:pPr>
      <w:r>
        <w:rPr>
          <w:rFonts w:ascii="仿宋_GB2312" w:hAnsi="仿宋_GB2312" w:eastAsia="仿宋_GB2312"/>
          <w:b w:val="0"/>
          <w:sz w:val="32"/>
        </w:rPr>
        <w:t>2024年度托里县人民政府办公室（行政单位和参照公务员法管理事业单位）机关运行经费支出215.49万元，比上年减少41.38万元，下降16.11%，主要原因是：本年减少公务接待费、劳务费、公务用车运行维护费等，导致机关运行经费支出减少。</w:t>
      </w:r>
    </w:p>
    <w:p w14:paraId="3F0BAF99">
      <w:pPr>
        <w:spacing w:line="640" w:lineRule="exact"/>
        <w:ind w:firstLine="640"/>
        <w:jc w:val="both"/>
        <w:outlineLvl w:val="3"/>
      </w:pPr>
      <w:r>
        <w:rPr>
          <w:rFonts w:ascii="楷体_GB2312" w:hAnsi="楷体_GB2312" w:eastAsia="楷体_GB2312"/>
          <w:b/>
          <w:sz w:val="32"/>
        </w:rPr>
        <w:t>（二）政府采购情况</w:t>
      </w:r>
    </w:p>
    <w:p w14:paraId="69AE8B65">
      <w:pPr>
        <w:spacing w:line="580" w:lineRule="exact"/>
        <w:ind w:firstLine="640"/>
        <w:jc w:val="both"/>
      </w:pPr>
      <w:r>
        <w:rPr>
          <w:rFonts w:ascii="仿宋_GB2312" w:hAnsi="仿宋_GB2312" w:eastAsia="仿宋_GB2312"/>
          <w:b w:val="0"/>
          <w:sz w:val="32"/>
        </w:rPr>
        <w:t>2024年度政府采购支出总额138.55万元，其中：政府采购货物支出37.34万元、政府采购工程支出1.88万元、政府采购服务支出99.34万元。</w:t>
      </w:r>
    </w:p>
    <w:p w14:paraId="350CAF5F">
      <w:pPr>
        <w:spacing w:line="580" w:lineRule="exact"/>
        <w:ind w:firstLine="640"/>
        <w:jc w:val="both"/>
      </w:pPr>
      <w:r>
        <w:rPr>
          <w:rFonts w:ascii="仿宋_GB2312" w:hAnsi="仿宋_GB2312" w:eastAsia="仿宋_GB2312"/>
          <w:b w:val="0"/>
          <w:sz w:val="32"/>
        </w:rPr>
        <w:t>授予中小企业合同金额134.33万元，占政府采购支出总额的96.95%，其中：授予小微企业合同金额134.33万元，占政府采购支出总额的96.95%。</w:t>
      </w:r>
    </w:p>
    <w:p w14:paraId="4346D587">
      <w:pPr>
        <w:spacing w:line="640" w:lineRule="exact"/>
        <w:ind w:firstLine="640"/>
        <w:jc w:val="both"/>
        <w:outlineLvl w:val="3"/>
      </w:pPr>
      <w:r>
        <w:rPr>
          <w:rFonts w:ascii="楷体_GB2312" w:hAnsi="楷体_GB2312" w:eastAsia="楷体_GB2312"/>
          <w:b/>
          <w:sz w:val="32"/>
        </w:rPr>
        <w:t>（三）国有资产占用情况说明</w:t>
      </w:r>
    </w:p>
    <w:p w14:paraId="34B8E618">
      <w:pPr>
        <w:spacing w:line="580" w:lineRule="exact"/>
        <w:ind w:firstLine="640"/>
        <w:jc w:val="both"/>
      </w:pPr>
      <w:r>
        <w:rPr>
          <w:rFonts w:ascii="仿宋_GB2312" w:hAnsi="仿宋_GB2312" w:eastAsia="仿宋_GB2312"/>
          <w:b w:val="0"/>
          <w:sz w:val="32"/>
        </w:rPr>
        <w:t>截至2024年12月31日，房屋0.00平方米，价值0.00万元。车辆14辆，价值313.81万元，其中：副部（省）级及以上领导用车0辆、主要负责人用车0辆、机要通信用车0辆、应急保障用车0辆、执法执勤用车0辆、特种专业技术用车0辆、离退休干部服务用车0辆、其他用车14辆，其他用车主要是：一般公务用车。单价100万元（含）以上设备（不含车辆）0台（套）。</w:t>
      </w:r>
    </w:p>
    <w:p w14:paraId="4D0FC829">
      <w:pPr>
        <w:spacing w:line="640" w:lineRule="exact"/>
        <w:ind w:firstLine="640"/>
        <w:jc w:val="both"/>
        <w:outlineLvl w:val="2"/>
      </w:pPr>
      <w:r>
        <w:rPr>
          <w:rFonts w:ascii="黑体" w:hAnsi="黑体" w:eastAsia="黑体"/>
          <w:sz w:val="32"/>
        </w:rPr>
        <w:t>十一、预算绩效的情况说明</w:t>
      </w:r>
    </w:p>
    <w:p w14:paraId="0F6E203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1,209.85万元，实际执行总额1,136.03万元；预算绩效评价项目1个，全年预算数16.00万元，全年执行数16.00万元。预算绩效管理取得的成效：一是强化责任意识：预算绩效管理要求各级政府、各科室承担绩效管理主体责任，通过“花钱要问效，无效必问责”的原则，强化了责任意识，推动了政府效能提升。二是提升公共服务质量。通过预算绩效管理，可以推动公共服务质量的提升，确保财政资金能够以更低的成本提供更加充足和优质的公共服务，提升人民群众满意度。发现的问题及原因：一是预算绩效观念不深入，思想有误区。“重分配、轻管理、重支出、轻绩效”的思想还存在；二是绩效管理专业人员匮乏。绩效管理是一项系统工作，需要专业人才，单位大多是财务人员兼任绩效管理人员，工作难以深入推进。下一步改进措施：一是加强宣传引导，强化绩效观念。加强《行政单位会计制度</w:t>
      </w:r>
      <w:r>
        <w:rPr>
          <w:rFonts w:hint="eastAsia" w:ascii="仿宋_GB2312" w:hAnsi="仿宋_GB2312" w:eastAsia="仿宋_GB2312"/>
          <w:b w:val="0"/>
          <w:sz w:val="32"/>
          <w:lang w:eastAsia="zh-CN"/>
        </w:rPr>
        <w:t>》《</w:t>
      </w:r>
      <w:r>
        <w:rPr>
          <w:rFonts w:ascii="仿宋_GB2312" w:hAnsi="仿宋_GB2312" w:eastAsia="仿宋_GB2312"/>
          <w:b w:val="0"/>
          <w:sz w:val="32"/>
        </w:rPr>
        <w:t>行政单位会计准则》等学习培训，提高单位领导及工作人员的绩效观念。二是加强队伍建设，提高管理水平。积极选派单位分管领导及工作人员参加绩效工作相关培训，不断提高绩效管理水平。具</w:t>
      </w:r>
      <w:bookmarkStart w:id="0" w:name="_GoBack"/>
      <w:r>
        <w:rPr>
          <w:rFonts w:ascii="仿宋_GB2312" w:hAnsi="仿宋_GB2312" w:eastAsia="仿宋_GB2312"/>
          <w:b w:val="0"/>
          <w:sz w:val="32"/>
        </w:rPr>
        <w:t>体附整体支出绩效自评表，项目支出绩效自评表和评价报告。</w:t>
      </w:r>
    </w:p>
    <w:bookmarkEnd w:id="0"/>
    <w:p w14:paraId="7C30F88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B1D1D11">
        <w:tblPrEx>
          <w:tblCellMar>
            <w:top w:w="0" w:type="dxa"/>
            <w:left w:w="108" w:type="dxa"/>
            <w:bottom w:w="0" w:type="dxa"/>
            <w:right w:w="108" w:type="dxa"/>
          </w:tblCellMar>
        </w:tblPrEx>
        <w:tc>
          <w:tcPr>
            <w:tcW w:w="8840" w:type="dxa"/>
            <w:gridSpan w:val="8"/>
            <w:vAlign w:val="center"/>
          </w:tcPr>
          <w:p w14:paraId="6EA3ECE8">
            <w:pPr>
              <w:jc w:val="center"/>
            </w:pPr>
            <w:r>
              <w:rPr>
                <w:rFonts w:ascii="宋体" w:hAnsi="宋体" w:eastAsia="宋体"/>
                <w:sz w:val="24"/>
              </w:rPr>
              <w:t>单位整体支出绩效自评表</w:t>
            </w:r>
          </w:p>
        </w:tc>
      </w:tr>
      <w:tr w14:paraId="4E08E049">
        <w:tblPrEx>
          <w:tblCellMar>
            <w:top w:w="0" w:type="dxa"/>
            <w:left w:w="108" w:type="dxa"/>
            <w:bottom w:w="0" w:type="dxa"/>
            <w:right w:w="108" w:type="dxa"/>
          </w:tblCellMar>
        </w:tblPrEx>
        <w:tc>
          <w:tcPr>
            <w:tcW w:w="8840" w:type="dxa"/>
            <w:gridSpan w:val="8"/>
            <w:vAlign w:val="center"/>
          </w:tcPr>
          <w:p w14:paraId="400485C1">
            <w:pPr>
              <w:jc w:val="center"/>
            </w:pPr>
            <w:r>
              <w:rPr>
                <w:rFonts w:ascii="宋体" w:hAnsi="宋体" w:eastAsia="宋体"/>
                <w:sz w:val="24"/>
              </w:rPr>
              <w:t>（2024年度）</w:t>
            </w:r>
          </w:p>
        </w:tc>
      </w:tr>
      <w:tr w14:paraId="78A85C6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CD855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EDB128">
            <w:pPr>
              <w:jc w:val="center"/>
            </w:pPr>
            <w:r>
              <w:rPr>
                <w:rFonts w:ascii="宋体" w:hAnsi="宋体" w:eastAsia="宋体"/>
                <w:sz w:val="16"/>
              </w:rPr>
              <w:t>托里县人民政府办公室</w:t>
            </w:r>
          </w:p>
        </w:tc>
      </w:tr>
      <w:tr w14:paraId="30D2013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D8F7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592A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4794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E4908">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FD09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AFA8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60AD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A5DD4B">
            <w:pPr>
              <w:jc w:val="center"/>
            </w:pPr>
            <w:r>
              <w:rPr>
                <w:rFonts w:ascii="宋体" w:hAnsi="宋体" w:eastAsia="宋体"/>
                <w:sz w:val="16"/>
              </w:rPr>
              <w:t>得分</w:t>
            </w:r>
          </w:p>
        </w:tc>
      </w:tr>
      <w:tr w14:paraId="62C435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E90F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49E8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DF032">
            <w:pPr>
              <w:jc w:val="center"/>
            </w:pPr>
            <w:r>
              <w:rPr>
                <w:rFonts w:ascii="宋体" w:hAnsi="宋体" w:eastAsia="宋体"/>
                <w:sz w:val="16"/>
              </w:rPr>
              <w:t>1,063.14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586B42">
            <w:pPr>
              <w:jc w:val="center"/>
            </w:pPr>
            <w:r>
              <w:rPr>
                <w:rFonts w:ascii="宋体" w:hAnsi="宋体" w:eastAsia="宋体"/>
                <w:sz w:val="16"/>
              </w:rPr>
              <w:t>1,209.85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A71A1">
            <w:pPr>
              <w:jc w:val="center"/>
            </w:pPr>
            <w:r>
              <w:rPr>
                <w:rFonts w:ascii="宋体" w:hAnsi="宋体" w:eastAsia="宋体"/>
                <w:sz w:val="16"/>
              </w:rPr>
              <w:t>1,136.03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B077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8DA70F">
            <w:pPr>
              <w:jc w:val="center"/>
            </w:pPr>
            <w:r>
              <w:rPr>
                <w:rFonts w:ascii="宋体" w:hAnsi="宋体" w:eastAsia="宋体"/>
                <w:sz w:val="16"/>
              </w:rPr>
              <w:t>93.90%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641D1">
            <w:pPr>
              <w:jc w:val="center"/>
            </w:pPr>
            <w:r>
              <w:rPr>
                <w:rFonts w:ascii="宋体" w:hAnsi="宋体" w:eastAsia="宋体"/>
                <w:sz w:val="16"/>
              </w:rPr>
              <w:t>9.39</w:t>
            </w:r>
          </w:p>
        </w:tc>
      </w:tr>
      <w:tr w14:paraId="064F462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9371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613FA">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192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4F4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258D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1D68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B43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2B72C4">
            <w:pPr>
              <w:jc w:val="center"/>
            </w:pPr>
            <w:r>
              <w:rPr>
                <w:rFonts w:ascii="宋体" w:hAnsi="宋体" w:eastAsia="宋体"/>
                <w:sz w:val="16"/>
              </w:rPr>
              <w:t>-</w:t>
            </w:r>
          </w:p>
        </w:tc>
      </w:tr>
      <w:tr w14:paraId="2993EA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FB6E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D605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11379">
            <w:pPr>
              <w:jc w:val="center"/>
            </w:pPr>
            <w:r>
              <w:rPr>
                <w:rFonts w:ascii="宋体" w:hAnsi="宋体" w:eastAsia="宋体"/>
                <w:sz w:val="16"/>
              </w:rPr>
              <w:t>1,063.14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6E32A">
            <w:pPr>
              <w:jc w:val="center"/>
            </w:pPr>
            <w:r>
              <w:rPr>
                <w:rFonts w:ascii="宋体" w:hAnsi="宋体" w:eastAsia="宋体"/>
                <w:sz w:val="16"/>
              </w:rPr>
              <w:t>1,209.85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3D383">
            <w:pPr>
              <w:jc w:val="center"/>
            </w:pPr>
            <w:r>
              <w:rPr>
                <w:rFonts w:ascii="宋体" w:hAnsi="宋体" w:eastAsia="宋体"/>
                <w:sz w:val="16"/>
              </w:rPr>
              <w:t>1,136.03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9507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905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CCC76">
            <w:pPr>
              <w:jc w:val="center"/>
            </w:pPr>
            <w:r>
              <w:rPr>
                <w:rFonts w:ascii="宋体" w:hAnsi="宋体" w:eastAsia="宋体"/>
                <w:sz w:val="16"/>
              </w:rPr>
              <w:t>-</w:t>
            </w:r>
          </w:p>
        </w:tc>
      </w:tr>
      <w:tr w14:paraId="66BA635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85C8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D8A2E">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18C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3F2E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ECDA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60B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043AD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07D92">
            <w:pPr>
              <w:jc w:val="center"/>
            </w:pPr>
            <w:r>
              <w:rPr>
                <w:rFonts w:ascii="宋体" w:hAnsi="宋体" w:eastAsia="宋体"/>
                <w:sz w:val="16"/>
              </w:rPr>
              <w:t>-</w:t>
            </w:r>
          </w:p>
        </w:tc>
      </w:tr>
      <w:tr w14:paraId="534E04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4063A">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1965A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9634FFC">
            <w:pPr>
              <w:jc w:val="center"/>
            </w:pPr>
            <w:r>
              <w:rPr>
                <w:rFonts w:ascii="宋体" w:hAnsi="宋体" w:eastAsia="宋体"/>
                <w:sz w:val="16"/>
              </w:rPr>
              <w:t>实际完成情况</w:t>
            </w:r>
          </w:p>
        </w:tc>
      </w:tr>
      <w:tr w14:paraId="41004F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138D0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7308B4">
            <w:pPr>
              <w:jc w:val="both"/>
            </w:pPr>
            <w:r>
              <w:rPr>
                <w:rFonts w:ascii="宋体" w:hAnsi="宋体" w:eastAsia="宋体"/>
                <w:sz w:val="16"/>
              </w:rPr>
              <w:t>（一）围绕自治区党委决策部署、自治区人民政府中心工作和地委、行署、县委、县人民政府工作要求，筹</w:t>
            </w:r>
            <w:r>
              <w:rPr>
                <w:rFonts w:hint="eastAsia" w:ascii="宋体" w:hAnsi="宋体"/>
                <w:sz w:val="16"/>
                <w:lang w:eastAsia="zh-CN"/>
              </w:rPr>
              <w:t>备和</w:t>
            </w:r>
            <w:r>
              <w:rPr>
                <w:rFonts w:ascii="宋体" w:hAnsi="宋体" w:eastAsia="宋体"/>
                <w:sz w:val="16"/>
              </w:rPr>
              <w:t>组织政府各类会议，协助政府领导组织实施会议决定事项。负责政府领导参加重大活动的组织、协调和安排。负责搜集政府领导参加各类重要活动的声像资料。（二）负责政府日常文件（电报）处理和日常事务工作，协助政府领导组织起草或审核以政府、政府办公室名义发的文件。（三）研究县各部门和各乡（镇）人民政府请示政府的事项，提出审核或处理意见，报政府领导审定。（四）督促检查党中央、国务院和自治区党委、自治区人民政府、地委、行署以及县委、县人民政府重要文件、重要会议和领导同志重要批示、交办事项贯彻落实情况并跟踪调研，及时向政府领导同志报告。督促12345政务服务便民热线工单办理。（五）负责人大代表的建议意见及政协委员提案的办理和答复工作。（六）负责政府办公室的政务值班和日常对外联络、协调及政务活动工作；指导、检查政府各单位（部门）和乡（镇）人民政府政务值班、应急值守；负责政府领导参与各类突发事件应急处置时的信息报送、服务保障。负责全县政府系统电子政务的组织、规划、协调和指导工作。（七）负责指导监督县政务公开和协调推进政府职能转变和“放管服”改革工作、县政务公开工作。（八）根据政府工作部署和政府领导指示，组织开展专题调查研究、收集信息，及时反映情况，提出建议。(九)负责政府及办公室制发的规范性文件、决策决定规范性审查工作；负责协调法律顾问做好机关项目建设、资产处置等事宜的法律咨询和重要文件、重大合同审核审查；组织开展机关依法行政和法治宣传教育工作。（十）统筹、协调、组织县政府系统绩效考评工作。（十一）完成县委、县政府交办的其他任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DDF835">
            <w:pPr>
              <w:jc w:val="both"/>
            </w:pPr>
            <w:r>
              <w:rPr>
                <w:rFonts w:ascii="宋体" w:hAnsi="宋体" w:eastAsia="宋体"/>
                <w:sz w:val="16"/>
              </w:rPr>
              <w:t>1、用于保障单位</w:t>
            </w:r>
            <w:r>
              <w:rPr>
                <w:rFonts w:hint="eastAsia" w:ascii="宋体" w:hAnsi="宋体"/>
                <w:sz w:val="16"/>
                <w:lang w:val="en-US" w:eastAsia="zh-CN"/>
              </w:rPr>
              <w:t>人员</w:t>
            </w:r>
            <w:r>
              <w:rPr>
                <w:rFonts w:ascii="宋体" w:hAnsi="宋体" w:eastAsia="宋体"/>
                <w:sz w:val="16"/>
              </w:rPr>
              <w:t>工资、社保及公积金等的正常发放，促进托里县人民政府办公室各项事业的发展，提升为民服务能力；</w:t>
            </w:r>
            <w:r>
              <w:rPr>
                <w:rFonts w:ascii="宋体" w:hAnsi="宋体" w:eastAsia="宋体"/>
                <w:sz w:val="16"/>
              </w:rPr>
              <w:br w:type="textWrapping"/>
            </w:r>
            <w:r>
              <w:rPr>
                <w:rFonts w:ascii="宋体" w:hAnsi="宋体" w:eastAsia="宋体"/>
                <w:sz w:val="16"/>
              </w:rPr>
              <w:t>2、用于保障单位4533平方米办公室的冬季供暖和正常运转，保障13辆车的车辆运行维护，提高托里县人民政府办公室的运转效能。</w:t>
            </w:r>
            <w:r>
              <w:rPr>
                <w:rFonts w:ascii="宋体" w:hAnsi="宋体" w:eastAsia="宋体"/>
                <w:sz w:val="16"/>
              </w:rPr>
              <w:br w:type="textWrapping"/>
            </w:r>
            <w:r>
              <w:rPr>
                <w:rFonts w:ascii="宋体" w:hAnsi="宋体" w:eastAsia="宋体"/>
                <w:sz w:val="16"/>
              </w:rPr>
              <w:t>3、托里县信访局用于确保我县信访工作正常开展，确保信访工作“三不出”，努力把信访工作做实、做细，信访案件“三率”达到95%以上。有效化解社会矛盾纠纷，持续做好重点时期信访保障工作。</w:t>
            </w:r>
            <w:r>
              <w:rPr>
                <w:rFonts w:ascii="宋体" w:hAnsi="宋体" w:eastAsia="宋体"/>
                <w:sz w:val="16"/>
              </w:rPr>
              <w:br w:type="textWrapping"/>
            </w:r>
            <w:r>
              <w:rPr>
                <w:rFonts w:ascii="宋体" w:hAnsi="宋体" w:eastAsia="宋体"/>
                <w:sz w:val="16"/>
              </w:rPr>
              <w:t>4、保障政府日常文件（电报）处理和日常事务性工作，协助政府领导组织起草或审核以政府、政府办公室名义发的文件。</w:t>
            </w:r>
            <w:r>
              <w:rPr>
                <w:rFonts w:ascii="宋体" w:hAnsi="宋体" w:eastAsia="宋体"/>
                <w:sz w:val="16"/>
              </w:rPr>
              <w:br w:type="textWrapping"/>
            </w:r>
            <w:r>
              <w:rPr>
                <w:rFonts w:ascii="宋体" w:hAnsi="宋体" w:eastAsia="宋体"/>
                <w:sz w:val="16"/>
              </w:rPr>
              <w:t>5、保障政府会务工作，协助政府领导组织实施会议决定事项，负责政府领导参加重大活动的组织、协调和安排。</w:t>
            </w:r>
            <w:r>
              <w:rPr>
                <w:rFonts w:ascii="宋体" w:hAnsi="宋体" w:eastAsia="宋体"/>
                <w:sz w:val="16"/>
              </w:rPr>
              <w:br w:type="textWrapping"/>
            </w:r>
            <w:r>
              <w:rPr>
                <w:rFonts w:ascii="宋体" w:hAnsi="宋体" w:eastAsia="宋体"/>
                <w:sz w:val="16"/>
              </w:rPr>
              <w:t>6、强化统筹协调，高质量办文办会，推动提升机关运转效能。</w:t>
            </w:r>
            <w:r>
              <w:rPr>
                <w:rFonts w:ascii="宋体" w:hAnsi="宋体" w:eastAsia="宋体"/>
                <w:sz w:val="16"/>
              </w:rPr>
              <w:br w:type="textWrapping"/>
            </w:r>
            <w:r>
              <w:rPr>
                <w:rFonts w:ascii="宋体" w:hAnsi="宋体" w:eastAsia="宋体"/>
                <w:sz w:val="16"/>
              </w:rPr>
              <w:t>7、加强督促检查，疏通关键</w:t>
            </w:r>
            <w:r>
              <w:rPr>
                <w:rFonts w:hint="eastAsia" w:ascii="宋体" w:hAnsi="宋体"/>
                <w:sz w:val="16"/>
                <w:lang w:eastAsia="zh-CN"/>
              </w:rPr>
              <w:t>节点</w:t>
            </w:r>
            <w:r>
              <w:rPr>
                <w:rFonts w:ascii="宋体" w:hAnsi="宋体" w:eastAsia="宋体"/>
                <w:sz w:val="16"/>
              </w:rPr>
              <w:t>，全力推进重点工作任务落实</w:t>
            </w:r>
          </w:p>
        </w:tc>
      </w:tr>
      <w:tr w14:paraId="337CE66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609A9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4A5F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91D5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51E0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975231">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E6377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8C822B">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D3D4F">
            <w:pPr>
              <w:jc w:val="center"/>
            </w:pPr>
            <w:r>
              <w:rPr>
                <w:rFonts w:ascii="宋体" w:hAnsi="宋体" w:eastAsia="宋体"/>
                <w:sz w:val="16"/>
              </w:rPr>
              <w:t>得分</w:t>
            </w:r>
          </w:p>
        </w:tc>
      </w:tr>
      <w:tr w14:paraId="7AB05B0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C049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E754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8496C">
            <w:pPr>
              <w:jc w:val="center"/>
            </w:pPr>
            <w:r>
              <w:rPr>
                <w:rFonts w:ascii="宋体" w:hAnsi="宋体" w:eastAsia="宋体"/>
                <w:sz w:val="16"/>
              </w:rPr>
              <w:t>全年办文数量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857778">
            <w:pPr>
              <w:jc w:val="center"/>
            </w:pPr>
            <w:r>
              <w:rPr>
                <w:rFonts w:ascii="宋体" w:hAnsi="宋体" w:eastAsia="宋体"/>
                <w:sz w:val="16"/>
              </w:rPr>
              <w:t>&gt;=73份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5F1D5E">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574C6">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0038C">
            <w:pPr>
              <w:jc w:val="center"/>
            </w:pPr>
            <w:r>
              <w:rPr>
                <w:rFonts w:ascii="宋体" w:hAnsi="宋体" w:eastAsia="宋体"/>
                <w:sz w:val="16"/>
              </w:rPr>
              <w:t>73份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55C06">
            <w:pPr>
              <w:jc w:val="center"/>
            </w:pPr>
            <w:r>
              <w:rPr>
                <w:rFonts w:ascii="宋体" w:hAnsi="宋体" w:eastAsia="宋体"/>
                <w:sz w:val="16"/>
              </w:rPr>
              <w:t>30</w:t>
            </w:r>
          </w:p>
        </w:tc>
      </w:tr>
      <w:tr w14:paraId="0B60AC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BEC18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7773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BEB3F">
            <w:pPr>
              <w:jc w:val="center"/>
            </w:pPr>
            <w:r>
              <w:rPr>
                <w:rFonts w:ascii="宋体" w:hAnsi="宋体" w:eastAsia="宋体"/>
                <w:sz w:val="16"/>
              </w:rPr>
              <w:t>政府网站全年发布各类信息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F960D">
            <w:pPr>
              <w:jc w:val="center"/>
            </w:pPr>
            <w:r>
              <w:rPr>
                <w:rFonts w:ascii="宋体" w:hAnsi="宋体" w:eastAsia="宋体"/>
                <w:sz w:val="16"/>
              </w:rPr>
              <w:t>&gt;=2300条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5D969">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91A64">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97118">
            <w:pPr>
              <w:jc w:val="center"/>
            </w:pPr>
            <w:r>
              <w:rPr>
                <w:rFonts w:ascii="宋体" w:hAnsi="宋体" w:eastAsia="宋体"/>
                <w:sz w:val="16"/>
              </w:rPr>
              <w:t>2300条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BEEC60">
            <w:pPr>
              <w:jc w:val="center"/>
            </w:pPr>
            <w:r>
              <w:rPr>
                <w:rFonts w:ascii="宋体" w:hAnsi="宋体" w:eastAsia="宋体"/>
                <w:sz w:val="16"/>
              </w:rPr>
              <w:t>30</w:t>
            </w:r>
          </w:p>
        </w:tc>
      </w:tr>
      <w:tr w14:paraId="72B324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1FA8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2FA8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FE0E76">
            <w:pPr>
              <w:jc w:val="center"/>
            </w:pPr>
            <w:r>
              <w:rPr>
                <w:rFonts w:ascii="宋体" w:hAnsi="宋体" w:eastAsia="宋体"/>
                <w:sz w:val="16"/>
              </w:rPr>
              <w:t>“12345”政务服务平台工单回复率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F774A">
            <w:pPr>
              <w:jc w:val="center"/>
            </w:pPr>
            <w:r>
              <w:rPr>
                <w:rFonts w:ascii="宋体" w:hAnsi="宋体" w:eastAsia="宋体"/>
                <w:sz w:val="16"/>
              </w:rPr>
              <w:t>&gt;=97%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68DE5">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2610F">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319A1">
            <w:pPr>
              <w:jc w:val="center"/>
            </w:pPr>
            <w:r>
              <w:rPr>
                <w:rFonts w:ascii="宋体" w:hAnsi="宋体" w:eastAsia="宋体"/>
                <w:sz w:val="16"/>
              </w:rPr>
              <w:t>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1BBCB">
            <w:pPr>
              <w:jc w:val="center"/>
            </w:pPr>
            <w:r>
              <w:rPr>
                <w:rFonts w:ascii="宋体" w:hAnsi="宋体" w:eastAsia="宋体"/>
                <w:sz w:val="16"/>
              </w:rPr>
              <w:t>30</w:t>
            </w:r>
          </w:p>
        </w:tc>
      </w:tr>
    </w:tbl>
    <w:p w14:paraId="3EEF58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928FACE">
        <w:tblPrEx>
          <w:tblCellMar>
            <w:top w:w="0" w:type="dxa"/>
            <w:left w:w="108" w:type="dxa"/>
            <w:bottom w:w="0" w:type="dxa"/>
            <w:right w:w="108" w:type="dxa"/>
          </w:tblCellMar>
        </w:tblPrEx>
        <w:tc>
          <w:tcPr>
            <w:tcW w:w="8848" w:type="dxa"/>
            <w:gridSpan w:val="14"/>
            <w:vAlign w:val="center"/>
          </w:tcPr>
          <w:p w14:paraId="0B1D5585">
            <w:pPr>
              <w:jc w:val="center"/>
            </w:pPr>
            <w:r>
              <w:rPr>
                <w:rFonts w:ascii="宋体" w:hAnsi="宋体" w:eastAsia="宋体"/>
                <w:sz w:val="24"/>
              </w:rPr>
              <w:t>项目支出绩效自评表</w:t>
            </w:r>
          </w:p>
        </w:tc>
      </w:tr>
      <w:tr w14:paraId="5E1C99F1">
        <w:tblPrEx>
          <w:tblCellMar>
            <w:top w:w="0" w:type="dxa"/>
            <w:left w:w="108" w:type="dxa"/>
            <w:bottom w:w="0" w:type="dxa"/>
            <w:right w:w="108" w:type="dxa"/>
          </w:tblCellMar>
        </w:tblPrEx>
        <w:tc>
          <w:tcPr>
            <w:tcW w:w="8848" w:type="dxa"/>
            <w:gridSpan w:val="14"/>
            <w:vAlign w:val="center"/>
          </w:tcPr>
          <w:p w14:paraId="5FA9522C">
            <w:pPr>
              <w:jc w:val="center"/>
            </w:pPr>
            <w:r>
              <w:rPr>
                <w:rFonts w:ascii="宋体" w:hAnsi="宋体" w:eastAsia="宋体"/>
                <w:sz w:val="24"/>
              </w:rPr>
              <w:t>(2024年度)</w:t>
            </w:r>
          </w:p>
        </w:tc>
      </w:tr>
      <w:tr w14:paraId="3A9C1B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99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DB30A5">
            <w:pPr>
              <w:jc w:val="center"/>
            </w:pPr>
            <w:r>
              <w:rPr>
                <w:rFonts w:ascii="宋体" w:hAnsi="宋体" w:eastAsia="宋体"/>
                <w:sz w:val="16"/>
              </w:rPr>
              <w:t>2024年其他项目类-托里县政府法律顾问项目</w:t>
            </w:r>
          </w:p>
        </w:tc>
      </w:tr>
      <w:tr w14:paraId="53F731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AF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33E454">
            <w:pPr>
              <w:jc w:val="center"/>
            </w:pPr>
            <w:r>
              <w:rPr>
                <w:rFonts w:ascii="宋体" w:hAnsi="宋体" w:eastAsia="宋体"/>
                <w:sz w:val="16"/>
              </w:rPr>
              <w:t>托里县人民政府办公室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484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5C7219">
            <w:pPr>
              <w:jc w:val="center"/>
            </w:pPr>
            <w:r>
              <w:rPr>
                <w:rFonts w:ascii="宋体" w:hAnsi="宋体" w:eastAsia="宋体"/>
                <w:sz w:val="16"/>
              </w:rPr>
              <w:t>托里县人民政府办公室</w:t>
            </w:r>
          </w:p>
        </w:tc>
      </w:tr>
      <w:tr w14:paraId="7303C5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DC3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5385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838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0A9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7C5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B43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8D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DEB3">
            <w:pPr>
              <w:jc w:val="center"/>
            </w:pPr>
            <w:r>
              <w:rPr>
                <w:rFonts w:ascii="宋体" w:hAnsi="宋体" w:eastAsia="宋体"/>
                <w:sz w:val="16"/>
              </w:rPr>
              <w:t>得分</w:t>
            </w:r>
          </w:p>
        </w:tc>
      </w:tr>
      <w:tr w14:paraId="53CA97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5A9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E2D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43F2D">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99BB8">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29AF9">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7FF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EC4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EA7D">
            <w:pPr>
              <w:jc w:val="center"/>
            </w:pPr>
            <w:r>
              <w:rPr>
                <w:rFonts w:ascii="宋体" w:hAnsi="宋体" w:eastAsia="宋体"/>
                <w:sz w:val="16"/>
              </w:rPr>
              <w:t>10.00</w:t>
            </w:r>
          </w:p>
        </w:tc>
      </w:tr>
      <w:tr w14:paraId="108F3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111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7B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D0541">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690F1">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AC3F7">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210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F38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499C">
            <w:pPr>
              <w:jc w:val="center"/>
            </w:pPr>
            <w:r>
              <w:rPr>
                <w:rFonts w:ascii="宋体" w:hAnsi="宋体" w:eastAsia="宋体"/>
                <w:sz w:val="16"/>
              </w:rPr>
              <w:t>—</w:t>
            </w:r>
          </w:p>
        </w:tc>
      </w:tr>
      <w:tr w14:paraId="00E3A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4D8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075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7B3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C44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4EB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6D3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DB8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2ABD">
            <w:pPr>
              <w:jc w:val="center"/>
            </w:pPr>
            <w:r>
              <w:rPr>
                <w:rFonts w:ascii="宋体" w:hAnsi="宋体" w:eastAsia="宋体"/>
                <w:sz w:val="16"/>
              </w:rPr>
              <w:t>—</w:t>
            </w:r>
          </w:p>
        </w:tc>
      </w:tr>
      <w:tr w14:paraId="446775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C317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E738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49930A">
            <w:pPr>
              <w:jc w:val="center"/>
            </w:pPr>
            <w:r>
              <w:rPr>
                <w:rFonts w:ascii="宋体" w:hAnsi="宋体" w:eastAsia="宋体"/>
                <w:sz w:val="16"/>
              </w:rPr>
              <w:t>实际完成情况</w:t>
            </w:r>
          </w:p>
        </w:tc>
      </w:tr>
      <w:tr w14:paraId="73A11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6590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D47BB2">
            <w:pPr>
              <w:jc w:val="both"/>
            </w:pPr>
            <w:r>
              <w:rPr>
                <w:rFonts w:ascii="宋体" w:hAnsi="宋体" w:eastAsia="宋体"/>
                <w:sz w:val="16"/>
              </w:rPr>
              <w:t>托里县政府法律顾问项目资金16万元，用于聘请1名法律顾问，通过咨询法律相关意见，加强社会主义法治文化建设，建设法治政府，为政府及时提供法律服务，降低风险。提升政府公信力，群众满意度达到95%。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DCBF58">
            <w:pPr>
              <w:jc w:val="both"/>
            </w:pPr>
            <w:r>
              <w:rPr>
                <w:rFonts w:ascii="宋体" w:hAnsi="宋体" w:eastAsia="宋体"/>
                <w:sz w:val="16"/>
              </w:rPr>
              <w:t>已使用项目资金16万元，聘请1名法律顾问，通过咨询法律相关意见，加强社会主义法治文化建设，建设法治政府，为政府及时提供法律服务，降低风险。提升政府公信力，群众满意度达到95%。</w:t>
            </w:r>
          </w:p>
        </w:tc>
      </w:tr>
      <w:tr w14:paraId="609799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14F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61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BCF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81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3B5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DA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FFE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FF4E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FE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AE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21A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E82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21C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C91F">
            <w:pPr>
              <w:jc w:val="center"/>
            </w:pPr>
            <w:r>
              <w:rPr>
                <w:rFonts w:ascii="宋体" w:hAnsi="宋体" w:eastAsia="宋体"/>
                <w:sz w:val="16"/>
              </w:rPr>
              <w:t>偏差原因分析及改进措施</w:t>
            </w:r>
          </w:p>
        </w:tc>
      </w:tr>
      <w:tr w14:paraId="5B2F75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61CF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8D23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761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A575">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B322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D7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83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11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AA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086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8CE4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F1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41E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4AB0">
            <w:pPr>
              <w:jc w:val="center"/>
            </w:pPr>
          </w:p>
        </w:tc>
      </w:tr>
      <w:tr w14:paraId="7AD4C6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2E0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14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1E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2B60">
            <w:pPr>
              <w:jc w:val="center"/>
            </w:pPr>
            <w:r>
              <w:rPr>
                <w:rFonts w:ascii="宋体" w:hAnsi="宋体" w:eastAsia="宋体"/>
                <w:sz w:val="16"/>
              </w:rPr>
              <w:t>提供法律咨询次数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57046">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63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50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D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262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72D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F97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6F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E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A284">
            <w:pPr>
              <w:jc w:val="center"/>
            </w:pPr>
          </w:p>
        </w:tc>
      </w:tr>
      <w:tr w14:paraId="5E820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42C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493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FF5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6D43">
            <w:pPr>
              <w:jc w:val="center"/>
            </w:pPr>
            <w:r>
              <w:rPr>
                <w:rFonts w:ascii="宋体" w:hAnsi="宋体" w:eastAsia="宋体"/>
                <w:sz w:val="16"/>
              </w:rPr>
              <w:t>法律顾问合同履约合规率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0AD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35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65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E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F9B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8D8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8395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7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3A8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38BE">
            <w:pPr>
              <w:jc w:val="center"/>
            </w:pPr>
          </w:p>
        </w:tc>
      </w:tr>
      <w:tr w14:paraId="7612B5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BF6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F95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D0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BAA0">
            <w:pPr>
              <w:jc w:val="center"/>
            </w:pPr>
            <w:r>
              <w:rPr>
                <w:rFonts w:ascii="宋体" w:hAnsi="宋体" w:eastAsia="宋体"/>
                <w:sz w:val="16"/>
              </w:rPr>
              <w:t>法律顾问聘用期限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5649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AE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92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E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F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AE39">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4A20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B7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8B9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2965">
            <w:pPr>
              <w:jc w:val="center"/>
            </w:pPr>
          </w:p>
        </w:tc>
      </w:tr>
      <w:tr w14:paraId="78E2D7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E3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C39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B2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7CD99">
            <w:pPr>
              <w:jc w:val="center"/>
            </w:pPr>
            <w:r>
              <w:rPr>
                <w:rFonts w:ascii="宋体" w:hAnsi="宋体" w:eastAsia="宋体"/>
                <w:sz w:val="16"/>
              </w:rPr>
              <w:t>聘请法律顾问经费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2EEE">
            <w:pPr>
              <w:jc w:val="center"/>
            </w:pPr>
            <w:r>
              <w:rPr>
                <w:rFonts w:ascii="宋体" w:hAnsi="宋体" w:eastAsia="宋体"/>
                <w:sz w:val="16"/>
              </w:rPr>
              <w:t>&lt;=16万元/人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1C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4E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D2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39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B146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BD72">
            <w:pPr>
              <w:jc w:val="center"/>
            </w:pPr>
            <w:r>
              <w:rPr>
                <w:rFonts w:ascii="宋体" w:hAnsi="宋体" w:eastAsia="宋体"/>
                <w:sz w:val="16"/>
              </w:rPr>
              <w:t>=16万元/人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AF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E0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C856">
            <w:pPr>
              <w:jc w:val="center"/>
            </w:pPr>
          </w:p>
        </w:tc>
      </w:tr>
      <w:tr w14:paraId="50C2A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E5F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28D5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72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C06A">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79B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EA6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0E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ED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89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78F1">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855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C4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6F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3666A">
            <w:pPr>
              <w:jc w:val="center"/>
            </w:pPr>
          </w:p>
        </w:tc>
      </w:tr>
      <w:tr w14:paraId="476E9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6E3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13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86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BB1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21D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1B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C0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3D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0D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BFEB">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5E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9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24F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FF9B">
            <w:pPr>
              <w:jc w:val="center"/>
            </w:pPr>
          </w:p>
        </w:tc>
      </w:tr>
      <w:tr w14:paraId="6B03BB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E6E7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9F7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02D6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4C9D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CC0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35E6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82CB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365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7F01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C4B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602F19"/>
        </w:tc>
      </w:tr>
    </w:tbl>
    <w:p w14:paraId="362B54E0">
      <w:r>
        <w:br w:type="page"/>
      </w:r>
    </w:p>
    <w:p w14:paraId="754F964A">
      <w:pPr>
        <w:spacing w:line="640" w:lineRule="exact"/>
        <w:ind w:firstLine="640"/>
        <w:jc w:val="both"/>
        <w:outlineLvl w:val="2"/>
      </w:pPr>
      <w:r>
        <w:rPr>
          <w:rFonts w:ascii="黑体" w:hAnsi="黑体" w:eastAsia="黑体"/>
          <w:sz w:val="32"/>
        </w:rPr>
        <w:t>十二、其他需说明的事项</w:t>
      </w:r>
    </w:p>
    <w:p w14:paraId="7111D254">
      <w:pPr>
        <w:spacing w:line="580" w:lineRule="exact"/>
        <w:ind w:firstLine="640"/>
        <w:jc w:val="both"/>
      </w:pPr>
      <w:r>
        <w:rPr>
          <w:rFonts w:ascii="仿宋_GB2312" w:hAnsi="仿宋_GB2312" w:eastAsia="仿宋_GB2312"/>
          <w:b w:val="0"/>
          <w:sz w:val="32"/>
        </w:rPr>
        <w:t>本单位无其他需要说明的事项。</w:t>
      </w:r>
    </w:p>
    <w:p w14:paraId="64CFE790">
      <w:r>
        <w:br w:type="page"/>
      </w:r>
    </w:p>
    <w:p w14:paraId="427AC578">
      <w:pPr>
        <w:spacing w:line="240" w:lineRule="auto"/>
        <w:jc w:val="center"/>
        <w:outlineLvl w:val="1"/>
      </w:pPr>
      <w:r>
        <w:rPr>
          <w:rFonts w:ascii="黑体" w:hAnsi="黑体" w:eastAsia="黑体"/>
          <w:sz w:val="32"/>
        </w:rPr>
        <w:t>第三部分 专业名词解释</w:t>
      </w:r>
    </w:p>
    <w:p w14:paraId="539E943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D927E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84BE67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7D2BB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83C05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D10864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D9D611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EA94AD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D9B46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D2992D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5A824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EDC78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293FD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399B2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29AF5D3">
      <w:r>
        <w:br w:type="page"/>
      </w:r>
    </w:p>
    <w:p w14:paraId="79C0A784">
      <w:pPr>
        <w:spacing w:line="240" w:lineRule="auto"/>
        <w:jc w:val="center"/>
        <w:outlineLvl w:val="1"/>
      </w:pPr>
      <w:r>
        <w:rPr>
          <w:rFonts w:ascii="黑体" w:hAnsi="黑体" w:eastAsia="黑体"/>
          <w:sz w:val="32"/>
        </w:rPr>
        <w:t>第四部分 部门决算报表（见附表）</w:t>
      </w:r>
    </w:p>
    <w:p w14:paraId="41BA7E49">
      <w:pPr>
        <w:spacing w:line="240" w:lineRule="auto"/>
        <w:ind w:firstLine="640"/>
        <w:jc w:val="both"/>
      </w:pPr>
      <w:r>
        <w:rPr>
          <w:rFonts w:ascii="仿宋_GB2312" w:hAnsi="仿宋_GB2312" w:eastAsia="仿宋_GB2312"/>
          <w:b w:val="0"/>
          <w:sz w:val="32"/>
        </w:rPr>
        <w:t>一、《收入支出决算总表》</w:t>
      </w:r>
    </w:p>
    <w:p w14:paraId="34473CB7">
      <w:pPr>
        <w:spacing w:line="240" w:lineRule="auto"/>
        <w:ind w:firstLine="640"/>
        <w:jc w:val="both"/>
      </w:pPr>
      <w:r>
        <w:rPr>
          <w:rFonts w:ascii="仿宋_GB2312" w:hAnsi="仿宋_GB2312" w:eastAsia="仿宋_GB2312"/>
          <w:b w:val="0"/>
          <w:sz w:val="32"/>
        </w:rPr>
        <w:t>二、《收入决算表》</w:t>
      </w:r>
    </w:p>
    <w:p w14:paraId="6D48D8CC">
      <w:pPr>
        <w:spacing w:line="240" w:lineRule="auto"/>
        <w:ind w:firstLine="640"/>
        <w:jc w:val="both"/>
      </w:pPr>
      <w:r>
        <w:rPr>
          <w:rFonts w:ascii="仿宋_GB2312" w:hAnsi="仿宋_GB2312" w:eastAsia="仿宋_GB2312"/>
          <w:b w:val="0"/>
          <w:sz w:val="32"/>
        </w:rPr>
        <w:t>三、《支出决算表》</w:t>
      </w:r>
    </w:p>
    <w:p w14:paraId="65A50833">
      <w:pPr>
        <w:spacing w:line="240" w:lineRule="auto"/>
        <w:ind w:firstLine="640"/>
        <w:jc w:val="both"/>
      </w:pPr>
      <w:r>
        <w:rPr>
          <w:rFonts w:ascii="仿宋_GB2312" w:hAnsi="仿宋_GB2312" w:eastAsia="仿宋_GB2312"/>
          <w:b w:val="0"/>
          <w:sz w:val="32"/>
        </w:rPr>
        <w:t>四、《财政拨款收入支出决算总表》</w:t>
      </w:r>
    </w:p>
    <w:p w14:paraId="44FD4EF0">
      <w:pPr>
        <w:spacing w:line="240" w:lineRule="auto"/>
        <w:ind w:firstLine="640"/>
        <w:jc w:val="both"/>
      </w:pPr>
      <w:r>
        <w:rPr>
          <w:rFonts w:ascii="仿宋_GB2312" w:hAnsi="仿宋_GB2312" w:eastAsia="仿宋_GB2312"/>
          <w:b w:val="0"/>
          <w:sz w:val="32"/>
        </w:rPr>
        <w:t>五、《一般公共预算财政拨款支出决算表》</w:t>
      </w:r>
    </w:p>
    <w:p w14:paraId="4CA705A6">
      <w:pPr>
        <w:spacing w:line="240" w:lineRule="auto"/>
        <w:ind w:firstLine="640"/>
        <w:jc w:val="both"/>
      </w:pPr>
      <w:r>
        <w:rPr>
          <w:rFonts w:ascii="仿宋_GB2312" w:hAnsi="仿宋_GB2312" w:eastAsia="仿宋_GB2312"/>
          <w:b w:val="0"/>
          <w:sz w:val="32"/>
        </w:rPr>
        <w:t>六、《一般公共预算财政拨款基本支出决算表》</w:t>
      </w:r>
    </w:p>
    <w:p w14:paraId="31336A26">
      <w:pPr>
        <w:spacing w:line="240" w:lineRule="auto"/>
        <w:ind w:firstLine="640"/>
        <w:jc w:val="both"/>
      </w:pPr>
      <w:r>
        <w:rPr>
          <w:rFonts w:ascii="仿宋_GB2312" w:hAnsi="仿宋_GB2312" w:eastAsia="仿宋_GB2312"/>
          <w:b w:val="0"/>
          <w:sz w:val="32"/>
        </w:rPr>
        <w:t>七、《政府性基金预算财政拨款收入支出决算表》</w:t>
      </w:r>
    </w:p>
    <w:p w14:paraId="752EBFC7">
      <w:pPr>
        <w:spacing w:line="240" w:lineRule="auto"/>
        <w:ind w:firstLine="640"/>
        <w:jc w:val="both"/>
      </w:pPr>
      <w:r>
        <w:rPr>
          <w:rFonts w:ascii="仿宋_GB2312" w:hAnsi="仿宋_GB2312" w:eastAsia="仿宋_GB2312"/>
          <w:b w:val="0"/>
          <w:sz w:val="32"/>
        </w:rPr>
        <w:t>八、《国有资本经营预算财政拨款收入支出决算表》</w:t>
      </w:r>
    </w:p>
    <w:p w14:paraId="796A883A">
      <w:pPr>
        <w:spacing w:line="240" w:lineRule="auto"/>
        <w:ind w:firstLine="640"/>
        <w:jc w:val="both"/>
      </w:pPr>
      <w:r>
        <w:rPr>
          <w:rFonts w:ascii="仿宋_GB2312" w:hAnsi="仿宋_GB2312" w:eastAsia="仿宋_GB2312"/>
          <w:b w:val="0"/>
          <w:sz w:val="32"/>
        </w:rPr>
        <w:t>九、《财政拨款“三公”经费支出决算表》</w:t>
      </w:r>
    </w:p>
    <w:p w14:paraId="726A4A73">
      <w:pPr>
        <w:spacing w:line="240" w:lineRule="auto"/>
        <w:ind w:firstLine="640"/>
        <w:jc w:val="both"/>
      </w:pPr>
    </w:p>
    <w:p w14:paraId="3F9B298D">
      <w:pPr>
        <w:spacing w:line="240" w:lineRule="auto"/>
        <w:ind w:firstLine="640"/>
        <w:jc w:val="both"/>
      </w:pPr>
    </w:p>
    <w:p w14:paraId="19663638">
      <w:pPr>
        <w:spacing w:line="240" w:lineRule="auto"/>
        <w:ind w:firstLine="640"/>
        <w:jc w:val="both"/>
      </w:pPr>
    </w:p>
    <w:p w14:paraId="0BB5A35C">
      <w:pPr>
        <w:spacing w:line="240" w:lineRule="auto"/>
        <w:ind w:firstLine="640"/>
        <w:jc w:val="both"/>
      </w:pPr>
    </w:p>
    <w:p w14:paraId="327BFF4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0AC675-1C54-404C-8166-90D3C68A5D8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FD68F18-35F4-40A5-BEB0-94AC04081EEA}"/>
  </w:font>
  <w:font w:name="仿宋_GB2312">
    <w:panose1 w:val="02010609030101010101"/>
    <w:charset w:val="86"/>
    <w:family w:val="modern"/>
    <w:pitch w:val="default"/>
    <w:sig w:usb0="00000001" w:usb1="080E0000" w:usb2="00000000" w:usb3="00000000" w:csb0="00040000" w:csb1="00000000"/>
    <w:embedRegular r:id="rId3" w:fontKey="{1987D2EE-C211-417D-9F86-2BAE812B8991}"/>
  </w:font>
  <w:font w:name="楷体_GB2312">
    <w:panose1 w:val="02010609030101010101"/>
    <w:charset w:val="86"/>
    <w:family w:val="auto"/>
    <w:pitch w:val="default"/>
    <w:sig w:usb0="00000001" w:usb1="080E0000" w:usb2="00000000" w:usb3="00000000" w:csb0="00040000" w:csb1="00000000"/>
    <w:embedRegular r:id="rId4" w:fontKey="{1ECE62A0-56A1-405D-8EB8-846E148951A8}"/>
  </w:font>
  <w:font w:name="WPSEMBED1">
    <w:panose1 w:val="0201060903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3C5CA7"/>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D43A40"/>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5691</Words>
  <Characters>6443</Characters>
  <Lines>0</Lines>
  <Paragraphs>0</Paragraphs>
  <TotalTime>17</TotalTime>
  <ScaleCrop>false</ScaleCrop>
  <LinksUpToDate>false</LinksUpToDate>
  <CharactersWithSpaces>6451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2025-11-03T02:17:42Z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