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3A3038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托里县人民代表大会常务委员会办公室</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63EAF00">
      <w:r>
        <w:br w:type="page"/>
      </w:r>
    </w:p>
    <w:p w14:paraId="66B02E02">
      <w:pPr>
        <w:spacing w:line="640" w:lineRule="exact"/>
        <w:jc w:val="center"/>
        <w:outlineLvl w:val="1"/>
      </w:pPr>
      <w:r>
        <w:rPr>
          <w:rFonts w:ascii="黑体" w:hAnsi="黑体" w:eastAsia="黑体"/>
          <w:sz w:val="32"/>
        </w:rPr>
        <w:t>第一部分 单位概况</w:t>
      </w:r>
    </w:p>
    <w:p w14:paraId="6EB7E0AD">
      <w:pPr>
        <w:spacing w:line="640" w:lineRule="exact"/>
        <w:ind w:firstLine="640"/>
        <w:jc w:val="both"/>
        <w:outlineLvl w:val="2"/>
      </w:pPr>
      <w:r>
        <w:rPr>
          <w:rFonts w:ascii="黑体" w:hAnsi="黑体" w:eastAsia="黑体"/>
          <w:sz w:val="32"/>
        </w:rPr>
        <w:t>一、主要职能</w:t>
      </w:r>
    </w:p>
    <w:p w14:paraId="40046DD8">
      <w:pPr>
        <w:spacing w:line="580" w:lineRule="exact"/>
        <w:ind w:firstLine="640"/>
        <w:jc w:val="both"/>
      </w:pPr>
      <w:r>
        <w:rPr>
          <w:rFonts w:ascii="仿宋_GB2312" w:hAnsi="仿宋_GB2312" w:eastAsia="仿宋_GB2312"/>
          <w:sz w:val="32"/>
        </w:rPr>
        <w:t>(一)在本行政区域内，保证宪法、法律、行政法规和上级人民代表大会及其常务委员会决议的遵守和执行。</w:t>
      </w:r>
    </w:p>
    <w:p w14:paraId="53CDCEAF">
      <w:pPr>
        <w:spacing w:line="580" w:lineRule="exact"/>
        <w:ind w:firstLine="640"/>
        <w:jc w:val="both"/>
      </w:pPr>
      <w:r>
        <w:rPr>
          <w:rFonts w:ascii="仿宋_GB2312" w:hAnsi="仿宋_GB2312" w:eastAsia="仿宋_GB2312"/>
          <w:sz w:val="32"/>
        </w:rPr>
        <w:t>(二)领导或者主持本级人民代表大会代表的选举。</w:t>
      </w:r>
    </w:p>
    <w:p w14:paraId="4FAF7413">
      <w:pPr>
        <w:spacing w:line="580" w:lineRule="exact"/>
        <w:ind w:firstLine="640"/>
        <w:jc w:val="both"/>
      </w:pPr>
      <w:r>
        <w:rPr>
          <w:rFonts w:ascii="仿宋_GB2312" w:hAnsi="仿宋_GB2312" w:eastAsia="仿宋_GB2312"/>
          <w:sz w:val="32"/>
        </w:rPr>
        <w:t>(三)召集本级人民代表大会会议。</w:t>
      </w:r>
    </w:p>
    <w:p w14:paraId="72C1E981">
      <w:pPr>
        <w:spacing w:line="580" w:lineRule="exact"/>
        <w:ind w:firstLine="640"/>
        <w:jc w:val="both"/>
      </w:pPr>
      <w:r>
        <w:rPr>
          <w:rFonts w:ascii="仿宋_GB2312" w:hAnsi="仿宋_GB2312" w:eastAsia="仿宋_GB2312"/>
          <w:sz w:val="32"/>
        </w:rPr>
        <w:t>(四)讨论、决定本行政区域内的政治、经济、教育、科学、文化、卫生、生态环境保护、自然资源、城乡建设、民政、社会保障、民族等工作的重大事项和项目。</w:t>
      </w:r>
    </w:p>
    <w:p w14:paraId="08F7CD78">
      <w:pPr>
        <w:spacing w:line="580" w:lineRule="exact"/>
        <w:ind w:firstLine="640"/>
        <w:jc w:val="both"/>
      </w:pPr>
      <w:r>
        <w:rPr>
          <w:rFonts w:ascii="仿宋_GB2312" w:hAnsi="仿宋_GB2312" w:eastAsia="仿宋_GB2312"/>
          <w:sz w:val="32"/>
        </w:rPr>
        <w:t>(五)根据本级人民政府的建议，审查和批准本行政区域内的国民经济和社会发展规划纲要、计划和本级预算的调整方案。</w:t>
      </w:r>
    </w:p>
    <w:p w14:paraId="5FD593BC">
      <w:pPr>
        <w:spacing w:line="580" w:lineRule="exact"/>
        <w:ind w:firstLine="640"/>
        <w:jc w:val="both"/>
      </w:pPr>
      <w:r>
        <w:rPr>
          <w:rFonts w:ascii="仿宋_GB2312" w:hAnsi="仿宋_GB2312" w:eastAsia="仿宋_GB2312"/>
          <w:sz w:val="32"/>
        </w:rPr>
        <w:t>(六)监督本行政区域内的国民经济和社会发展规划纲要、计划和预算的执行，审查和批准本级决算，监督审计查出问题整改情况，审查监督政府债务。</w:t>
      </w:r>
    </w:p>
    <w:p w14:paraId="646835F8">
      <w:pPr>
        <w:spacing w:line="580" w:lineRule="exact"/>
        <w:ind w:firstLine="640"/>
        <w:jc w:val="both"/>
      </w:pPr>
      <w:r>
        <w:rPr>
          <w:rFonts w:ascii="仿宋_GB2312" w:hAnsi="仿宋_GB2312" w:eastAsia="仿宋_GB2312"/>
          <w:sz w:val="32"/>
        </w:rPr>
        <w:t>(七)监督本级人民政府、监察委员会、人民法院和人民检察院的工作，听取和审议有关专项工作报告，组织执法检查，开展专题询问等；联系本级人民代表大会代表，受理人民群众对上述机关和国家工作人员的申诉和意见。</w:t>
      </w:r>
    </w:p>
    <w:p w14:paraId="2CAC332D">
      <w:pPr>
        <w:spacing w:line="580" w:lineRule="exact"/>
        <w:ind w:firstLine="640"/>
        <w:jc w:val="both"/>
      </w:pPr>
      <w:r>
        <w:rPr>
          <w:rFonts w:ascii="仿宋_GB2312" w:hAnsi="仿宋_GB2312" w:eastAsia="仿宋_GB2312"/>
          <w:sz w:val="32"/>
        </w:rPr>
        <w:t>(八)监督本级人民政府对国有资产的管理，听取和审议本级人民政府关于国有资产管理情况的报告。</w:t>
      </w:r>
    </w:p>
    <w:p w14:paraId="4BA6AD27">
      <w:pPr>
        <w:spacing w:line="580" w:lineRule="exact"/>
        <w:ind w:firstLine="640"/>
        <w:jc w:val="both"/>
      </w:pPr>
      <w:r>
        <w:rPr>
          <w:rFonts w:ascii="仿宋_GB2312" w:hAnsi="仿宋_GB2312" w:eastAsia="仿宋_GB2312"/>
          <w:sz w:val="32"/>
        </w:rPr>
        <w:t>(九)听取和审议本级人民政府关于年度环境状况和环境保护目标完成情况的报告。</w:t>
      </w:r>
    </w:p>
    <w:p w14:paraId="0E1BC35C">
      <w:pPr>
        <w:spacing w:line="580" w:lineRule="exact"/>
        <w:ind w:firstLine="640"/>
        <w:jc w:val="both"/>
      </w:pPr>
      <w:r>
        <w:rPr>
          <w:rFonts w:ascii="仿宋_GB2312" w:hAnsi="仿宋_GB2312" w:eastAsia="仿宋_GB2312"/>
          <w:sz w:val="32"/>
        </w:rPr>
        <w:t>(十)听取和审议备案审查工作情况报告。</w:t>
      </w:r>
    </w:p>
    <w:p w14:paraId="6314BDB6">
      <w:pPr>
        <w:spacing w:line="580" w:lineRule="exact"/>
        <w:ind w:firstLine="640"/>
        <w:jc w:val="both"/>
      </w:pPr>
      <w:r>
        <w:rPr>
          <w:rFonts w:ascii="仿宋_GB2312" w:hAnsi="仿宋_GB2312" w:eastAsia="仿宋_GB2312"/>
          <w:sz w:val="32"/>
        </w:rPr>
        <w:t>(十一)撤销下一级人民代表大会及其常务委员会的不适当的决议。</w:t>
      </w:r>
    </w:p>
    <w:p w14:paraId="22FDB3E4">
      <w:pPr>
        <w:spacing w:line="580" w:lineRule="exact"/>
        <w:ind w:firstLine="640"/>
        <w:jc w:val="both"/>
      </w:pPr>
      <w:r>
        <w:rPr>
          <w:rFonts w:ascii="仿宋_GB2312" w:hAnsi="仿宋_GB2312" w:eastAsia="仿宋_GB2312"/>
          <w:sz w:val="32"/>
        </w:rPr>
        <w:t>(十二)撤销本级人民政府的不适当的决定和命令。</w:t>
      </w:r>
    </w:p>
    <w:p w14:paraId="545A5B12">
      <w:pPr>
        <w:spacing w:line="580" w:lineRule="exact"/>
        <w:ind w:firstLine="640"/>
        <w:jc w:val="both"/>
      </w:pPr>
      <w:r>
        <w:rPr>
          <w:rFonts w:ascii="仿宋_GB2312" w:hAnsi="仿宋_GB2312" w:eastAsia="仿宋_GB2312"/>
          <w:sz w:val="32"/>
        </w:rPr>
        <w:t>(十三)在本级人民代表大会闭会期间，决定副省长、自治区副主席、副市长、副州长、副县长、副区长的个别任免；在省长、自治区主席、市长、州长、县长、区长和监察委员会主任、人民法院院长、人民检察院检察长因故不能担任职务的时候，根据主任会议的提名，从本级人民政府、监察委员会、人民法院、人民检察院副职领导人员中决定代理的人选；决定代理检察长，须报上一级人民检察院和人民代表大会常务委员会备案。</w:t>
      </w:r>
    </w:p>
    <w:p w14:paraId="37DD70DA">
      <w:pPr>
        <w:spacing w:line="580" w:lineRule="exact"/>
        <w:ind w:firstLine="640"/>
        <w:jc w:val="both"/>
      </w:pPr>
      <w:r>
        <w:rPr>
          <w:rFonts w:ascii="仿宋_GB2312" w:hAnsi="仿宋_GB2312" w:eastAsia="仿宋_GB2312"/>
          <w:sz w:val="32"/>
        </w:rPr>
        <w:t>(十四)根据省长、自治区主席、市长、州长、县长、区长的提名，决定本级人民政府秘书长、厅长、局长、委员会主任、科长的任免，报上一级人民政府备案。</w:t>
      </w:r>
    </w:p>
    <w:p w14:paraId="4C912247">
      <w:pPr>
        <w:spacing w:line="580" w:lineRule="exact"/>
        <w:ind w:firstLine="640"/>
        <w:jc w:val="both"/>
      </w:pPr>
      <w:r>
        <w:rPr>
          <w:rFonts w:ascii="仿宋_GB2312" w:hAnsi="仿宋_GB2312" w:eastAsia="仿宋_GB2312"/>
          <w:sz w:val="32"/>
        </w:rPr>
        <w:t>(十五)根据监察委员会主任的提名，任免监察委员会副主任、委员。</w:t>
      </w:r>
    </w:p>
    <w:p w14:paraId="7A012105">
      <w:pPr>
        <w:spacing w:line="580" w:lineRule="exact"/>
        <w:ind w:firstLine="640"/>
        <w:jc w:val="both"/>
      </w:pPr>
      <w:r>
        <w:rPr>
          <w:rFonts w:ascii="仿宋_GB2312" w:hAnsi="仿宋_GB2312" w:eastAsia="仿宋_GB2312"/>
          <w:sz w:val="32"/>
        </w:rPr>
        <w:t>(十六)按照人民法院组织法和人民检察院组织法的规定，任免人民法院副院长、庭长、副庭长、审判委员会委员、审判员，任免</w:t>
      </w:r>
      <w:r>
        <w:rPr>
          <w:rFonts w:hint="eastAsia" w:ascii="仿宋_GB2312" w:hAnsi="仿宋_GB2312" w:eastAsia="仿宋_GB2312"/>
          <w:sz w:val="32"/>
          <w:lang w:eastAsia="zh-CN"/>
        </w:rPr>
        <w:t>人民检察院</w:t>
      </w:r>
      <w:r>
        <w:rPr>
          <w:rFonts w:ascii="仿宋_GB2312" w:hAnsi="仿宋_GB2312" w:eastAsia="仿宋_GB2312"/>
          <w:sz w:val="32"/>
        </w:rPr>
        <w:t>副检察长、检察委员会委员、检察员，批准任免下一级人民检察院检察长；省、自治区、直辖市的人民代表大会常务委员会根据主任会议的提名，决定在省、自治区内按地区设立的和在直辖市内设立的中级人民法院院长的任免，根据省、自治区、直辖市的人民检察院检察长的提名，决定人民检察院分院检察长的任免。</w:t>
      </w:r>
    </w:p>
    <w:p w14:paraId="3DCA05D9">
      <w:pPr>
        <w:spacing w:line="580" w:lineRule="exact"/>
        <w:ind w:firstLine="640"/>
        <w:jc w:val="both"/>
      </w:pPr>
      <w:r>
        <w:rPr>
          <w:rFonts w:ascii="仿宋_GB2312" w:hAnsi="仿宋_GB2312" w:eastAsia="仿宋_GB2312"/>
          <w:sz w:val="32"/>
        </w:rPr>
        <w:t>(十七)在本级人民代表大会闭会期间，决定撤销个别副省长、自治区副主席、副市长、副州长、副县长、副区长的职务；决定撤销由它任命的本级人民政府其他组成人员和监察委员会副主任、委员，人民法院副院长、庭长、副庭长、审判委员会委员、审判员，人民检察院副检察长、检察委员会委员、检察员，中级人民法院院长，人民检察院分院检察长的职务。</w:t>
      </w:r>
    </w:p>
    <w:p w14:paraId="246CAF94">
      <w:pPr>
        <w:spacing w:line="580" w:lineRule="exact"/>
        <w:ind w:firstLine="640"/>
        <w:jc w:val="both"/>
      </w:pPr>
      <w:r>
        <w:rPr>
          <w:rFonts w:ascii="仿宋_GB2312" w:hAnsi="仿宋_GB2312" w:eastAsia="仿宋_GB2312"/>
          <w:sz w:val="32"/>
        </w:rPr>
        <w:t>(十八)在本级人民代表大会闭会期间，补选上一级人民代表大会出缺的代表和罢免个别代表。常务委员会讨论前款第四项规定的本行政区域内的重大事项和项目，可以作出决定或者决议，也可以将有关意见、建议送有关地方国家机关或者单位研究办理。有关办理情况应当及时向常务委员会报告。</w:t>
      </w:r>
    </w:p>
    <w:p w14:paraId="5C4527B8">
      <w:pPr>
        <w:spacing w:line="640" w:lineRule="exact"/>
        <w:ind w:firstLine="640"/>
        <w:jc w:val="both"/>
        <w:outlineLvl w:val="2"/>
      </w:pPr>
      <w:r>
        <w:rPr>
          <w:rFonts w:ascii="黑体" w:hAnsi="黑体" w:eastAsia="黑体"/>
          <w:sz w:val="32"/>
        </w:rPr>
        <w:t>二、机构设置及人员情况</w:t>
      </w:r>
    </w:p>
    <w:p w14:paraId="2689E317">
      <w:pPr>
        <w:spacing w:line="580" w:lineRule="exact"/>
        <w:ind w:firstLine="640"/>
        <w:jc w:val="both"/>
      </w:pPr>
      <w:r>
        <w:rPr>
          <w:rFonts w:ascii="仿宋_GB2312" w:hAnsi="仿宋_GB2312" w:eastAsia="仿宋_GB2312"/>
          <w:sz w:val="32"/>
        </w:rPr>
        <w:t>托里县人民代表大会常务委员会办公室2024年度，实有人数47人，其中：在职人员23人，增加0人；离休人员0人，增加0人；退休人员24人,增加1人。</w:t>
      </w:r>
    </w:p>
    <w:p w14:paraId="00D337B0">
      <w:pPr>
        <w:spacing w:line="580" w:lineRule="exact"/>
        <w:ind w:firstLine="640"/>
        <w:jc w:val="both"/>
      </w:pPr>
      <w:r>
        <w:rPr>
          <w:rFonts w:ascii="仿宋_GB2312" w:hAnsi="仿宋_GB2312" w:eastAsia="仿宋_GB2312"/>
          <w:sz w:val="32"/>
        </w:rPr>
        <w:t>托里县人民代表大会常务委员会办公室无下属预算单位，下设5个科室，分别是：办公室、教科文卫委员会、法制工作委员会、预算工作委员会、预算联网服务中心。</w:t>
      </w:r>
    </w:p>
    <w:p w14:paraId="338C9CC6">
      <w:r>
        <w:br w:type="page"/>
      </w:r>
    </w:p>
    <w:p w14:paraId="0AD4371B">
      <w:pPr>
        <w:spacing w:line="240" w:lineRule="auto"/>
        <w:jc w:val="center"/>
        <w:outlineLvl w:val="1"/>
      </w:pPr>
      <w:r>
        <w:rPr>
          <w:rFonts w:ascii="黑体" w:hAnsi="黑体" w:eastAsia="黑体"/>
          <w:sz w:val="32"/>
        </w:rPr>
        <w:t>第二部分 部门决算情况说明</w:t>
      </w:r>
    </w:p>
    <w:p w14:paraId="1DBF17F4">
      <w:pPr>
        <w:spacing w:line="640" w:lineRule="exact"/>
        <w:ind w:firstLine="640"/>
        <w:jc w:val="both"/>
        <w:outlineLvl w:val="2"/>
      </w:pPr>
      <w:r>
        <w:rPr>
          <w:rFonts w:ascii="黑体" w:hAnsi="黑体" w:eastAsia="黑体"/>
          <w:sz w:val="32"/>
        </w:rPr>
        <w:t>一、收入支出决算总体情况说明</w:t>
      </w:r>
    </w:p>
    <w:p w14:paraId="29377303">
      <w:pPr>
        <w:spacing w:line="580" w:lineRule="exact"/>
        <w:ind w:firstLine="640"/>
        <w:jc w:val="both"/>
      </w:pPr>
      <w:r>
        <w:rPr>
          <w:rFonts w:ascii="仿宋_GB2312" w:hAnsi="仿宋_GB2312" w:eastAsia="仿宋_GB2312"/>
          <w:b/>
          <w:sz w:val="32"/>
        </w:rPr>
        <w:t>2024年度收入总计559.24万元，</w:t>
      </w:r>
      <w:r>
        <w:rPr>
          <w:rFonts w:ascii="仿宋_GB2312" w:hAnsi="仿宋_GB2312" w:eastAsia="仿宋_GB2312"/>
          <w:b w:val="0"/>
          <w:sz w:val="32"/>
        </w:rPr>
        <w:t>其中：本年收入合计556.11万元，使用非财政拨款结余（含专用结余）0.00万元，年初结转和结余3.13万元。</w:t>
      </w:r>
    </w:p>
    <w:p w14:paraId="434C8AC3">
      <w:pPr>
        <w:spacing w:line="580" w:lineRule="exact"/>
        <w:ind w:firstLine="640"/>
        <w:jc w:val="both"/>
      </w:pPr>
      <w:r>
        <w:rPr>
          <w:rFonts w:ascii="仿宋_GB2312" w:hAnsi="仿宋_GB2312" w:eastAsia="仿宋_GB2312"/>
          <w:b/>
          <w:sz w:val="32"/>
        </w:rPr>
        <w:t>2024年度支出总计559.24万元，</w:t>
      </w:r>
      <w:r>
        <w:rPr>
          <w:rFonts w:ascii="仿宋_GB2312" w:hAnsi="仿宋_GB2312" w:eastAsia="仿宋_GB2312"/>
          <w:b w:val="0"/>
          <w:sz w:val="32"/>
        </w:rPr>
        <w:t>其中：本年支出合计557.03万元，结余分配0.00万元，年末结转和结余2.22万元。</w:t>
      </w:r>
    </w:p>
    <w:p w14:paraId="45987509">
      <w:pPr>
        <w:spacing w:line="580" w:lineRule="exact"/>
        <w:ind w:firstLine="640"/>
        <w:jc w:val="both"/>
      </w:pPr>
      <w:r>
        <w:rPr>
          <w:rFonts w:ascii="仿宋_GB2312" w:hAnsi="仿宋_GB2312" w:eastAsia="仿宋_GB2312"/>
          <w:b w:val="0"/>
          <w:sz w:val="32"/>
        </w:rPr>
        <w:t>收入支出总体与上年相比，增加52.26万元，增长10.31%，主要原因是：本年在职人员工资调增，社保、公积金基数调增，补发人员绩效奖金，人员经费增加。本年增加自治区基层补助经费、地区人大监督工作会和地区人大工委二次会议会议费项目。</w:t>
      </w:r>
    </w:p>
    <w:p w14:paraId="42A2822F">
      <w:pPr>
        <w:spacing w:line="640" w:lineRule="exact"/>
        <w:ind w:firstLine="640"/>
        <w:jc w:val="both"/>
        <w:outlineLvl w:val="2"/>
      </w:pPr>
      <w:r>
        <w:rPr>
          <w:rFonts w:ascii="黑体" w:hAnsi="黑体" w:eastAsia="黑体"/>
          <w:sz w:val="32"/>
        </w:rPr>
        <w:t>二、收入决算情况说明</w:t>
      </w:r>
    </w:p>
    <w:p w14:paraId="0C3E7B92">
      <w:pPr>
        <w:spacing w:line="580" w:lineRule="exact"/>
        <w:ind w:firstLine="640"/>
        <w:jc w:val="both"/>
      </w:pPr>
      <w:r>
        <w:rPr>
          <w:rFonts w:ascii="仿宋_GB2312" w:hAnsi="仿宋_GB2312" w:eastAsia="仿宋_GB2312"/>
          <w:b/>
          <w:sz w:val="32"/>
        </w:rPr>
        <w:t>本年收入556.11万元，</w:t>
      </w:r>
      <w:r>
        <w:rPr>
          <w:rFonts w:ascii="仿宋_GB2312" w:hAnsi="仿宋_GB2312" w:eastAsia="仿宋_GB2312"/>
          <w:b w:val="0"/>
          <w:sz w:val="32"/>
        </w:rPr>
        <w:t>其中：财政拨款收入554.62万元，占99.73%；上级补助收入0.00万元，占0.00%；事业收入0.00万元，占0.00%；经营收入0.00万元，占0.00%；附属单位上缴收入0.00万元，占0.00%；其他收入1.49万元，占0.27%。</w:t>
      </w:r>
    </w:p>
    <w:p w14:paraId="341A7E8F">
      <w:pPr>
        <w:spacing w:line="640" w:lineRule="exact"/>
        <w:ind w:firstLine="640"/>
        <w:jc w:val="both"/>
        <w:outlineLvl w:val="2"/>
      </w:pPr>
      <w:r>
        <w:rPr>
          <w:rFonts w:ascii="黑体" w:hAnsi="黑体" w:eastAsia="黑体"/>
          <w:sz w:val="32"/>
        </w:rPr>
        <w:t>三、支出决算情况说明</w:t>
      </w:r>
    </w:p>
    <w:p w14:paraId="64944998">
      <w:pPr>
        <w:spacing w:line="580" w:lineRule="exact"/>
        <w:ind w:firstLine="640"/>
        <w:jc w:val="both"/>
      </w:pPr>
      <w:r>
        <w:rPr>
          <w:rFonts w:ascii="仿宋_GB2312" w:hAnsi="仿宋_GB2312" w:eastAsia="仿宋_GB2312"/>
          <w:b/>
          <w:sz w:val="32"/>
        </w:rPr>
        <w:t>本年支出557.03万元，</w:t>
      </w:r>
      <w:r>
        <w:rPr>
          <w:rFonts w:ascii="仿宋_GB2312" w:hAnsi="仿宋_GB2312" w:eastAsia="仿宋_GB2312"/>
          <w:b w:val="0"/>
          <w:sz w:val="32"/>
        </w:rPr>
        <w:t>其中：基本支出520.00万元，占93.35%；项目支出37.02万元，占6.65%；上缴上级支出0.00万元，占0.00%；经营支出0.00万元，占0.00%；对附属单位补助支出0.00万元，占0.00%。</w:t>
      </w:r>
    </w:p>
    <w:p w14:paraId="11BF54DA">
      <w:pPr>
        <w:spacing w:line="640" w:lineRule="exact"/>
        <w:ind w:firstLine="640"/>
        <w:jc w:val="both"/>
        <w:outlineLvl w:val="2"/>
      </w:pPr>
      <w:r>
        <w:rPr>
          <w:rFonts w:ascii="黑体" w:hAnsi="黑体" w:eastAsia="黑体"/>
          <w:sz w:val="32"/>
        </w:rPr>
        <w:t>四、财政拨款收入支出决算总体情况说明</w:t>
      </w:r>
    </w:p>
    <w:p w14:paraId="075B2880">
      <w:pPr>
        <w:spacing w:line="580" w:lineRule="exact"/>
        <w:ind w:firstLine="640"/>
        <w:jc w:val="both"/>
      </w:pPr>
      <w:r>
        <w:rPr>
          <w:rFonts w:ascii="仿宋_GB2312" w:hAnsi="仿宋_GB2312" w:eastAsia="仿宋_GB2312"/>
          <w:b/>
          <w:sz w:val="32"/>
        </w:rPr>
        <w:t>2024年度财政拨款收入总计554.62万元，</w:t>
      </w:r>
      <w:r>
        <w:rPr>
          <w:rFonts w:ascii="仿宋_GB2312" w:hAnsi="仿宋_GB2312" w:eastAsia="仿宋_GB2312"/>
          <w:b w:val="0"/>
          <w:sz w:val="32"/>
        </w:rPr>
        <w:t>其中：年初财政拨款结转和结余0.00万元，本年财政拨款收入554.62万元。</w:t>
      </w:r>
      <w:r>
        <w:rPr>
          <w:rFonts w:ascii="仿宋_GB2312" w:hAnsi="仿宋_GB2312" w:eastAsia="仿宋_GB2312"/>
          <w:b/>
          <w:sz w:val="32"/>
        </w:rPr>
        <w:t>财政拨款支出总计554.62万元，</w:t>
      </w:r>
      <w:r>
        <w:rPr>
          <w:rFonts w:ascii="仿宋_GB2312" w:hAnsi="仿宋_GB2312" w:eastAsia="仿宋_GB2312"/>
          <w:b w:val="0"/>
          <w:sz w:val="32"/>
        </w:rPr>
        <w:t>其中：年末财政拨款结转和结余0.00万元，本年财政拨款支出554.62万元。</w:t>
      </w:r>
    </w:p>
    <w:p w14:paraId="180E986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52.18万元，增长10.39%，主要原因是：本年在职人员工资调增，社保、公积金基数调增，补发人员绩效奖金，人员经费增加。本年增加自治区基层补助经费、地区人大监督工作会和地区人大工委二次会议会议费项目。</w:t>
      </w:r>
      <w:r>
        <w:rPr>
          <w:rFonts w:ascii="仿宋_GB2312" w:hAnsi="仿宋_GB2312" w:eastAsia="仿宋_GB2312"/>
          <w:b/>
          <w:sz w:val="32"/>
        </w:rPr>
        <w:t>与年初预算相比，</w:t>
      </w:r>
      <w:r>
        <w:rPr>
          <w:rFonts w:ascii="仿宋_GB2312" w:hAnsi="仿宋_GB2312" w:eastAsia="仿宋_GB2312"/>
          <w:b w:val="0"/>
          <w:sz w:val="32"/>
        </w:rPr>
        <w:t>年初预算数571.36万元，决算数554.62万元，预决算差异率-2.93%，主要原因是：严格落实中央八项规定精神，厉行节约，减少不必要的开支。</w:t>
      </w:r>
    </w:p>
    <w:p w14:paraId="1D4B5D0B">
      <w:pPr>
        <w:spacing w:line="640" w:lineRule="exact"/>
        <w:ind w:firstLine="640"/>
        <w:jc w:val="both"/>
        <w:outlineLvl w:val="2"/>
      </w:pPr>
      <w:r>
        <w:rPr>
          <w:rFonts w:ascii="黑体" w:hAnsi="黑体" w:eastAsia="黑体"/>
          <w:sz w:val="32"/>
        </w:rPr>
        <w:t>五、一般公共预算财政拨款支出决算情况说明</w:t>
      </w:r>
    </w:p>
    <w:p w14:paraId="3A61539F">
      <w:pPr>
        <w:spacing w:line="640" w:lineRule="exact"/>
        <w:ind w:firstLine="640"/>
        <w:jc w:val="both"/>
        <w:outlineLvl w:val="3"/>
      </w:pPr>
      <w:r>
        <w:rPr>
          <w:rFonts w:ascii="楷体_GB2312" w:hAnsi="楷体_GB2312" w:eastAsia="楷体_GB2312"/>
          <w:b/>
          <w:sz w:val="32"/>
        </w:rPr>
        <w:t>（一）一般公共预算财政拨款支出决算总体情况</w:t>
      </w:r>
    </w:p>
    <w:p w14:paraId="5BF376AE">
      <w:pPr>
        <w:spacing w:line="580" w:lineRule="exact"/>
        <w:ind w:firstLine="640"/>
        <w:jc w:val="both"/>
      </w:pPr>
      <w:r>
        <w:rPr>
          <w:rFonts w:ascii="仿宋_GB2312" w:hAnsi="仿宋_GB2312" w:eastAsia="仿宋_GB2312"/>
          <w:b/>
          <w:sz w:val="32"/>
        </w:rPr>
        <w:t>2024年度一般公共预算财政拨款支出554.62万元，</w:t>
      </w:r>
      <w:r>
        <w:rPr>
          <w:rFonts w:ascii="仿宋_GB2312" w:hAnsi="仿宋_GB2312" w:eastAsia="仿宋_GB2312"/>
          <w:b w:val="0"/>
          <w:sz w:val="32"/>
        </w:rPr>
        <w:t>占本年支出合计的99.57%。</w:t>
      </w:r>
      <w:r>
        <w:rPr>
          <w:rFonts w:ascii="仿宋_GB2312" w:hAnsi="仿宋_GB2312" w:eastAsia="仿宋_GB2312"/>
          <w:b/>
          <w:sz w:val="32"/>
        </w:rPr>
        <w:t>与上年相比，</w:t>
      </w:r>
      <w:r>
        <w:rPr>
          <w:rFonts w:ascii="仿宋_GB2312" w:hAnsi="仿宋_GB2312" w:eastAsia="仿宋_GB2312"/>
          <w:b w:val="0"/>
          <w:sz w:val="32"/>
        </w:rPr>
        <w:t>增加52.18万元，增长10.39%，主要原因是：本年在职人员工资调增，社保、公积金基数调增，补发人员绩效奖金，人员经费增加。本年增加自治区基层补助经费、地区人大监督工作会和地区人大工委二次会议会议费项目。</w:t>
      </w:r>
      <w:r>
        <w:rPr>
          <w:rFonts w:ascii="仿宋_GB2312" w:hAnsi="仿宋_GB2312" w:eastAsia="仿宋_GB2312"/>
          <w:b/>
          <w:sz w:val="32"/>
        </w:rPr>
        <w:t>与年初预算相比,</w:t>
      </w:r>
      <w:r>
        <w:rPr>
          <w:rFonts w:ascii="仿宋_GB2312" w:hAnsi="仿宋_GB2312" w:eastAsia="仿宋_GB2312"/>
          <w:b w:val="0"/>
          <w:sz w:val="32"/>
        </w:rPr>
        <w:t>年初预算数571.36万元，决算数554.62万元，预决算差异率-2.93%，主要原因是：严格落实中央八项规定精神，厉行节约，减少不必要的开支。</w:t>
      </w:r>
    </w:p>
    <w:p w14:paraId="71C922C6">
      <w:pPr>
        <w:spacing w:line="640" w:lineRule="exact"/>
        <w:ind w:firstLine="640"/>
        <w:jc w:val="both"/>
        <w:outlineLvl w:val="3"/>
      </w:pPr>
      <w:r>
        <w:rPr>
          <w:rFonts w:ascii="楷体_GB2312" w:hAnsi="楷体_GB2312" w:eastAsia="楷体_GB2312"/>
          <w:b/>
          <w:sz w:val="32"/>
        </w:rPr>
        <w:t>（二）一般公共预算财政拨款支出决算结构情况</w:t>
      </w:r>
    </w:p>
    <w:p w14:paraId="29724D8B">
      <w:pPr>
        <w:spacing w:line="580" w:lineRule="exact"/>
        <w:ind w:firstLine="640"/>
        <w:jc w:val="both"/>
      </w:pPr>
      <w:r>
        <w:rPr>
          <w:rFonts w:ascii="仿宋_GB2312" w:hAnsi="仿宋_GB2312" w:eastAsia="仿宋_GB2312"/>
          <w:b w:val="0"/>
          <w:sz w:val="32"/>
        </w:rPr>
        <w:t>1.一般公共服务支出(类)417.00万元,占75.19%。</w:t>
      </w:r>
    </w:p>
    <w:p w14:paraId="1248FC88">
      <w:pPr>
        <w:spacing w:line="580" w:lineRule="exact"/>
        <w:ind w:firstLine="640"/>
        <w:jc w:val="both"/>
      </w:pPr>
      <w:r>
        <w:rPr>
          <w:rFonts w:ascii="仿宋_GB2312" w:hAnsi="仿宋_GB2312" w:eastAsia="仿宋_GB2312"/>
          <w:b w:val="0"/>
          <w:sz w:val="32"/>
        </w:rPr>
        <w:t>2.科学技术支出(类)10.00万元,占1.80%。</w:t>
      </w:r>
    </w:p>
    <w:p w14:paraId="7B453CE2">
      <w:pPr>
        <w:spacing w:line="580" w:lineRule="exact"/>
        <w:ind w:firstLine="640"/>
        <w:jc w:val="both"/>
      </w:pPr>
      <w:r>
        <w:rPr>
          <w:rFonts w:ascii="仿宋_GB2312" w:hAnsi="仿宋_GB2312" w:eastAsia="仿宋_GB2312"/>
          <w:b w:val="0"/>
          <w:sz w:val="32"/>
        </w:rPr>
        <w:t>3.社会保障和就业支出(类)69.46万元,占12.52%。</w:t>
      </w:r>
    </w:p>
    <w:p w14:paraId="71CACE8C">
      <w:pPr>
        <w:spacing w:line="580" w:lineRule="exact"/>
        <w:ind w:firstLine="640"/>
        <w:jc w:val="both"/>
      </w:pPr>
      <w:r>
        <w:rPr>
          <w:rFonts w:ascii="仿宋_GB2312" w:hAnsi="仿宋_GB2312" w:eastAsia="仿宋_GB2312"/>
          <w:b w:val="0"/>
          <w:sz w:val="32"/>
        </w:rPr>
        <w:t>4.卫生健康支出(类)23.43万元,占4.22%。</w:t>
      </w:r>
    </w:p>
    <w:p w14:paraId="26B7B97F">
      <w:pPr>
        <w:spacing w:line="580" w:lineRule="exact"/>
        <w:ind w:firstLine="640"/>
        <w:jc w:val="both"/>
      </w:pPr>
      <w:r>
        <w:rPr>
          <w:rFonts w:ascii="仿宋_GB2312" w:hAnsi="仿宋_GB2312" w:eastAsia="仿宋_GB2312"/>
          <w:b w:val="0"/>
          <w:sz w:val="32"/>
        </w:rPr>
        <w:t>5.住房保障支出(类)34.74万元,占6.26%。</w:t>
      </w:r>
    </w:p>
    <w:p w14:paraId="4DEE5579">
      <w:pPr>
        <w:spacing w:line="640" w:lineRule="exact"/>
        <w:ind w:firstLine="640"/>
        <w:jc w:val="both"/>
        <w:outlineLvl w:val="3"/>
      </w:pPr>
      <w:r>
        <w:rPr>
          <w:rFonts w:ascii="楷体_GB2312" w:hAnsi="楷体_GB2312" w:eastAsia="楷体_GB2312"/>
          <w:b/>
          <w:sz w:val="32"/>
        </w:rPr>
        <w:t>（三）一般公共预算财政拨款支出决算具体情况</w:t>
      </w:r>
    </w:p>
    <w:p w14:paraId="71507000">
      <w:pPr>
        <w:spacing w:line="580" w:lineRule="exact"/>
        <w:ind w:firstLine="640"/>
        <w:jc w:val="both"/>
      </w:pPr>
      <w:r>
        <w:rPr>
          <w:rFonts w:ascii="仿宋_GB2312" w:hAnsi="仿宋_GB2312" w:eastAsia="仿宋_GB2312"/>
          <w:b w:val="0"/>
          <w:sz w:val="32"/>
        </w:rPr>
        <w:t>1.一般公共服务支出(类)人大事务(款)行政运行(项):支出决算数为389.98万元，比上年决算增加44.29万元，增长12.81%,主要原因是：本年在职人员工资调增，补发人员绩效奖金，导致相关人员经费较上年有所增加。</w:t>
      </w:r>
    </w:p>
    <w:p w14:paraId="0115721C">
      <w:pPr>
        <w:spacing w:line="580" w:lineRule="exact"/>
        <w:ind w:firstLine="640"/>
        <w:jc w:val="both"/>
      </w:pPr>
      <w:r>
        <w:rPr>
          <w:rFonts w:ascii="仿宋_GB2312" w:hAnsi="仿宋_GB2312" w:eastAsia="仿宋_GB2312"/>
          <w:b w:val="0"/>
          <w:sz w:val="32"/>
        </w:rPr>
        <w:t>2.一般公共服务支出(类)人大事务(款)其他人大事务支出(项):支出决算数为27.02万元，比上年决算增加18.52万元，增长217.88%,主要原因是：本年增加自治区基层补助经费、地区人大监督工作会和地区人大工委二次会议会议费项目等支出，导致经费较上年增加。</w:t>
      </w:r>
    </w:p>
    <w:p w14:paraId="2D47685F">
      <w:pPr>
        <w:spacing w:line="580" w:lineRule="exact"/>
        <w:ind w:firstLine="640"/>
        <w:jc w:val="both"/>
      </w:pPr>
      <w:r>
        <w:rPr>
          <w:rFonts w:ascii="仿宋_GB2312" w:hAnsi="仿宋_GB2312" w:eastAsia="仿宋_GB2312"/>
          <w:b w:val="0"/>
          <w:sz w:val="32"/>
        </w:rPr>
        <w:t>3.科学技术支出(类)技术研究与开发(款)科技成果转化与扩散(项):支出决算数为10.00万元，比上年决算增加10.00万元，增长100.00%,主要原因是：本年新增联网监督系统软件费项目，导致经费较上年增加。</w:t>
      </w:r>
    </w:p>
    <w:p w14:paraId="1120D34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18.59万元，比上年决算减少20.49万元，下降52.43%,主要原因是：上年发放死亡抚恤金，2024年无死亡人员抚恤金，导致经费较上年减少。</w:t>
      </w:r>
    </w:p>
    <w:p w14:paraId="6DDC54B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43.15万元，比上年决算增加3.78万元，增长9.60%,主要原因是：本年在职人员工资基数调增，养老缴费基数上涨，相应支出增加。</w:t>
      </w:r>
    </w:p>
    <w:p w14:paraId="61A81E62">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7.72万元，比上年决算减少6.60万元，下降46.09%,主要原因是：本年新增退休人员较上年减少，职业年金缴费较上年减少。</w:t>
      </w:r>
    </w:p>
    <w:p w14:paraId="4EDB5A30">
      <w:pPr>
        <w:spacing w:line="580" w:lineRule="exact"/>
        <w:ind w:firstLine="640"/>
        <w:jc w:val="both"/>
      </w:pPr>
      <w:r>
        <w:rPr>
          <w:rFonts w:ascii="仿宋_GB2312" w:hAnsi="仿宋_GB2312" w:eastAsia="仿宋_GB2312"/>
          <w:b w:val="0"/>
          <w:sz w:val="32"/>
        </w:rPr>
        <w:t>7.卫生健康支出(类)行政事业单位医疗(款)行政单位医疗(项):支出决算数为18.00万元，比上年决算增加0.18万元，增长1.01%,主要原因是：本年在职人员工资基数调增，医疗缴费基数上涨，相应支出增加。</w:t>
      </w:r>
    </w:p>
    <w:p w14:paraId="1BE91ED0">
      <w:pPr>
        <w:spacing w:line="580" w:lineRule="exact"/>
        <w:ind w:firstLine="640"/>
        <w:jc w:val="both"/>
      </w:pPr>
      <w:r>
        <w:rPr>
          <w:rFonts w:ascii="仿宋_GB2312" w:hAnsi="仿宋_GB2312" w:eastAsia="仿宋_GB2312"/>
          <w:b w:val="0"/>
          <w:sz w:val="32"/>
        </w:rPr>
        <w:t>8.卫生健康支出(类)行政事业单位医疗(款)公务员医疗补助(项):支出决算数为5.43万元，比上年决算减少0.53万元，下降8.89%,主要原因是：本年在职人员调入调出，人员职级不同，缴费基数不同，导致公务员医疗补助较上年减少。</w:t>
      </w:r>
    </w:p>
    <w:p w14:paraId="221561A3">
      <w:pPr>
        <w:spacing w:line="580" w:lineRule="exact"/>
        <w:ind w:firstLine="640"/>
        <w:jc w:val="both"/>
      </w:pPr>
      <w:r>
        <w:rPr>
          <w:rFonts w:ascii="仿宋_GB2312" w:hAnsi="仿宋_GB2312" w:eastAsia="仿宋_GB2312"/>
          <w:b w:val="0"/>
          <w:sz w:val="32"/>
        </w:rPr>
        <w:t>9.住房保障支出(类)住房改革支出(款)住房公积金(项):支出决算数为34.74万元，比上年决算增加3.04万元，增长9.59%,主要原因是：本年在职人员工资基数调增，公积金缴费基数上涨，相应支出增加。</w:t>
      </w:r>
    </w:p>
    <w:p w14:paraId="053FAEDB">
      <w:pPr>
        <w:spacing w:line="640" w:lineRule="exact"/>
        <w:ind w:firstLine="640"/>
        <w:jc w:val="both"/>
        <w:outlineLvl w:val="2"/>
      </w:pPr>
      <w:r>
        <w:rPr>
          <w:rFonts w:ascii="黑体" w:hAnsi="黑体" w:eastAsia="黑体"/>
          <w:sz w:val="32"/>
        </w:rPr>
        <w:t>六、一般公共预算财政拨款基本支出决算情况说明</w:t>
      </w:r>
    </w:p>
    <w:p w14:paraId="5C79B6ED">
      <w:pPr>
        <w:spacing w:line="580" w:lineRule="exact"/>
        <w:ind w:firstLine="640"/>
        <w:jc w:val="both"/>
      </w:pPr>
      <w:r>
        <w:rPr>
          <w:rFonts w:ascii="仿宋_GB2312" w:hAnsi="仿宋_GB2312" w:eastAsia="仿宋_GB2312"/>
          <w:b w:val="0"/>
          <w:sz w:val="32"/>
        </w:rPr>
        <w:t>2024年度一般公共预算财政拨款基本支出517.60万元，其中：</w:t>
      </w:r>
      <w:r>
        <w:rPr>
          <w:rFonts w:ascii="仿宋_GB2312" w:hAnsi="仿宋_GB2312" w:eastAsia="仿宋_GB2312"/>
          <w:b/>
          <w:sz w:val="32"/>
        </w:rPr>
        <w:t>人员经费472.02万元，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包括：基本工资、津贴补贴、奖金、机关事业单位基本养老保险缴费、职业年金缴费、职工基本医疗保险缴费、公务员医疗补助缴费、其他社会保障缴费、住房公积金、退休费、生活补助、医疗费补助、奖励金。</w:t>
      </w:r>
    </w:p>
    <w:p w14:paraId="0374127D">
      <w:pPr>
        <w:spacing w:line="580" w:lineRule="exact"/>
        <w:ind w:firstLine="640"/>
        <w:jc w:val="both"/>
      </w:pPr>
      <w:r>
        <w:rPr>
          <w:rFonts w:ascii="仿宋_GB2312" w:hAnsi="仿宋_GB2312" w:eastAsia="仿宋_GB2312"/>
          <w:b/>
          <w:sz w:val="32"/>
        </w:rPr>
        <w:t>公用经费45.57万元，</w:t>
      </w:r>
      <w:r>
        <w:rPr>
          <w:rFonts w:ascii="仿宋_GB2312" w:hAnsi="仿宋_GB2312" w:eastAsia="仿宋_GB2312"/>
          <w:b w:val="0"/>
          <w:sz w:val="32"/>
        </w:rPr>
        <w:t>包括：办公费、印刷费、水费、邮电费、取暖费、物业管理费、差旅费、维修（护）费、会议费、培训费、公务接待费、劳务费、工会经费、公务用车运行维护费、办公设备购置。</w:t>
      </w:r>
    </w:p>
    <w:p w14:paraId="5231F22A">
      <w:pPr>
        <w:spacing w:line="640" w:lineRule="exact"/>
        <w:ind w:firstLine="640"/>
        <w:jc w:val="both"/>
        <w:outlineLvl w:val="2"/>
      </w:pPr>
      <w:r>
        <w:rPr>
          <w:rFonts w:ascii="黑体" w:hAnsi="黑体" w:eastAsia="黑体"/>
          <w:sz w:val="32"/>
        </w:rPr>
        <w:t>七、政府性基金预算财政拨款收入支出决算情况说明</w:t>
      </w:r>
    </w:p>
    <w:p w14:paraId="543DAB40">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F92C8FB">
      <w:pPr>
        <w:spacing w:line="640" w:lineRule="exact"/>
        <w:ind w:firstLine="640"/>
        <w:jc w:val="both"/>
        <w:outlineLvl w:val="2"/>
      </w:pPr>
      <w:r>
        <w:rPr>
          <w:rFonts w:ascii="黑体" w:hAnsi="黑体" w:eastAsia="黑体"/>
          <w:sz w:val="32"/>
        </w:rPr>
        <w:t>八、国有资本经营预算财政拨款收入支出决算情况说明</w:t>
      </w:r>
    </w:p>
    <w:p w14:paraId="14CCB5B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4B89211">
      <w:pPr>
        <w:spacing w:line="640" w:lineRule="exact"/>
        <w:ind w:firstLine="640"/>
        <w:jc w:val="both"/>
        <w:outlineLvl w:val="2"/>
      </w:pPr>
      <w:r>
        <w:rPr>
          <w:rFonts w:ascii="黑体" w:hAnsi="黑体" w:eastAsia="黑体"/>
          <w:sz w:val="32"/>
        </w:rPr>
        <w:t>九、财政拨款“三公”经费支出决算情况说明</w:t>
      </w:r>
    </w:p>
    <w:p w14:paraId="01B84138">
      <w:pPr>
        <w:spacing w:line="580" w:lineRule="exact"/>
        <w:ind w:firstLine="640"/>
        <w:jc w:val="both"/>
      </w:pPr>
      <w:r>
        <w:rPr>
          <w:rFonts w:ascii="仿宋_GB2312" w:hAnsi="仿宋_GB2312" w:eastAsia="仿宋_GB2312"/>
          <w:b/>
          <w:sz w:val="32"/>
        </w:rPr>
        <w:t>2024年度财政拨款“三公”经费支出18.49万元，</w:t>
      </w:r>
      <w:r>
        <w:rPr>
          <w:rFonts w:ascii="仿宋_GB2312" w:hAnsi="仿宋_GB2312" w:eastAsia="仿宋_GB2312"/>
          <w:b w:val="0"/>
          <w:sz w:val="32"/>
        </w:rPr>
        <w:t>比上年减少2.16万元，下降10.47%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17.06万元，占92.27%，比上年减少2.36万元，下降12.15%，主要原因是：严格落实中央八项规定精神，厉行节约，减少公务用车运行维护费。公务接待费支出1.42万元，占7.68%，比上年增加0.20万元，增长16.39%，主要原因是：本年因业务需求，增加公务接待工作，导致公务接待费较上年增加。</w:t>
      </w:r>
    </w:p>
    <w:p w14:paraId="5AFFE4BC">
      <w:pPr>
        <w:spacing w:line="580" w:lineRule="exact"/>
        <w:ind w:firstLine="640"/>
        <w:jc w:val="both"/>
      </w:pPr>
      <w:r>
        <w:rPr>
          <w:rFonts w:ascii="仿宋_GB2312" w:hAnsi="仿宋_GB2312" w:eastAsia="仿宋_GB2312"/>
          <w:b/>
          <w:sz w:val="32"/>
        </w:rPr>
        <w:t>具体情况如下：</w:t>
      </w:r>
    </w:p>
    <w:p w14:paraId="19695E2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657665">
      <w:pPr>
        <w:spacing w:line="580" w:lineRule="exact"/>
        <w:ind w:firstLine="640"/>
        <w:jc w:val="both"/>
      </w:pPr>
      <w:r>
        <w:rPr>
          <w:rFonts w:ascii="仿宋_GB2312" w:hAnsi="仿宋_GB2312" w:eastAsia="仿宋_GB2312"/>
          <w:b w:val="0"/>
          <w:sz w:val="32"/>
        </w:rPr>
        <w:t>公务用车购置及运行维护费17.06万元，其中：公务用车购置费0.00万元，公务用车运行维护费17.06万元。公务用车运行维护费开支内容包括车辆燃料费、保险费、维修费等。公务用车购置数0辆，公务用车保有量6辆。国有资产占用情况中固定资产车辆6辆，与公务用车保有量差异原因是：本单位固定资产车辆与公务用车保有量一致无差异。</w:t>
      </w:r>
    </w:p>
    <w:p w14:paraId="492871A3">
      <w:pPr>
        <w:spacing w:line="580" w:lineRule="exact"/>
        <w:ind w:firstLine="640"/>
        <w:jc w:val="both"/>
      </w:pPr>
      <w:r>
        <w:rPr>
          <w:rFonts w:ascii="仿宋_GB2312" w:hAnsi="仿宋_GB2312" w:eastAsia="仿宋_GB2312"/>
          <w:b w:val="0"/>
          <w:sz w:val="32"/>
        </w:rPr>
        <w:t>公务接待费1.42万元，开支内容包括因上级领导检查工作，接待上级领导检查产生的就餐费。单位全年安排的国内公务接待24批次，237人次。</w:t>
      </w:r>
    </w:p>
    <w:p w14:paraId="343DBCC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18.49万元，决算数18.49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17.06万元，决算数17.06万元，预决算差异率0.00%，主要原因是：严格按照预算执行，预决算无差异。公务接待费全年预算数1.42万元，决算数1.42万元，预决算差异率0.00%，主要原因是：严格按照预算执行，预决算无差异。</w:t>
      </w:r>
    </w:p>
    <w:p w14:paraId="16118B87">
      <w:pPr>
        <w:spacing w:line="640" w:lineRule="exact"/>
        <w:ind w:firstLine="640"/>
        <w:jc w:val="both"/>
        <w:outlineLvl w:val="2"/>
      </w:pPr>
      <w:r>
        <w:rPr>
          <w:rFonts w:ascii="黑体" w:hAnsi="黑体" w:eastAsia="黑体"/>
          <w:sz w:val="32"/>
        </w:rPr>
        <w:t>十、其他重要事项的情况说明</w:t>
      </w:r>
    </w:p>
    <w:p w14:paraId="0BE8AB88">
      <w:pPr>
        <w:spacing w:line="640" w:lineRule="exact"/>
        <w:ind w:firstLine="640"/>
        <w:jc w:val="both"/>
        <w:outlineLvl w:val="3"/>
      </w:pPr>
      <w:r>
        <w:rPr>
          <w:rFonts w:ascii="楷体_GB2312" w:hAnsi="楷体_GB2312" w:eastAsia="楷体_GB2312"/>
          <w:b/>
          <w:sz w:val="32"/>
        </w:rPr>
        <w:t>（一）机关运行经费及公用经费支出情况</w:t>
      </w:r>
    </w:p>
    <w:p w14:paraId="72FF6C37">
      <w:pPr>
        <w:spacing w:line="580" w:lineRule="exact"/>
        <w:ind w:firstLine="640"/>
        <w:jc w:val="both"/>
      </w:pPr>
      <w:r>
        <w:rPr>
          <w:rFonts w:ascii="仿宋_GB2312" w:hAnsi="仿宋_GB2312" w:eastAsia="仿宋_GB2312"/>
          <w:b w:val="0"/>
          <w:sz w:val="32"/>
        </w:rPr>
        <w:t>2024年度托里县人民代表大会常务委员会办公室（行政单位和参照公务员法管理事业单位）机关运行经费支出45.57万元，比上年增加1.81万元，增长4.14%，主要原因是：本年增加会议费、差旅费、培训费等经费，机关运行经费支出增加。</w:t>
      </w:r>
    </w:p>
    <w:p w14:paraId="3E6EBD70">
      <w:pPr>
        <w:spacing w:line="640" w:lineRule="exact"/>
        <w:ind w:firstLine="640"/>
        <w:jc w:val="both"/>
        <w:outlineLvl w:val="3"/>
      </w:pPr>
      <w:r>
        <w:rPr>
          <w:rFonts w:ascii="楷体_GB2312" w:hAnsi="楷体_GB2312" w:eastAsia="楷体_GB2312"/>
          <w:b/>
          <w:sz w:val="32"/>
        </w:rPr>
        <w:t>（二）政府采购情况</w:t>
      </w:r>
    </w:p>
    <w:p w14:paraId="1BDD1976">
      <w:pPr>
        <w:spacing w:line="580" w:lineRule="exact"/>
        <w:ind w:firstLine="640"/>
        <w:jc w:val="both"/>
      </w:pPr>
      <w:r>
        <w:rPr>
          <w:rFonts w:ascii="仿宋_GB2312" w:hAnsi="仿宋_GB2312" w:eastAsia="仿宋_GB2312"/>
          <w:b w:val="0"/>
          <w:sz w:val="32"/>
        </w:rPr>
        <w:t>2024年度政府采购支出总额33.83万元，其中：政府采购货物支出10.86万元、政府采购工程支出2.00万元、政府采购服务支出20.98万元。</w:t>
      </w:r>
    </w:p>
    <w:p w14:paraId="44C409E6">
      <w:pPr>
        <w:spacing w:line="580" w:lineRule="exact"/>
        <w:ind w:firstLine="640"/>
        <w:jc w:val="both"/>
      </w:pPr>
      <w:r>
        <w:rPr>
          <w:rFonts w:ascii="仿宋_GB2312" w:hAnsi="仿宋_GB2312" w:eastAsia="仿宋_GB2312"/>
          <w:b w:val="0"/>
          <w:sz w:val="32"/>
        </w:rPr>
        <w:t>授予中小企业合同金额32.21万元，占政府采购支出总额的95.21%，其中：授予小微企业合同金额32.21万元，占政府采购支出总额的95.21%。</w:t>
      </w:r>
    </w:p>
    <w:p w14:paraId="15BA16AD">
      <w:pPr>
        <w:spacing w:line="640" w:lineRule="exact"/>
        <w:ind w:firstLine="640"/>
        <w:jc w:val="both"/>
        <w:outlineLvl w:val="3"/>
      </w:pPr>
      <w:r>
        <w:rPr>
          <w:rFonts w:ascii="楷体_GB2312" w:hAnsi="楷体_GB2312" w:eastAsia="楷体_GB2312"/>
          <w:b/>
          <w:sz w:val="32"/>
        </w:rPr>
        <w:t>（三）国有资产占用情况说明</w:t>
      </w:r>
    </w:p>
    <w:p w14:paraId="315BD7C6">
      <w:pPr>
        <w:spacing w:line="580" w:lineRule="exact"/>
        <w:ind w:firstLine="640"/>
        <w:jc w:val="both"/>
      </w:pPr>
      <w:r>
        <w:rPr>
          <w:rFonts w:ascii="仿宋_GB2312" w:hAnsi="仿宋_GB2312" w:eastAsia="仿宋_GB2312"/>
          <w:b w:val="0"/>
          <w:sz w:val="32"/>
        </w:rPr>
        <w:t>截至2024年12月31日，房屋0.00平方米，价值0.00万元。车辆6辆，价值169.65万元，其中：副部（省）级及以上领导用车0辆、主要负责人用车5辆、机要通信用车0辆、应急保障用车0辆、执法执勤用车0辆、特种专业技术用车0辆、离退休干部服务用车0辆、其他用车1辆，其他用车主要是：一般公务用车。单价100万元（含）以上设备（不含车辆）0台（套）。</w:t>
      </w:r>
    </w:p>
    <w:p w14:paraId="31518EA7">
      <w:pPr>
        <w:spacing w:line="640" w:lineRule="exact"/>
        <w:ind w:firstLine="640"/>
        <w:jc w:val="both"/>
        <w:outlineLvl w:val="2"/>
      </w:pPr>
      <w:r>
        <w:rPr>
          <w:rFonts w:ascii="黑体" w:hAnsi="黑体" w:eastAsia="黑体"/>
          <w:sz w:val="32"/>
        </w:rPr>
        <w:t>十一、预算绩效的情况说明</w:t>
      </w:r>
    </w:p>
    <w:p w14:paraId="4EEF08D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559.24万元，实际执行总额557.03万元；预算绩效评价项目6个，全年预算数41.13万元，全年执行数39.43万元。预算绩效管理取得的成效：现在决算细化到部门、细化到单位，具体到各个单位的数据，比较便于人大代表审查和监督使财政部门能够依法理财、人大能够依法监督。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设置的科学性、合理性有待进一步提高。（二）固定资产账务管理不够细致、严谨：抽查发现，单位固定资产账务管理存在资产台账未登记到具体使用人等问题。下一步改进措施：（一）强化部门绩效管理体系建设：一是建议以规章规则的形式，出台绩效管理制度，对绩效管理的目的、意义、性质和特点，以及组织实施绩效管理的程序、步骤、方法、原则和要求进行统一的规定。二是探索符合部门工作特点的评价指标体系。在设定绩效目标时选取相关性强的量化指标，并注重选取符合实际工作情况的指标值。（二）加强固定资产账务管理：确保账实相符针对抽查发现的问题，查找根源并改进，建议：一是加强年度政府采购台账和固定资产台账信息的比对。二是资产领用应尽可能明确到具体使用人。三是资产入账时相关人员应再次确认发票、合同信息，避免基础信息录入错误。具体附整体支出绩效自评表，项目支出绩效自评表和评价报告。</w:t>
      </w:r>
    </w:p>
    <w:p w14:paraId="42CBC94F">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CC0C508">
        <w:tblPrEx>
          <w:tblCellMar>
            <w:top w:w="0" w:type="dxa"/>
            <w:left w:w="108" w:type="dxa"/>
            <w:bottom w:w="0" w:type="dxa"/>
            <w:right w:w="108" w:type="dxa"/>
          </w:tblCellMar>
        </w:tblPrEx>
        <w:tc>
          <w:tcPr>
            <w:tcW w:w="8840" w:type="dxa"/>
            <w:gridSpan w:val="8"/>
            <w:vAlign w:val="center"/>
          </w:tcPr>
          <w:p w14:paraId="48A15BE3">
            <w:pPr>
              <w:jc w:val="center"/>
            </w:pPr>
            <w:r>
              <w:rPr>
                <w:rFonts w:ascii="宋体" w:hAnsi="宋体" w:eastAsia="宋体"/>
                <w:sz w:val="24"/>
              </w:rPr>
              <w:t>单位整体支出绩效自评表</w:t>
            </w:r>
          </w:p>
        </w:tc>
      </w:tr>
      <w:tr w14:paraId="7CDCFC9B">
        <w:tblPrEx>
          <w:tblCellMar>
            <w:top w:w="0" w:type="dxa"/>
            <w:left w:w="108" w:type="dxa"/>
            <w:bottom w:w="0" w:type="dxa"/>
            <w:right w:w="108" w:type="dxa"/>
          </w:tblCellMar>
        </w:tblPrEx>
        <w:tc>
          <w:tcPr>
            <w:tcW w:w="8840" w:type="dxa"/>
            <w:gridSpan w:val="8"/>
            <w:vAlign w:val="center"/>
          </w:tcPr>
          <w:p w14:paraId="6D923B59">
            <w:pPr>
              <w:jc w:val="center"/>
            </w:pPr>
            <w:r>
              <w:rPr>
                <w:rFonts w:ascii="宋体" w:hAnsi="宋体" w:eastAsia="宋体"/>
                <w:sz w:val="24"/>
              </w:rPr>
              <w:t>（2024年度）</w:t>
            </w:r>
          </w:p>
        </w:tc>
      </w:tr>
      <w:tr w14:paraId="0F8D31E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97EE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7BD674">
            <w:pPr>
              <w:jc w:val="center"/>
            </w:pPr>
            <w:r>
              <w:rPr>
                <w:rFonts w:ascii="宋体" w:hAnsi="宋体" w:eastAsia="宋体"/>
                <w:sz w:val="16"/>
              </w:rPr>
              <w:t>托里县人民代表大会常务委员会办公室</w:t>
            </w:r>
          </w:p>
        </w:tc>
      </w:tr>
      <w:tr w14:paraId="352A3C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2262C">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A9718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7207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8B010">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F7D1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3C2A0">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18796">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D1369">
            <w:pPr>
              <w:jc w:val="center"/>
            </w:pPr>
            <w:r>
              <w:rPr>
                <w:rFonts w:ascii="宋体" w:hAnsi="宋体" w:eastAsia="宋体"/>
                <w:sz w:val="16"/>
              </w:rPr>
              <w:t>得分</w:t>
            </w:r>
          </w:p>
        </w:tc>
      </w:tr>
      <w:tr w14:paraId="1A920A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81926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2FF7A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9A673F">
            <w:pPr>
              <w:jc w:val="center"/>
            </w:pPr>
            <w:r>
              <w:rPr>
                <w:rFonts w:ascii="宋体" w:hAnsi="宋体" w:eastAsia="宋体"/>
                <w:sz w:val="16"/>
              </w:rPr>
              <w:t>575.46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3E245">
            <w:pPr>
              <w:jc w:val="center"/>
            </w:pPr>
            <w:r>
              <w:rPr>
                <w:rFonts w:ascii="宋体" w:hAnsi="宋体" w:eastAsia="宋体"/>
                <w:sz w:val="16"/>
              </w:rPr>
              <w:t>559.24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4260D">
            <w:pPr>
              <w:jc w:val="center"/>
            </w:pPr>
            <w:r>
              <w:rPr>
                <w:rFonts w:ascii="宋体" w:hAnsi="宋体" w:eastAsia="宋体"/>
                <w:sz w:val="16"/>
              </w:rPr>
              <w:t>557.03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1CC5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FF61D">
            <w:pPr>
              <w:jc w:val="center"/>
            </w:pPr>
            <w:r>
              <w:rPr>
                <w:rFonts w:ascii="宋体" w:hAnsi="宋体" w:eastAsia="宋体"/>
                <w:sz w:val="16"/>
              </w:rPr>
              <w:t>99.60%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88D35E">
            <w:pPr>
              <w:jc w:val="center"/>
            </w:pPr>
            <w:r>
              <w:rPr>
                <w:rFonts w:ascii="宋体" w:hAnsi="宋体" w:eastAsia="宋体"/>
                <w:sz w:val="16"/>
              </w:rPr>
              <w:t>9.96</w:t>
            </w:r>
          </w:p>
        </w:tc>
      </w:tr>
      <w:tr w14:paraId="3D3501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6FF0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C97E80">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C73AA">
            <w:pPr>
              <w:jc w:val="center"/>
            </w:pPr>
            <w:r>
              <w:rPr>
                <w:rFonts w:ascii="宋体" w:hAnsi="宋体" w:eastAsia="宋体"/>
                <w:sz w:val="16"/>
              </w:rPr>
              <w:t>18.00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21070B">
            <w:pPr>
              <w:jc w:val="center"/>
            </w:pPr>
            <w:r>
              <w:rPr>
                <w:rFonts w:ascii="宋体" w:hAnsi="宋体" w:eastAsia="宋体"/>
                <w:sz w:val="16"/>
              </w:rPr>
              <w:t>18.00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62270">
            <w:pPr>
              <w:jc w:val="center"/>
            </w:pPr>
            <w:r>
              <w:rPr>
                <w:rFonts w:ascii="宋体" w:hAnsi="宋体" w:eastAsia="宋体"/>
                <w:sz w:val="16"/>
              </w:rPr>
              <w:t>18.00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7DCA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1A8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B7B3F">
            <w:pPr>
              <w:jc w:val="center"/>
            </w:pPr>
            <w:r>
              <w:rPr>
                <w:rFonts w:ascii="宋体" w:hAnsi="宋体" w:eastAsia="宋体"/>
                <w:sz w:val="16"/>
              </w:rPr>
              <w:t>-</w:t>
            </w:r>
          </w:p>
        </w:tc>
      </w:tr>
      <w:tr w14:paraId="7B3FE1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7D864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96DF8">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761AF">
            <w:pPr>
              <w:jc w:val="center"/>
            </w:pPr>
            <w:r>
              <w:rPr>
                <w:rFonts w:ascii="宋体" w:hAnsi="宋体" w:eastAsia="宋体"/>
                <w:sz w:val="16"/>
              </w:rPr>
              <w:t>553.36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EF910F">
            <w:pPr>
              <w:jc w:val="center"/>
            </w:pPr>
            <w:r>
              <w:rPr>
                <w:rFonts w:ascii="宋体" w:hAnsi="宋体" w:eastAsia="宋体"/>
                <w:sz w:val="16"/>
              </w:rPr>
              <w:t>536.62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12EFB">
            <w:pPr>
              <w:jc w:val="center"/>
            </w:pPr>
            <w:r>
              <w:rPr>
                <w:rFonts w:ascii="宋体" w:hAnsi="宋体" w:eastAsia="宋体"/>
                <w:sz w:val="16"/>
              </w:rPr>
              <w:t>536.62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D39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F0427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D92DC6">
            <w:pPr>
              <w:jc w:val="center"/>
            </w:pPr>
            <w:r>
              <w:rPr>
                <w:rFonts w:ascii="宋体" w:hAnsi="宋体" w:eastAsia="宋体"/>
                <w:sz w:val="16"/>
              </w:rPr>
              <w:t>-</w:t>
            </w:r>
          </w:p>
        </w:tc>
      </w:tr>
      <w:tr w14:paraId="5A6CDB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D71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F5C110">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A6D92">
            <w:pPr>
              <w:jc w:val="center"/>
            </w:pPr>
            <w:r>
              <w:rPr>
                <w:rFonts w:ascii="宋体" w:hAnsi="宋体" w:eastAsia="宋体"/>
                <w:sz w:val="16"/>
              </w:rPr>
              <w:t>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5AF1AC">
            <w:pPr>
              <w:jc w:val="center"/>
            </w:pPr>
            <w:r>
              <w:rPr>
                <w:rFonts w:ascii="宋体" w:hAnsi="宋体" w:eastAsia="宋体"/>
                <w:sz w:val="16"/>
              </w:rPr>
              <w:t>4.62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F4A349">
            <w:pPr>
              <w:jc w:val="center"/>
            </w:pPr>
            <w:r>
              <w:rPr>
                <w:rFonts w:ascii="宋体" w:hAnsi="宋体" w:eastAsia="宋体"/>
                <w:sz w:val="16"/>
              </w:rPr>
              <w:t>2.40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0F2B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F37C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E3F63">
            <w:pPr>
              <w:jc w:val="center"/>
            </w:pPr>
            <w:r>
              <w:rPr>
                <w:rFonts w:ascii="宋体" w:hAnsi="宋体" w:eastAsia="宋体"/>
                <w:sz w:val="16"/>
              </w:rPr>
              <w:t>-</w:t>
            </w:r>
          </w:p>
        </w:tc>
      </w:tr>
      <w:tr w14:paraId="0D430B0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825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9C41AF6">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0D21E8">
            <w:pPr>
              <w:jc w:val="center"/>
            </w:pPr>
            <w:r>
              <w:rPr>
                <w:rFonts w:ascii="宋体" w:hAnsi="宋体" w:eastAsia="宋体"/>
                <w:sz w:val="16"/>
              </w:rPr>
              <w:t>实际完成情况</w:t>
            </w:r>
          </w:p>
        </w:tc>
      </w:tr>
      <w:tr w14:paraId="38C95FB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EA1C82"/>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6156E8A">
            <w:pPr>
              <w:jc w:val="both"/>
            </w:pPr>
            <w:r>
              <w:rPr>
                <w:rFonts w:ascii="宋体" w:hAnsi="宋体" w:eastAsia="宋体"/>
                <w:sz w:val="16"/>
              </w:rPr>
              <w:t>1.2024年</w:t>
            </w:r>
            <w:r>
              <w:rPr>
                <w:rFonts w:hint="eastAsia" w:ascii="宋体" w:hAnsi="宋体"/>
                <w:sz w:val="16"/>
                <w:lang w:eastAsia="zh-CN"/>
              </w:rPr>
              <w:t>本单位</w:t>
            </w:r>
            <w:r>
              <w:rPr>
                <w:rFonts w:ascii="宋体" w:hAnsi="宋体" w:eastAsia="宋体"/>
                <w:sz w:val="16"/>
              </w:rPr>
              <w:t>将继续推进人大代表“室站”规范化建设，突显“室站”民意窗、连心桥、宣传站、监督岗功能，让“室站”成为代表学习培训、依法履职、发挥作用的重要阵地，做好调研活动的服务保障工作；2.学习借鉴内地省市和兄弟县市人大常委会先进工作经验，坚持党的领导、人民当家作主、依法治国有机统一，认真落实以习近平同志</w:t>
            </w:r>
            <w:r>
              <w:rPr>
                <w:rFonts w:hint="eastAsia" w:ascii="宋体" w:hAnsi="宋体"/>
                <w:sz w:val="16"/>
                <w:lang w:eastAsia="zh-CN"/>
              </w:rPr>
              <w:t>为核心的党中央</w:t>
            </w:r>
            <w:r>
              <w:rPr>
                <w:rFonts w:ascii="宋体" w:hAnsi="宋体" w:eastAsia="宋体"/>
                <w:sz w:val="16"/>
              </w:rPr>
              <w:t>决策部署、自治区党委、地委工作安排，讲政治、顾大局、勇担当、善作为，充分发挥人大在实现总目标中的职能和功效；3.听取和审议“一府一委两院”各类报告，安排自治区、县、乡三级人大代表履职培训不少于4次、视察、调研不少于13次，配合地区人大立法前期准备工作、执法检查等。4.召开人大常委会会议不少于4次/年，召开人民代表大会第四次会议不少于1次，召开乡镇人大工作联席会议不少于2次/年。团结带领全县各族人民群众在促进经济社会发</w:t>
            </w:r>
            <w:r>
              <w:rPr>
                <w:rFonts w:hint="eastAsia" w:ascii="宋体" w:hAnsi="宋体"/>
                <w:sz w:val="16"/>
                <w:lang w:eastAsia="zh-CN"/>
              </w:rPr>
              <w:t>展和</w:t>
            </w:r>
            <w:r>
              <w:rPr>
                <w:rFonts w:ascii="宋体" w:hAnsi="宋体" w:eastAsia="宋体"/>
                <w:sz w:val="16"/>
              </w:rPr>
              <w:t>建设美好托里县工作中担当作为。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BC5BF1">
            <w:pPr>
              <w:jc w:val="both"/>
            </w:pPr>
            <w:r>
              <w:rPr>
                <w:rFonts w:ascii="宋体" w:hAnsi="宋体" w:eastAsia="宋体"/>
                <w:sz w:val="16"/>
              </w:rPr>
              <w:t>2024年度托里县人大办全年履职尽责，各项工作按照2024年工作要点有条不紊地顺利开展完成，一是完成托里县十六届人大四次会议筹备工作，二是完成各类专题调研和执法检查19</w:t>
            </w:r>
            <w:r>
              <w:rPr>
                <w:rFonts w:hint="eastAsia" w:ascii="宋体" w:hAnsi="宋体"/>
                <w:sz w:val="16"/>
                <w:lang w:eastAsia="zh-CN"/>
              </w:rPr>
              <w:t>次</w:t>
            </w:r>
            <w:r>
              <w:rPr>
                <w:rFonts w:ascii="宋体" w:hAnsi="宋体" w:eastAsia="宋体"/>
                <w:sz w:val="16"/>
              </w:rPr>
              <w:t>，三是监督县政府专项工作数量13项，四是完成了6次常委会和2次乡镇联席会议。五是组织人员疆内或疆外培训9次，六是完成预决算审查监督事项2项工作。通过完成这些履职效能，</w:t>
            </w:r>
            <w:r>
              <w:rPr>
                <w:rFonts w:hint="eastAsia" w:ascii="宋体" w:hAnsi="宋体"/>
                <w:sz w:val="16"/>
                <w:lang w:eastAsia="zh-CN"/>
              </w:rPr>
              <w:t>本单位</w:t>
            </w:r>
            <w:r>
              <w:rPr>
                <w:rFonts w:ascii="宋体" w:hAnsi="宋体" w:eastAsia="宋体"/>
                <w:sz w:val="16"/>
              </w:rPr>
              <w:t>立足法定职能，系统性谋划人大工作，创造性做好人大工作，高标准推进人大工作，持续以奋进姿态肩负起发展全过程人民民主、加强和改进新时代托里人大工作的职责使命，为建设和谐富裕美丽宜居托里作出了新贡献。</w:t>
            </w:r>
          </w:p>
        </w:tc>
      </w:tr>
      <w:tr w14:paraId="25F7E7A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04FB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414F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2B43C">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674C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C9958">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456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8F6F4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4C0476">
            <w:pPr>
              <w:jc w:val="center"/>
            </w:pPr>
            <w:r>
              <w:rPr>
                <w:rFonts w:ascii="宋体" w:hAnsi="宋体" w:eastAsia="宋体"/>
                <w:sz w:val="16"/>
              </w:rPr>
              <w:t>得分</w:t>
            </w:r>
          </w:p>
        </w:tc>
      </w:tr>
      <w:tr w14:paraId="58CE39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6686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AD07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E902E">
            <w:pPr>
              <w:jc w:val="center"/>
            </w:pPr>
            <w:r>
              <w:rPr>
                <w:rFonts w:ascii="宋体" w:hAnsi="宋体" w:eastAsia="宋体"/>
                <w:sz w:val="16"/>
              </w:rPr>
              <w:t>召开人民代表大会第四次会议次数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1313B">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4F95B4">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0114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F0E1A7">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7EA1C">
            <w:pPr>
              <w:jc w:val="center"/>
            </w:pPr>
            <w:r>
              <w:rPr>
                <w:rFonts w:ascii="宋体" w:hAnsi="宋体" w:eastAsia="宋体"/>
                <w:sz w:val="16"/>
              </w:rPr>
              <w:t>15</w:t>
            </w:r>
          </w:p>
        </w:tc>
      </w:tr>
      <w:tr w14:paraId="250033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0475A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6BB6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6649C7">
            <w:pPr>
              <w:jc w:val="center"/>
            </w:pPr>
            <w:r>
              <w:rPr>
                <w:rFonts w:ascii="宋体" w:hAnsi="宋体" w:eastAsia="宋体"/>
                <w:sz w:val="16"/>
              </w:rPr>
              <w:t>召开人大常委会会议次数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AAA40">
            <w:pPr>
              <w:jc w:val="center"/>
            </w:pPr>
            <w:r>
              <w:rPr>
                <w:rFonts w:ascii="宋体" w:hAnsi="宋体" w:eastAsia="宋体"/>
                <w:sz w:val="16"/>
              </w:rPr>
              <w:t>&gt;=6次/年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CFED6">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8FD12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DBCC9">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20394">
            <w:pPr>
              <w:jc w:val="center"/>
            </w:pPr>
            <w:r>
              <w:rPr>
                <w:rFonts w:ascii="宋体" w:hAnsi="宋体" w:eastAsia="宋体"/>
                <w:sz w:val="16"/>
              </w:rPr>
              <w:t>15</w:t>
            </w:r>
          </w:p>
        </w:tc>
      </w:tr>
      <w:tr w14:paraId="3E6CFA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9875E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506B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222F4">
            <w:pPr>
              <w:jc w:val="center"/>
            </w:pPr>
            <w:r>
              <w:rPr>
                <w:rFonts w:ascii="宋体" w:hAnsi="宋体" w:eastAsia="宋体"/>
                <w:sz w:val="16"/>
              </w:rPr>
              <w:t>召开县乡镇人大工作联席会议次数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85D41">
            <w:pPr>
              <w:jc w:val="center"/>
            </w:pPr>
            <w:r>
              <w:rPr>
                <w:rFonts w:ascii="宋体" w:hAnsi="宋体" w:eastAsia="宋体"/>
                <w:sz w:val="16"/>
              </w:rPr>
              <w:t>&gt;=2次/年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06B3A">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BFDF4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EA759">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96021">
            <w:pPr>
              <w:jc w:val="center"/>
            </w:pPr>
            <w:r>
              <w:rPr>
                <w:rFonts w:ascii="宋体" w:hAnsi="宋体" w:eastAsia="宋体"/>
                <w:sz w:val="16"/>
              </w:rPr>
              <w:t>15</w:t>
            </w:r>
          </w:p>
        </w:tc>
      </w:tr>
      <w:tr w14:paraId="76495C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32BC4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2096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F1CEA">
            <w:pPr>
              <w:jc w:val="center"/>
            </w:pPr>
            <w:r>
              <w:rPr>
                <w:rFonts w:ascii="宋体" w:hAnsi="宋体" w:eastAsia="宋体"/>
                <w:sz w:val="16"/>
              </w:rPr>
              <w:t>监督县政府专项工作数量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973A03">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901319">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FCD9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9504B">
            <w:pPr>
              <w:jc w:val="center"/>
            </w:pPr>
            <w:r>
              <w:rPr>
                <w:rFonts w:ascii="宋体" w:hAnsi="宋体" w:eastAsia="宋体"/>
                <w:sz w:val="16"/>
              </w:rPr>
              <w:t>13项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E634A">
            <w:pPr>
              <w:jc w:val="center"/>
            </w:pPr>
            <w:r>
              <w:rPr>
                <w:rFonts w:ascii="宋体" w:hAnsi="宋体" w:eastAsia="宋体"/>
                <w:sz w:val="16"/>
              </w:rPr>
              <w:t>10</w:t>
            </w:r>
          </w:p>
        </w:tc>
      </w:tr>
      <w:tr w14:paraId="1062A9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F95D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11B13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52093F">
            <w:pPr>
              <w:jc w:val="center"/>
            </w:pPr>
            <w:r>
              <w:rPr>
                <w:rFonts w:ascii="宋体" w:hAnsi="宋体" w:eastAsia="宋体"/>
                <w:sz w:val="16"/>
              </w:rPr>
              <w:t>代表参加培训次数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5A653B">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0474FD">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A178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4BFDAC">
            <w:pPr>
              <w:jc w:val="center"/>
            </w:pPr>
            <w:r>
              <w:rPr>
                <w:rFonts w:ascii="宋体" w:hAnsi="宋体" w:eastAsia="宋体"/>
                <w:sz w:val="16"/>
              </w:rPr>
              <w:t>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745E7">
            <w:pPr>
              <w:jc w:val="center"/>
            </w:pPr>
            <w:r>
              <w:rPr>
                <w:rFonts w:ascii="宋体" w:hAnsi="宋体" w:eastAsia="宋体"/>
                <w:sz w:val="16"/>
              </w:rPr>
              <w:t>10</w:t>
            </w:r>
          </w:p>
        </w:tc>
      </w:tr>
      <w:tr w14:paraId="686481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24BC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719E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D9398B">
            <w:pPr>
              <w:jc w:val="center"/>
            </w:pPr>
            <w:r>
              <w:rPr>
                <w:rFonts w:ascii="宋体" w:hAnsi="宋体" w:eastAsia="宋体"/>
                <w:sz w:val="16"/>
              </w:rPr>
              <w:t>人大常委会开展调研活动及执法检查工作数量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B45ECF">
            <w:pPr>
              <w:jc w:val="center"/>
            </w:pPr>
            <w:r>
              <w:rPr>
                <w:rFonts w:ascii="宋体" w:hAnsi="宋体" w:eastAsia="宋体"/>
                <w:sz w:val="16"/>
              </w:rPr>
              <w:t>&gt;=13次/年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A4C088">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0163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8FDE4E">
            <w:pPr>
              <w:jc w:val="center"/>
            </w:pPr>
            <w:r>
              <w:rPr>
                <w:rFonts w:ascii="宋体" w:hAnsi="宋体" w:eastAsia="宋体"/>
                <w:sz w:val="16"/>
              </w:rPr>
              <w:t>19次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13A68">
            <w:pPr>
              <w:jc w:val="center"/>
            </w:pPr>
            <w:r>
              <w:rPr>
                <w:rFonts w:ascii="宋体" w:hAnsi="宋体" w:eastAsia="宋体"/>
                <w:sz w:val="16"/>
              </w:rPr>
              <w:t>10</w:t>
            </w:r>
          </w:p>
        </w:tc>
      </w:tr>
      <w:tr w14:paraId="228706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21B5D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475B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7BBA7">
            <w:pPr>
              <w:jc w:val="center"/>
            </w:pPr>
            <w:r>
              <w:rPr>
                <w:rFonts w:ascii="宋体" w:hAnsi="宋体" w:eastAsia="宋体"/>
                <w:sz w:val="16"/>
              </w:rPr>
              <w:t>完成预决算审查监督事项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F7101">
            <w:pPr>
              <w:jc w:val="center"/>
            </w:pPr>
            <w:r>
              <w:rPr>
                <w:rFonts w:ascii="宋体" w:hAnsi="宋体" w:eastAsia="宋体"/>
                <w:sz w:val="16"/>
              </w:rPr>
              <w:t>&gt;=2项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FA1427">
            <w:pPr>
              <w:jc w:val="center"/>
            </w:pPr>
            <w:r>
              <w:rPr>
                <w:rFonts w:ascii="宋体" w:hAnsi="宋体" w:eastAsia="宋体"/>
                <w:sz w:val="16"/>
              </w:rPr>
              <w:t>托里县人大常委会2024年工作要点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1A907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D6D325">
            <w:pPr>
              <w:jc w:val="center"/>
            </w:pPr>
            <w:r>
              <w:rPr>
                <w:rFonts w:ascii="宋体" w:hAnsi="宋体" w:eastAsia="宋体"/>
                <w:sz w:val="16"/>
              </w:rPr>
              <w:t>2项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68F1B7">
            <w:pPr>
              <w:jc w:val="center"/>
            </w:pPr>
            <w:r>
              <w:rPr>
                <w:rFonts w:ascii="宋体" w:hAnsi="宋体" w:eastAsia="宋体"/>
                <w:sz w:val="16"/>
              </w:rPr>
              <w:t>15</w:t>
            </w:r>
          </w:p>
        </w:tc>
      </w:tr>
    </w:tbl>
    <w:p w14:paraId="442A89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96"/>
        <w:gridCol w:w="632"/>
      </w:tblGrid>
      <w:tr w14:paraId="01BB6AD0">
        <w:tblPrEx>
          <w:tblCellMar>
            <w:top w:w="0" w:type="dxa"/>
            <w:left w:w="108" w:type="dxa"/>
            <w:bottom w:w="0" w:type="dxa"/>
            <w:right w:w="108" w:type="dxa"/>
          </w:tblCellMar>
        </w:tblPrEx>
        <w:tc>
          <w:tcPr>
            <w:tcW w:w="8848" w:type="dxa"/>
            <w:gridSpan w:val="14"/>
            <w:vAlign w:val="center"/>
          </w:tcPr>
          <w:p w14:paraId="00C9C4F8">
            <w:pPr>
              <w:jc w:val="center"/>
            </w:pPr>
            <w:r>
              <w:rPr>
                <w:rFonts w:ascii="宋体" w:hAnsi="宋体" w:eastAsia="宋体"/>
                <w:sz w:val="24"/>
              </w:rPr>
              <w:t>项目支出绩效自评表</w:t>
            </w:r>
          </w:p>
        </w:tc>
      </w:tr>
      <w:tr w14:paraId="3942625E">
        <w:tblPrEx>
          <w:tblCellMar>
            <w:top w:w="0" w:type="dxa"/>
            <w:left w:w="108" w:type="dxa"/>
            <w:bottom w:w="0" w:type="dxa"/>
            <w:right w:w="108" w:type="dxa"/>
          </w:tblCellMar>
        </w:tblPrEx>
        <w:tc>
          <w:tcPr>
            <w:tcW w:w="8848" w:type="dxa"/>
            <w:gridSpan w:val="14"/>
            <w:vAlign w:val="center"/>
          </w:tcPr>
          <w:p w14:paraId="2EBA0129">
            <w:pPr>
              <w:jc w:val="center"/>
            </w:pPr>
            <w:r>
              <w:rPr>
                <w:rFonts w:ascii="宋体" w:hAnsi="宋体" w:eastAsia="宋体"/>
                <w:sz w:val="24"/>
              </w:rPr>
              <w:t>(2024年度)</w:t>
            </w:r>
          </w:p>
        </w:tc>
      </w:tr>
      <w:tr w14:paraId="1E7B0F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65C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969E84">
            <w:pPr>
              <w:jc w:val="center"/>
            </w:pPr>
            <w:r>
              <w:rPr>
                <w:rFonts w:ascii="宋体" w:hAnsi="宋体" w:eastAsia="宋体"/>
                <w:sz w:val="16"/>
              </w:rPr>
              <w:t>2024年其他类项目-人大预算联网监督系统建设项目</w:t>
            </w:r>
          </w:p>
        </w:tc>
      </w:tr>
      <w:tr w14:paraId="1A7BBA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C0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CE2313">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F8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5AD662">
            <w:pPr>
              <w:jc w:val="center"/>
            </w:pPr>
            <w:r>
              <w:rPr>
                <w:rFonts w:ascii="宋体" w:hAnsi="宋体" w:eastAsia="宋体"/>
                <w:sz w:val="16"/>
              </w:rPr>
              <w:t>托里县人民代表大会常务委员会办公室</w:t>
            </w:r>
          </w:p>
        </w:tc>
      </w:tr>
      <w:tr w14:paraId="614DDB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9C8B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717A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45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C72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436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889D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B2CF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17F65">
            <w:pPr>
              <w:jc w:val="center"/>
            </w:pPr>
            <w:r>
              <w:rPr>
                <w:rFonts w:ascii="宋体" w:hAnsi="宋体" w:eastAsia="宋体"/>
                <w:sz w:val="16"/>
              </w:rPr>
              <w:t>得分</w:t>
            </w:r>
          </w:p>
        </w:tc>
      </w:tr>
      <w:tr w14:paraId="023D3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E9F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1C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C06F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F63E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DC8A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DD8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E0FB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6D63">
            <w:pPr>
              <w:jc w:val="center"/>
            </w:pPr>
            <w:r>
              <w:rPr>
                <w:rFonts w:ascii="宋体" w:hAnsi="宋体" w:eastAsia="宋体"/>
                <w:sz w:val="16"/>
              </w:rPr>
              <w:t>10.00</w:t>
            </w:r>
          </w:p>
        </w:tc>
      </w:tr>
      <w:tr w14:paraId="07047D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885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6C16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35C8">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485B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B825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61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CBC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E83C">
            <w:pPr>
              <w:jc w:val="center"/>
            </w:pPr>
            <w:r>
              <w:rPr>
                <w:rFonts w:ascii="宋体" w:hAnsi="宋体" w:eastAsia="宋体"/>
                <w:sz w:val="16"/>
              </w:rPr>
              <w:t>—</w:t>
            </w:r>
          </w:p>
        </w:tc>
      </w:tr>
      <w:tr w14:paraId="7BB3C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AD2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7B6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2C8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4BE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E38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E77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B09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1A4D4">
            <w:pPr>
              <w:jc w:val="center"/>
            </w:pPr>
            <w:r>
              <w:rPr>
                <w:rFonts w:ascii="宋体" w:hAnsi="宋体" w:eastAsia="宋体"/>
                <w:sz w:val="16"/>
              </w:rPr>
              <w:t>—</w:t>
            </w:r>
          </w:p>
        </w:tc>
      </w:tr>
      <w:tr w14:paraId="3517F3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37F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56BD3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558FB5">
            <w:pPr>
              <w:jc w:val="center"/>
            </w:pPr>
            <w:r>
              <w:rPr>
                <w:rFonts w:ascii="宋体" w:hAnsi="宋体" w:eastAsia="宋体"/>
                <w:sz w:val="16"/>
              </w:rPr>
              <w:t>实际完成情况</w:t>
            </w:r>
          </w:p>
        </w:tc>
      </w:tr>
      <w:tr w14:paraId="49EB2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08A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194C9">
            <w:pPr>
              <w:jc w:val="both"/>
            </w:pPr>
            <w:r>
              <w:rPr>
                <w:rFonts w:ascii="宋体" w:hAnsi="宋体" w:eastAsia="宋体"/>
                <w:sz w:val="16"/>
              </w:rPr>
              <w:t>人大预算联网监督系统建设项目资金10万元:主要用于购买1套运行系统。通过此项目的实施，推进县预算联网监督服务中心的建成，健全完善人大预算审查监督制度，提高人大预算审查监督的专业性、科学化</w:t>
            </w:r>
            <w:r>
              <w:rPr>
                <w:rFonts w:hint="eastAsia" w:ascii="宋体" w:hAnsi="宋体"/>
                <w:sz w:val="16"/>
                <w:lang w:eastAsia="zh-CN"/>
              </w:rPr>
              <w:t>，为</w:t>
            </w:r>
            <w:r>
              <w:rPr>
                <w:rFonts w:ascii="宋体" w:hAnsi="宋体" w:eastAsia="宋体"/>
                <w:sz w:val="16"/>
              </w:rPr>
              <w:t>进一步增强监督的实效</w:t>
            </w:r>
            <w:r>
              <w:rPr>
                <w:rFonts w:hint="eastAsia" w:ascii="宋体" w:hAnsi="宋体"/>
                <w:sz w:val="16"/>
                <w:lang w:eastAsia="zh-CN"/>
              </w:rPr>
              <w:t>，为</w:t>
            </w:r>
            <w:r>
              <w:rPr>
                <w:rFonts w:ascii="宋体" w:hAnsi="宋体" w:eastAsia="宋体"/>
                <w:sz w:val="16"/>
              </w:rPr>
              <w:t>进一步推动全面实施预算绩效管理改革奠定基础。人大代表满意度达到95%。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0DB1E8">
            <w:pPr>
              <w:jc w:val="both"/>
            </w:pPr>
            <w:r>
              <w:rPr>
                <w:rFonts w:ascii="宋体" w:hAnsi="宋体" w:eastAsia="宋体"/>
                <w:sz w:val="16"/>
              </w:rPr>
              <w:t>已使用资金10万元，通过购买1套预算联网监督平台系统，该系统已正常运转，基本实现审查、监督、分析等3个功能。通过此项目的实施，推进县预算联网监督服务中心的建成，健全完善人大预算审查监督制度，提高人大预算审查监督的专业性、科学化</w:t>
            </w:r>
            <w:r>
              <w:rPr>
                <w:rFonts w:hint="eastAsia" w:ascii="宋体" w:hAnsi="宋体"/>
                <w:sz w:val="16"/>
                <w:lang w:eastAsia="zh-CN"/>
              </w:rPr>
              <w:t>，为</w:t>
            </w:r>
            <w:r>
              <w:rPr>
                <w:rFonts w:ascii="宋体" w:hAnsi="宋体" w:eastAsia="宋体"/>
                <w:sz w:val="16"/>
              </w:rPr>
              <w:t>进一步增强监督的实效</w:t>
            </w:r>
            <w:r>
              <w:rPr>
                <w:rFonts w:hint="eastAsia" w:ascii="宋体" w:hAnsi="宋体"/>
                <w:sz w:val="16"/>
                <w:lang w:eastAsia="zh-CN"/>
              </w:rPr>
              <w:t>，为</w:t>
            </w:r>
            <w:r>
              <w:rPr>
                <w:rFonts w:ascii="宋体" w:hAnsi="宋体" w:eastAsia="宋体"/>
                <w:sz w:val="16"/>
              </w:rPr>
              <w:t>进一步推动全面实施预算绩效管理改革奠定基础。</w:t>
            </w:r>
          </w:p>
        </w:tc>
      </w:tr>
      <w:tr w14:paraId="4DE06F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1119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BEC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E09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271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B83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6E2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6E2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5F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D4C3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C7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5097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BD4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56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F0F6C">
            <w:pPr>
              <w:jc w:val="center"/>
            </w:pPr>
            <w:r>
              <w:rPr>
                <w:rFonts w:ascii="宋体" w:hAnsi="宋体" w:eastAsia="宋体"/>
                <w:sz w:val="16"/>
              </w:rPr>
              <w:t>偏差原因分析及改进措施</w:t>
            </w:r>
          </w:p>
        </w:tc>
      </w:tr>
      <w:tr w14:paraId="2910E0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9D5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A83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9625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8C926">
            <w:pPr>
              <w:jc w:val="center"/>
            </w:pPr>
            <w:r>
              <w:rPr>
                <w:rFonts w:ascii="宋体" w:hAnsi="宋体" w:eastAsia="宋体"/>
                <w:sz w:val="16"/>
              </w:rPr>
              <w:t>预算联网监督平台购置数量（台）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BB45">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5F1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B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0EF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3B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9271C">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4702">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1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85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24A4">
            <w:pPr>
              <w:jc w:val="center"/>
            </w:pPr>
          </w:p>
        </w:tc>
      </w:tr>
      <w:tr w14:paraId="155CB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29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84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19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5242">
            <w:pPr>
              <w:jc w:val="center"/>
            </w:pPr>
            <w:r>
              <w:rPr>
                <w:rFonts w:ascii="宋体" w:hAnsi="宋体" w:eastAsia="宋体"/>
                <w:sz w:val="16"/>
              </w:rPr>
              <w:t>预算联网监督系统可实现功能数量（个）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458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3A5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58A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6C5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1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037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865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83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86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E90CF">
            <w:pPr>
              <w:jc w:val="center"/>
            </w:pPr>
          </w:p>
        </w:tc>
      </w:tr>
      <w:tr w14:paraId="55E462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16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E16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8EA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F7E2">
            <w:pPr>
              <w:jc w:val="center"/>
            </w:pPr>
            <w:r>
              <w:rPr>
                <w:rFonts w:ascii="宋体" w:hAnsi="宋体" w:eastAsia="宋体"/>
                <w:sz w:val="16"/>
              </w:rPr>
              <w:t>软件验收合格率（%）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30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524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99E6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72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A71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974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10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92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E4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159A">
            <w:pPr>
              <w:jc w:val="center"/>
            </w:pPr>
          </w:p>
        </w:tc>
      </w:tr>
      <w:tr w14:paraId="0D941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51F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6B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BA4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91D0A">
            <w:pPr>
              <w:jc w:val="center"/>
            </w:pPr>
            <w:r>
              <w:rPr>
                <w:rFonts w:ascii="宋体" w:hAnsi="宋体" w:eastAsia="宋体"/>
                <w:sz w:val="16"/>
              </w:rPr>
              <w:t>预算联网监督系统正常运行率（%）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315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68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46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96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04B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8CE8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32AB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64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29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AB90">
            <w:pPr>
              <w:jc w:val="center"/>
            </w:pPr>
          </w:p>
        </w:tc>
      </w:tr>
      <w:tr w14:paraId="37393DE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77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8BB9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858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C886">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0E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911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55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70E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9F0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12F2">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0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39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340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F4FF">
            <w:pPr>
              <w:jc w:val="center"/>
            </w:pPr>
          </w:p>
        </w:tc>
      </w:tr>
      <w:tr w14:paraId="05052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A67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E7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281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46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4AB0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11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94F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7A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40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D38C">
            <w:pPr>
              <w:jc w:val="center"/>
            </w:pPr>
            <w:r>
              <w:rPr>
                <w:rFonts w:ascii="宋体" w:hAnsi="宋体" w:eastAsia="宋体"/>
                <w:sz w:val="16"/>
              </w:rPr>
              <w:t>原始凭证,正式材料,工作资料,说明材料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CAF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851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967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CA15">
            <w:pPr>
              <w:jc w:val="center"/>
            </w:pPr>
          </w:p>
        </w:tc>
      </w:tr>
      <w:tr w14:paraId="7DD9E473">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38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CC9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FBE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AD642">
            <w:pPr>
              <w:jc w:val="center"/>
            </w:pPr>
            <w:r>
              <w:rPr>
                <w:rFonts w:ascii="宋体" w:hAnsi="宋体" w:eastAsia="宋体"/>
                <w:sz w:val="16"/>
              </w:rPr>
              <w:t>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044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D50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BA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C61F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47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C9930">
            <w:pPr>
              <w:jc w:val="center"/>
            </w:pPr>
            <w:r>
              <w:rPr>
                <w:rFonts w:ascii="宋体" w:hAnsi="宋体" w:eastAsia="宋体"/>
                <w:sz w:val="16"/>
              </w:rPr>
              <w:t>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32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C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88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41951">
            <w:pPr>
              <w:jc w:val="center"/>
            </w:pPr>
          </w:p>
        </w:tc>
      </w:tr>
      <w:tr w14:paraId="632F3B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B51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DD912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8817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6DD3">
            <w:pPr>
              <w:jc w:val="center"/>
            </w:pPr>
            <w:r>
              <w:rPr>
                <w:rFonts w:ascii="宋体" w:hAnsi="宋体" w:eastAsia="宋体"/>
                <w:sz w:val="16"/>
              </w:rPr>
              <w:t>提高人大预算审查监督的专业性和科学化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32E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6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8E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2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EDF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63F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5312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14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10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BD3D">
            <w:pPr>
              <w:jc w:val="center"/>
            </w:pPr>
          </w:p>
        </w:tc>
      </w:tr>
      <w:tr w14:paraId="1C810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878E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D49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D85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C26A">
            <w:pPr>
              <w:jc w:val="center"/>
            </w:pPr>
            <w:r>
              <w:rPr>
                <w:rFonts w:ascii="宋体" w:hAnsi="宋体" w:eastAsia="宋体"/>
                <w:sz w:val="16"/>
              </w:rPr>
              <w:t>进一步增强预算监督的实效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3A57">
            <w:pPr>
              <w:jc w:val="center"/>
            </w:pPr>
            <w:r>
              <w:rPr>
                <w:rFonts w:ascii="宋体" w:hAnsi="宋体" w:eastAsia="宋体"/>
                <w:sz w:val="16"/>
              </w:rPr>
              <w:t>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999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38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BC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3E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CF3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29B5">
            <w:pPr>
              <w:jc w:val="center"/>
            </w:pPr>
            <w:r>
              <w:rPr>
                <w:rFonts w:ascii="宋体" w:hAnsi="宋体" w:eastAsia="宋体"/>
                <w:sz w:val="16"/>
              </w:rPr>
              <w:t>显著增强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87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88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B409">
            <w:pPr>
              <w:jc w:val="center"/>
            </w:pPr>
          </w:p>
        </w:tc>
      </w:tr>
      <w:tr w14:paraId="38A0B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A2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9C58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5C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67B5D">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A6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F0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7F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4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4E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1E7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F442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FB4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A6C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CFF2">
            <w:pPr>
              <w:jc w:val="center"/>
            </w:pPr>
          </w:p>
        </w:tc>
      </w:tr>
      <w:tr w14:paraId="623647C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2BD14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4A87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68196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98D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96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3CDAB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D657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995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B182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7848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3FB6A7"/>
        </w:tc>
      </w:tr>
    </w:tbl>
    <w:p w14:paraId="26CCF4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96"/>
        <w:gridCol w:w="632"/>
      </w:tblGrid>
      <w:tr w14:paraId="3AF4019B">
        <w:tblPrEx>
          <w:tblCellMar>
            <w:top w:w="0" w:type="dxa"/>
            <w:left w:w="108" w:type="dxa"/>
            <w:bottom w:w="0" w:type="dxa"/>
            <w:right w:w="108" w:type="dxa"/>
          </w:tblCellMar>
        </w:tblPrEx>
        <w:tc>
          <w:tcPr>
            <w:tcW w:w="8848" w:type="dxa"/>
            <w:gridSpan w:val="14"/>
            <w:vAlign w:val="center"/>
          </w:tcPr>
          <w:p w14:paraId="2EE9A638">
            <w:pPr>
              <w:jc w:val="center"/>
            </w:pPr>
            <w:r>
              <w:rPr>
                <w:rFonts w:ascii="宋体" w:hAnsi="宋体" w:eastAsia="宋体"/>
                <w:sz w:val="24"/>
              </w:rPr>
              <w:t>项目支出绩效自评表</w:t>
            </w:r>
          </w:p>
        </w:tc>
      </w:tr>
      <w:tr w14:paraId="693F962C">
        <w:tblPrEx>
          <w:tblCellMar>
            <w:top w:w="0" w:type="dxa"/>
            <w:left w:w="108" w:type="dxa"/>
            <w:bottom w:w="0" w:type="dxa"/>
            <w:right w:w="108" w:type="dxa"/>
          </w:tblCellMar>
        </w:tblPrEx>
        <w:tc>
          <w:tcPr>
            <w:tcW w:w="8848" w:type="dxa"/>
            <w:gridSpan w:val="14"/>
            <w:vAlign w:val="center"/>
          </w:tcPr>
          <w:p w14:paraId="20B79DA2">
            <w:pPr>
              <w:jc w:val="center"/>
            </w:pPr>
            <w:r>
              <w:rPr>
                <w:rFonts w:ascii="宋体" w:hAnsi="宋体" w:eastAsia="宋体"/>
                <w:sz w:val="24"/>
              </w:rPr>
              <w:t>(2024年度)</w:t>
            </w:r>
          </w:p>
        </w:tc>
      </w:tr>
      <w:tr w14:paraId="4342CB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88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EF2B62">
            <w:pPr>
              <w:jc w:val="center"/>
            </w:pPr>
            <w:r>
              <w:rPr>
                <w:rFonts w:ascii="宋体" w:hAnsi="宋体" w:eastAsia="宋体"/>
                <w:sz w:val="16"/>
              </w:rPr>
              <w:t>2024年其他类项目-地区人大监督工作会和地区人大工委二次会议会议费项目</w:t>
            </w:r>
          </w:p>
        </w:tc>
      </w:tr>
      <w:tr w14:paraId="2B2314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678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A420B">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31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C20F93">
            <w:pPr>
              <w:jc w:val="center"/>
            </w:pPr>
            <w:r>
              <w:rPr>
                <w:rFonts w:ascii="宋体" w:hAnsi="宋体" w:eastAsia="宋体"/>
                <w:sz w:val="16"/>
              </w:rPr>
              <w:t>托里县人民代表大会常务委员会办公室</w:t>
            </w:r>
          </w:p>
        </w:tc>
      </w:tr>
      <w:tr w14:paraId="1832ED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4677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F3CC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613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32B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E485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EAD8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CCC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6E97">
            <w:pPr>
              <w:jc w:val="center"/>
            </w:pPr>
            <w:r>
              <w:rPr>
                <w:rFonts w:ascii="宋体" w:hAnsi="宋体" w:eastAsia="宋体"/>
                <w:sz w:val="16"/>
              </w:rPr>
              <w:t>得分</w:t>
            </w:r>
          </w:p>
        </w:tc>
      </w:tr>
      <w:tr w14:paraId="4BC98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AEA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78BD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EA244">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2B7C9">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FCDBF">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AFC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268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70ADD">
            <w:pPr>
              <w:jc w:val="center"/>
            </w:pPr>
            <w:r>
              <w:rPr>
                <w:rFonts w:ascii="宋体" w:hAnsi="宋体" w:eastAsia="宋体"/>
                <w:sz w:val="16"/>
              </w:rPr>
              <w:t>10.00</w:t>
            </w:r>
          </w:p>
        </w:tc>
      </w:tr>
      <w:tr w14:paraId="07910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58B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6926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E0B2A">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58DF2">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1A80D">
            <w:pPr>
              <w:jc w:val="center"/>
            </w:pPr>
            <w:r>
              <w:rPr>
                <w:rFonts w:ascii="宋体" w:hAnsi="宋体" w:eastAsia="宋体"/>
                <w:sz w:val="16"/>
              </w:rPr>
              <w:t>0.94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68A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4C9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94CA">
            <w:pPr>
              <w:jc w:val="center"/>
            </w:pPr>
            <w:r>
              <w:rPr>
                <w:rFonts w:ascii="宋体" w:hAnsi="宋体" w:eastAsia="宋体"/>
                <w:sz w:val="16"/>
              </w:rPr>
              <w:t>—</w:t>
            </w:r>
          </w:p>
        </w:tc>
      </w:tr>
      <w:tr w14:paraId="367C8B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1AB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A75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321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5ED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C5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059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35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BE3C">
            <w:pPr>
              <w:jc w:val="center"/>
            </w:pPr>
            <w:r>
              <w:rPr>
                <w:rFonts w:ascii="宋体" w:hAnsi="宋体" w:eastAsia="宋体"/>
                <w:sz w:val="16"/>
              </w:rPr>
              <w:t>—</w:t>
            </w:r>
          </w:p>
        </w:tc>
      </w:tr>
      <w:tr w14:paraId="49FD91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AAC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1634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466B28">
            <w:pPr>
              <w:jc w:val="center"/>
            </w:pPr>
            <w:r>
              <w:rPr>
                <w:rFonts w:ascii="宋体" w:hAnsi="宋体" w:eastAsia="宋体"/>
                <w:sz w:val="16"/>
              </w:rPr>
              <w:t>实际完成情况</w:t>
            </w:r>
          </w:p>
        </w:tc>
      </w:tr>
      <w:tr w14:paraId="5B594C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915B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99AF7">
            <w:pPr>
              <w:jc w:val="both"/>
            </w:pPr>
            <w:r>
              <w:rPr>
                <w:rFonts w:ascii="宋体" w:hAnsi="宋体" w:eastAsia="宋体"/>
                <w:sz w:val="16"/>
              </w:rPr>
              <w:t>通过保障会议举行的餐费、交通费、印刷费等费用开支，保障会议顺利、高效开展，达成会议预期成效，推动各县市业务交流、决策制定和工作进展，提升单位整体运营效率与工作质量。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709005">
            <w:pPr>
              <w:jc w:val="both"/>
            </w:pPr>
            <w:r>
              <w:rPr>
                <w:rFonts w:ascii="宋体" w:hAnsi="宋体" w:eastAsia="宋体"/>
                <w:sz w:val="16"/>
              </w:rPr>
              <w:t>已使用资金0.94万元，通过保障2场次59名参会人员的餐费、交通费、印刷费等，保障了会议顺利、高效开展，达成会议预期成效，推动各县市业务交流、决策制定和工作进展，提升单位整体运营效率与工作质量，提升了单位行业影响力。</w:t>
            </w:r>
          </w:p>
        </w:tc>
      </w:tr>
      <w:tr w14:paraId="6C11F4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1022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16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14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DF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9F8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E13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845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CEE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90C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775B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532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0B0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8E7F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8F73">
            <w:pPr>
              <w:jc w:val="center"/>
            </w:pPr>
            <w:r>
              <w:rPr>
                <w:rFonts w:ascii="宋体" w:hAnsi="宋体" w:eastAsia="宋体"/>
                <w:sz w:val="16"/>
              </w:rPr>
              <w:t>偏差原因分析及改进措施</w:t>
            </w:r>
          </w:p>
        </w:tc>
      </w:tr>
      <w:tr w14:paraId="50F051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2051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AA6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554D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AD95">
            <w:pPr>
              <w:jc w:val="center"/>
            </w:pPr>
            <w:r>
              <w:rPr>
                <w:rFonts w:ascii="宋体" w:hAnsi="宋体" w:eastAsia="宋体"/>
                <w:sz w:val="16"/>
              </w:rPr>
              <w:t>会议召开场次（次）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38F1">
            <w:pPr>
              <w:jc w:val="center"/>
            </w:pPr>
            <w:r>
              <w:rPr>
                <w:rFonts w:ascii="宋体" w:hAnsi="宋体" w:eastAsia="宋体"/>
                <w:sz w:val="16"/>
              </w:rPr>
              <w:t>&gt;=2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D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16D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726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2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A4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B98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A0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652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1B3EC">
            <w:pPr>
              <w:jc w:val="center"/>
            </w:pPr>
          </w:p>
        </w:tc>
      </w:tr>
      <w:tr w14:paraId="187C7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BE2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3FC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A7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BED2">
            <w:pPr>
              <w:jc w:val="center"/>
            </w:pPr>
            <w:r>
              <w:rPr>
                <w:rFonts w:ascii="宋体" w:hAnsi="宋体" w:eastAsia="宋体"/>
                <w:sz w:val="16"/>
              </w:rPr>
              <w:t>会议参会人数（人）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CAC9">
            <w:pPr>
              <w:jc w:val="center"/>
            </w:pPr>
            <w:r>
              <w:rPr>
                <w:rFonts w:ascii="宋体" w:hAnsi="宋体" w:eastAsia="宋体"/>
                <w:sz w:val="16"/>
              </w:rPr>
              <w:t>&gt;=59人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52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9C9B2">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C3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5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10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FBA3C">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D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92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6BF35">
            <w:pPr>
              <w:jc w:val="center"/>
            </w:pPr>
          </w:p>
        </w:tc>
      </w:tr>
      <w:tr w14:paraId="28674B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CE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A0B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05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5843">
            <w:pPr>
              <w:jc w:val="center"/>
            </w:pPr>
            <w:r>
              <w:rPr>
                <w:rFonts w:ascii="宋体" w:hAnsi="宋体" w:eastAsia="宋体"/>
                <w:sz w:val="16"/>
              </w:rPr>
              <w:t>交流会议出席率（%）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F0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FD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688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5A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A8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F6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662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DD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B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0FEE">
            <w:pPr>
              <w:jc w:val="center"/>
            </w:pPr>
          </w:p>
        </w:tc>
      </w:tr>
      <w:tr w14:paraId="0E279A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69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286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EE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62CF2">
            <w:pPr>
              <w:jc w:val="center"/>
            </w:pPr>
            <w:r>
              <w:rPr>
                <w:rFonts w:ascii="宋体" w:hAnsi="宋体" w:eastAsia="宋体"/>
                <w:sz w:val="16"/>
              </w:rPr>
              <w:t>会议召开及时率（%）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2B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0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C6C6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5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74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CB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1A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D52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06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13B7">
            <w:pPr>
              <w:jc w:val="center"/>
            </w:pPr>
          </w:p>
        </w:tc>
      </w:tr>
      <w:tr w14:paraId="748EF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070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44F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B24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F1C0F">
            <w:pPr>
              <w:jc w:val="center"/>
            </w:pPr>
            <w:r>
              <w:rPr>
                <w:rFonts w:ascii="宋体" w:hAnsi="宋体" w:eastAsia="宋体"/>
                <w:sz w:val="16"/>
              </w:rPr>
              <w:t>会议租车费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7890">
            <w:pPr>
              <w:jc w:val="center"/>
            </w:pPr>
            <w:r>
              <w:rPr>
                <w:rFonts w:ascii="宋体" w:hAnsi="宋体" w:eastAsia="宋体"/>
                <w:sz w:val="16"/>
              </w:rPr>
              <w:t>&lt;=0.15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43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B00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50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4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903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8760">
            <w:pPr>
              <w:jc w:val="center"/>
            </w:pPr>
            <w:r>
              <w:rPr>
                <w:rFonts w:ascii="宋体" w:hAnsi="宋体" w:eastAsia="宋体"/>
                <w:sz w:val="16"/>
              </w:rPr>
              <w:t>=0.15万元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D0B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70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2D17">
            <w:pPr>
              <w:jc w:val="center"/>
            </w:pPr>
          </w:p>
        </w:tc>
      </w:tr>
      <w:tr w14:paraId="0B0E7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3D6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614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69E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CD91">
            <w:pPr>
              <w:jc w:val="center"/>
            </w:pPr>
            <w:r>
              <w:rPr>
                <w:rFonts w:ascii="宋体" w:hAnsi="宋体" w:eastAsia="宋体"/>
                <w:sz w:val="16"/>
              </w:rPr>
              <w:t>会议餐费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66D4C">
            <w:pPr>
              <w:jc w:val="center"/>
            </w:pPr>
            <w:r>
              <w:rPr>
                <w:rFonts w:ascii="宋体" w:hAnsi="宋体" w:eastAsia="宋体"/>
                <w:sz w:val="16"/>
              </w:rPr>
              <w:t>&lt;=0.71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2E3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69C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054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D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47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AC19">
            <w:pPr>
              <w:jc w:val="center"/>
            </w:pPr>
            <w:r>
              <w:rPr>
                <w:rFonts w:ascii="宋体" w:hAnsi="宋体" w:eastAsia="宋体"/>
                <w:sz w:val="16"/>
              </w:rPr>
              <w:t>=0.71万元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22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D8A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E0AC">
            <w:pPr>
              <w:jc w:val="center"/>
            </w:pPr>
          </w:p>
        </w:tc>
      </w:tr>
      <w:tr w14:paraId="456AB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D35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5F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AA68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BF985">
            <w:pPr>
              <w:jc w:val="center"/>
            </w:pPr>
            <w:r>
              <w:rPr>
                <w:rFonts w:ascii="宋体" w:hAnsi="宋体" w:eastAsia="宋体"/>
                <w:sz w:val="16"/>
              </w:rPr>
              <w:t>会议牌匾成本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94CA">
            <w:pPr>
              <w:jc w:val="center"/>
            </w:pPr>
            <w:r>
              <w:rPr>
                <w:rFonts w:ascii="宋体" w:hAnsi="宋体" w:eastAsia="宋体"/>
                <w:sz w:val="16"/>
              </w:rPr>
              <w:t>&lt;=0.08万元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63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D63E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4B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7E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1FB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D9D2">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AE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63F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CBAC">
            <w:pPr>
              <w:jc w:val="center"/>
            </w:pPr>
          </w:p>
        </w:tc>
      </w:tr>
      <w:tr w14:paraId="5CF1ED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D78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93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5BBA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481A7">
            <w:pPr>
              <w:jc w:val="center"/>
            </w:pPr>
            <w:r>
              <w:rPr>
                <w:rFonts w:ascii="宋体" w:hAnsi="宋体" w:eastAsia="宋体"/>
                <w:sz w:val="16"/>
              </w:rPr>
              <w:t>提升单位行业影响力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3358">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EA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E86D3">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A58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4C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F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DA46">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65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06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7F4B">
            <w:pPr>
              <w:jc w:val="center"/>
            </w:pPr>
          </w:p>
        </w:tc>
      </w:tr>
      <w:tr w14:paraId="0B079B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D3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28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7B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D8E4D">
            <w:pPr>
              <w:jc w:val="center"/>
            </w:pPr>
            <w:r>
              <w:rPr>
                <w:rFonts w:ascii="宋体" w:hAnsi="宋体" w:eastAsia="宋体"/>
                <w:sz w:val="16"/>
              </w:rPr>
              <w:t>参会人员满意度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040C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BD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71D7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65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59D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24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E2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FC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9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680D">
            <w:pPr>
              <w:jc w:val="center"/>
            </w:pPr>
          </w:p>
        </w:tc>
      </w:tr>
      <w:tr w14:paraId="69BD819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466A8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E88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CDFF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B51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A8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CAF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B11B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40B2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14B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4F23A">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1BAC14"/>
        </w:tc>
      </w:tr>
    </w:tbl>
    <w:p w14:paraId="3693DDFA">
      <w:r>
        <w:br w:type="page"/>
      </w:r>
    </w:p>
    <w:tbl>
      <w:tblPr>
        <w:tblStyle w:val="9"/>
        <w:tblW w:w="9207" w:type="dxa"/>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96"/>
        <w:gridCol w:w="799"/>
      </w:tblGrid>
      <w:tr w14:paraId="041AB177">
        <w:tblPrEx>
          <w:tblCellMar>
            <w:top w:w="0" w:type="dxa"/>
            <w:left w:w="108" w:type="dxa"/>
            <w:bottom w:w="0" w:type="dxa"/>
            <w:right w:w="108" w:type="dxa"/>
          </w:tblCellMar>
        </w:tblPrEx>
        <w:tc>
          <w:tcPr>
            <w:tcW w:w="9207" w:type="dxa"/>
            <w:gridSpan w:val="14"/>
            <w:vAlign w:val="center"/>
          </w:tcPr>
          <w:p w14:paraId="7358F67C">
            <w:pPr>
              <w:jc w:val="center"/>
            </w:pPr>
            <w:r>
              <w:rPr>
                <w:rFonts w:ascii="宋体" w:hAnsi="宋体" w:eastAsia="宋体"/>
                <w:sz w:val="24"/>
              </w:rPr>
              <w:t>项目支出绩效自评表</w:t>
            </w:r>
          </w:p>
        </w:tc>
      </w:tr>
      <w:tr w14:paraId="5E6C40AE">
        <w:tblPrEx>
          <w:tblCellMar>
            <w:top w:w="0" w:type="dxa"/>
            <w:left w:w="108" w:type="dxa"/>
            <w:bottom w:w="0" w:type="dxa"/>
            <w:right w:w="108" w:type="dxa"/>
          </w:tblCellMar>
        </w:tblPrEx>
        <w:tc>
          <w:tcPr>
            <w:tcW w:w="9207" w:type="dxa"/>
            <w:gridSpan w:val="14"/>
            <w:vAlign w:val="center"/>
          </w:tcPr>
          <w:p w14:paraId="515E814F">
            <w:pPr>
              <w:jc w:val="center"/>
            </w:pPr>
            <w:r>
              <w:rPr>
                <w:rFonts w:ascii="宋体" w:hAnsi="宋体" w:eastAsia="宋体"/>
                <w:sz w:val="24"/>
              </w:rPr>
              <w:t>(2024年度)</w:t>
            </w:r>
          </w:p>
        </w:tc>
      </w:tr>
      <w:tr w14:paraId="0BE691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6181">
            <w:pPr>
              <w:jc w:val="center"/>
            </w:pPr>
            <w:r>
              <w:rPr>
                <w:rFonts w:ascii="宋体" w:hAnsi="宋体" w:eastAsia="宋体"/>
                <w:sz w:val="16"/>
              </w:rPr>
              <w:t>项目名称</w:t>
            </w:r>
          </w:p>
        </w:tc>
        <w:tc>
          <w:tcPr>
            <w:tcW w:w="857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E8961D">
            <w:pPr>
              <w:jc w:val="center"/>
            </w:pPr>
            <w:r>
              <w:rPr>
                <w:rFonts w:ascii="宋体" w:hAnsi="宋体" w:eastAsia="宋体"/>
                <w:sz w:val="16"/>
              </w:rPr>
              <w:t>2024年其他项目类-县人大代表活动经费项目</w:t>
            </w:r>
          </w:p>
        </w:tc>
      </w:tr>
      <w:tr w14:paraId="28E3C4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B36F">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D8B3F">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CF0D">
            <w:pPr>
              <w:jc w:val="center"/>
            </w:pPr>
            <w:r>
              <w:rPr>
                <w:rFonts w:ascii="宋体" w:hAnsi="宋体" w:eastAsia="宋体"/>
                <w:sz w:val="16"/>
              </w:rPr>
              <w:t>实施单位</w:t>
            </w:r>
          </w:p>
        </w:tc>
        <w:tc>
          <w:tcPr>
            <w:tcW w:w="33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270A13">
            <w:pPr>
              <w:jc w:val="center"/>
            </w:pPr>
            <w:r>
              <w:rPr>
                <w:rFonts w:ascii="宋体" w:hAnsi="宋体" w:eastAsia="宋体"/>
                <w:sz w:val="16"/>
              </w:rPr>
              <w:t>托里县人民代表大会常务委员会办公室</w:t>
            </w:r>
          </w:p>
        </w:tc>
      </w:tr>
      <w:tr w14:paraId="274E66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798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3983B">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214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14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E95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751D">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54C7">
            <w:pPr>
              <w:jc w:val="center"/>
            </w:pPr>
            <w:r>
              <w:rPr>
                <w:rFonts w:ascii="宋体" w:hAnsi="宋体" w:eastAsia="宋体"/>
                <w:sz w:val="16"/>
              </w:rPr>
              <w:t>执行率</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132CBE8E">
            <w:pPr>
              <w:jc w:val="center"/>
            </w:pPr>
            <w:r>
              <w:rPr>
                <w:rFonts w:ascii="宋体" w:hAnsi="宋体" w:eastAsia="宋体"/>
                <w:sz w:val="16"/>
              </w:rPr>
              <w:t>得分</w:t>
            </w:r>
          </w:p>
        </w:tc>
      </w:tr>
      <w:tr w14:paraId="3C953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84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BB9B3">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E14CC">
            <w:pPr>
              <w:jc w:val="center"/>
            </w:pPr>
            <w:r>
              <w:rPr>
                <w:rFonts w:ascii="宋体" w:hAnsi="宋体" w:eastAsia="宋体"/>
                <w:sz w:val="16"/>
              </w:rPr>
              <w:t>25.44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12BF5">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D49DE">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AB4F1">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59B87">
            <w:pPr>
              <w:jc w:val="center"/>
            </w:pPr>
            <w:r>
              <w:rPr>
                <w:rFonts w:ascii="宋体" w:hAnsi="宋体" w:eastAsia="宋体"/>
                <w:sz w:val="16"/>
              </w:rPr>
              <w:t>100.00%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6FBCE934">
            <w:pPr>
              <w:jc w:val="center"/>
            </w:pPr>
            <w:r>
              <w:rPr>
                <w:rFonts w:ascii="宋体" w:hAnsi="宋体" w:eastAsia="宋体"/>
                <w:sz w:val="16"/>
              </w:rPr>
              <w:t>10.00</w:t>
            </w:r>
          </w:p>
        </w:tc>
      </w:tr>
      <w:tr w14:paraId="18BAE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156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24050">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AA038">
            <w:pPr>
              <w:jc w:val="center"/>
            </w:pPr>
            <w:r>
              <w:rPr>
                <w:rFonts w:ascii="宋体" w:hAnsi="宋体" w:eastAsia="宋体"/>
                <w:sz w:val="16"/>
              </w:rPr>
              <w:t>25.44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B72C">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E173D">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F171">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55886">
            <w:pPr>
              <w:jc w:val="center"/>
            </w:pPr>
            <w:r>
              <w:rPr>
                <w:rFonts w:ascii="宋体" w:hAnsi="宋体" w:eastAsia="宋体"/>
                <w:sz w:val="16"/>
              </w:rPr>
              <w:t>—</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047EBB8D">
            <w:pPr>
              <w:jc w:val="center"/>
            </w:pPr>
            <w:r>
              <w:rPr>
                <w:rFonts w:ascii="宋体" w:hAnsi="宋体" w:eastAsia="宋体"/>
                <w:sz w:val="16"/>
              </w:rPr>
              <w:t>—</w:t>
            </w:r>
          </w:p>
        </w:tc>
      </w:tr>
      <w:tr w14:paraId="2628B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344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46DA">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420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44D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08B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0D2A4">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42018">
            <w:pPr>
              <w:jc w:val="center"/>
            </w:pPr>
            <w:r>
              <w:rPr>
                <w:rFonts w:ascii="宋体" w:hAnsi="宋体" w:eastAsia="宋体"/>
                <w:sz w:val="16"/>
              </w:rPr>
              <w:t>—</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0E562123">
            <w:pPr>
              <w:jc w:val="center"/>
            </w:pPr>
            <w:r>
              <w:rPr>
                <w:rFonts w:ascii="宋体" w:hAnsi="宋体" w:eastAsia="宋体"/>
                <w:sz w:val="16"/>
              </w:rPr>
              <w:t>—</w:t>
            </w:r>
          </w:p>
        </w:tc>
      </w:tr>
      <w:tr w14:paraId="07280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D548B">
            <w:pPr>
              <w:jc w:val="center"/>
            </w:pPr>
            <w:r>
              <w:rPr>
                <w:rFonts w:ascii="宋体" w:hAnsi="宋体" w:eastAsia="宋体"/>
                <w:sz w:val="16"/>
              </w:rPr>
              <w:t>年度总体目标</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B32ED">
            <w:pPr>
              <w:jc w:val="center"/>
            </w:pPr>
            <w:r>
              <w:rPr>
                <w:rFonts w:ascii="宋体" w:hAnsi="宋体" w:eastAsia="宋体"/>
                <w:sz w:val="16"/>
              </w:rPr>
              <w:t>预期目标</w:t>
            </w:r>
          </w:p>
        </w:tc>
        <w:tc>
          <w:tcPr>
            <w:tcW w:w="40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36E9AE">
            <w:pPr>
              <w:jc w:val="center"/>
            </w:pPr>
            <w:r>
              <w:rPr>
                <w:rFonts w:ascii="宋体" w:hAnsi="宋体" w:eastAsia="宋体"/>
                <w:sz w:val="16"/>
              </w:rPr>
              <w:t>实际完成情况</w:t>
            </w:r>
          </w:p>
        </w:tc>
      </w:tr>
      <w:tr w14:paraId="5F0E9F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CB6A0"/>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CFAC19">
            <w:pPr>
              <w:jc w:val="both"/>
            </w:pPr>
            <w:r>
              <w:rPr>
                <w:rFonts w:ascii="宋体" w:hAnsi="宋体" w:eastAsia="宋体"/>
                <w:sz w:val="16"/>
              </w:rPr>
              <w:t>通过保障人大代表参观、考察、学习、调研等产生的差旅费、培训费、无固定收入务工补贴费、印刷费等费用，实现“保运转”的基本目标，提高人大代表政治能力、组织能力，更好地履行代表职责，确保托里县各级人大代表在闭会期间正确履职、合理履职、依法履职，切实维护广大群众的利益和社会稳定。</w:t>
            </w:r>
          </w:p>
        </w:tc>
        <w:tc>
          <w:tcPr>
            <w:tcW w:w="402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C8BB29">
            <w:pPr>
              <w:jc w:val="both"/>
            </w:pPr>
            <w:r>
              <w:rPr>
                <w:rFonts w:ascii="宋体" w:hAnsi="宋体" w:eastAsia="宋体"/>
                <w:sz w:val="16"/>
              </w:rPr>
              <w:t>已使用资金8.09万元，通过保障155名人大代表完成培训9次、3次疆内考察、印刷1批材料、无固定收入补贴1次。实现“保运转”的基本目标，提高人大代表政治能力、组织能力，更好地履行代表职责，确保托里县各级人大代表在闭会期间正确履职、合理履职、依法履职，切实维护广大群众的利益和社会稳定。</w:t>
            </w:r>
          </w:p>
        </w:tc>
      </w:tr>
      <w:tr w14:paraId="171EE4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ED0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C5F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D709C">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2ED38A2">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EE770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F62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A84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125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166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FAA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684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A5E0D">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CA9F0C">
            <w:pPr>
              <w:jc w:val="center"/>
            </w:pPr>
            <w:r>
              <w:rPr>
                <w:rFonts w:ascii="宋体" w:hAnsi="宋体" w:eastAsia="宋体"/>
                <w:sz w:val="16"/>
              </w:rPr>
              <w:t>指标得分</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131E74CA">
            <w:pPr>
              <w:jc w:val="center"/>
            </w:pPr>
            <w:r>
              <w:rPr>
                <w:rFonts w:ascii="宋体" w:hAnsi="宋体" w:eastAsia="宋体"/>
                <w:sz w:val="16"/>
              </w:rPr>
              <w:t>偏差原因分析及改进措施</w:t>
            </w:r>
          </w:p>
        </w:tc>
      </w:tr>
      <w:tr w14:paraId="427922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AB5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3E7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ED330">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CE78DC">
            <w:pPr>
              <w:jc w:val="center"/>
            </w:pPr>
            <w:r>
              <w:rPr>
                <w:rFonts w:ascii="宋体" w:hAnsi="宋体" w:eastAsia="宋体"/>
                <w:sz w:val="16"/>
              </w:rPr>
              <w:t>人大代表人数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77B7469">
            <w:pPr>
              <w:jc w:val="center"/>
            </w:pPr>
            <w:r>
              <w:rPr>
                <w:rFonts w:ascii="宋体" w:hAnsi="宋体" w:eastAsia="宋体"/>
                <w:sz w:val="16"/>
              </w:rPr>
              <w:t>&gt;=155人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5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77666">
            <w:pPr>
              <w:jc w:val="center"/>
            </w:pPr>
            <w:r>
              <w:rPr>
                <w:rFonts w:ascii="宋体" w:hAnsi="宋体" w:eastAsia="宋体"/>
                <w:sz w:val="16"/>
              </w:rPr>
              <w: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E8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93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6D8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2C42">
            <w:pPr>
              <w:jc w:val="center"/>
            </w:pPr>
            <w:r>
              <w:rPr>
                <w:rFonts w:ascii="宋体" w:hAnsi="宋体" w:eastAsia="宋体"/>
                <w:sz w:val="16"/>
              </w:rPr>
              <w:t>=155人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C46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4677A0">
            <w:pPr>
              <w:jc w:val="center"/>
            </w:pPr>
            <w:r>
              <w:rPr>
                <w:rFonts w:ascii="宋体" w:hAnsi="宋体" w:eastAsia="宋体"/>
                <w:sz w:val="16"/>
              </w:rPr>
              <w:t>6</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0032A9DE">
            <w:pPr>
              <w:jc w:val="center"/>
            </w:pPr>
          </w:p>
        </w:tc>
      </w:tr>
      <w:tr w14:paraId="011593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14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082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A5B04"/>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B048C9">
            <w:pPr>
              <w:jc w:val="center"/>
            </w:pPr>
            <w:r>
              <w:rPr>
                <w:rFonts w:ascii="宋体" w:hAnsi="宋体" w:eastAsia="宋体"/>
                <w:sz w:val="16"/>
              </w:rPr>
              <w:t>疆内外培训次数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DEAAC7">
            <w:pPr>
              <w:jc w:val="center"/>
            </w:pPr>
            <w:r>
              <w:rPr>
                <w:rFonts w:ascii="宋体" w:hAnsi="宋体" w:eastAsia="宋体"/>
                <w:sz w:val="16"/>
              </w:rPr>
              <w:t>&gt;=9次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F4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F058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88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04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210F">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A2CB">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A74B">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0F4329">
            <w:pPr>
              <w:jc w:val="center"/>
            </w:pPr>
            <w:r>
              <w:rPr>
                <w:rFonts w:ascii="宋体" w:hAnsi="宋体" w:eastAsia="宋体"/>
                <w:sz w:val="16"/>
              </w:rPr>
              <w:t>6</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005F3D5B">
            <w:pPr>
              <w:jc w:val="center"/>
            </w:pPr>
          </w:p>
        </w:tc>
      </w:tr>
      <w:tr w14:paraId="069D7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92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FA1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777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2F069B">
            <w:pPr>
              <w:jc w:val="center"/>
            </w:pPr>
            <w:r>
              <w:rPr>
                <w:rFonts w:ascii="宋体" w:hAnsi="宋体" w:eastAsia="宋体"/>
                <w:sz w:val="16"/>
              </w:rPr>
              <w:t>疆内考察（次）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FEF553">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02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A42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AE3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73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6A4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B80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8FA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64EA74">
            <w:pPr>
              <w:jc w:val="center"/>
            </w:pPr>
            <w:r>
              <w:rPr>
                <w:rFonts w:ascii="宋体" w:hAnsi="宋体" w:eastAsia="宋体"/>
                <w:sz w:val="16"/>
              </w:rPr>
              <w:t>6</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C39536F">
            <w:pPr>
              <w:jc w:val="center"/>
            </w:pPr>
          </w:p>
        </w:tc>
      </w:tr>
      <w:tr w14:paraId="05801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B4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9A5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1D9583"/>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4EE38D">
            <w:pPr>
              <w:jc w:val="center"/>
            </w:pPr>
            <w:r>
              <w:rPr>
                <w:rFonts w:ascii="宋体" w:hAnsi="宋体" w:eastAsia="宋体"/>
                <w:sz w:val="16"/>
              </w:rPr>
              <w:t>发放误工补贴次数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B105A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42F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6E4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623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9C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0B1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603B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55F7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747DBF">
            <w:pPr>
              <w:jc w:val="center"/>
            </w:pPr>
            <w:r>
              <w:rPr>
                <w:rFonts w:ascii="宋体" w:hAnsi="宋体" w:eastAsia="宋体"/>
                <w:sz w:val="16"/>
              </w:rPr>
              <w:t>6</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B26018B">
            <w:pPr>
              <w:jc w:val="center"/>
            </w:pPr>
          </w:p>
        </w:tc>
      </w:tr>
      <w:tr w14:paraId="75D109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012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FAF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8C93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0D84FD">
            <w:pPr>
              <w:jc w:val="center"/>
            </w:pPr>
            <w:r>
              <w:rPr>
                <w:rFonts w:ascii="宋体" w:hAnsi="宋体" w:eastAsia="宋体"/>
                <w:sz w:val="16"/>
              </w:rPr>
              <w:t>印刷批数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5F5B4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A4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5CA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06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51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E94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9F8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D69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20BAD3">
            <w:pPr>
              <w:jc w:val="center"/>
            </w:pPr>
            <w:r>
              <w:rPr>
                <w:rFonts w:ascii="宋体" w:hAnsi="宋体" w:eastAsia="宋体"/>
                <w:sz w:val="16"/>
              </w:rPr>
              <w:t>6</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323156AA">
            <w:pPr>
              <w:jc w:val="center"/>
            </w:pPr>
          </w:p>
        </w:tc>
      </w:tr>
      <w:tr w14:paraId="562AE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CA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32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ACBF0">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2701F4">
            <w:pPr>
              <w:jc w:val="center"/>
            </w:pPr>
            <w:r>
              <w:rPr>
                <w:rFonts w:ascii="宋体" w:hAnsi="宋体" w:eastAsia="宋体"/>
                <w:sz w:val="16"/>
              </w:rPr>
              <w:t>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B383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A3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4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26FF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A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697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2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978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AC74F1">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931A1DE">
            <w:pPr>
              <w:jc w:val="center"/>
            </w:pPr>
          </w:p>
        </w:tc>
      </w:tr>
      <w:tr w14:paraId="1CFEAA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86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08F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7EA24">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986CDC">
            <w:pPr>
              <w:jc w:val="center"/>
            </w:pPr>
            <w:r>
              <w:rPr>
                <w:rFonts w:ascii="宋体" w:hAnsi="宋体" w:eastAsia="宋体"/>
                <w:sz w:val="16"/>
              </w:rPr>
              <w:t>培训计划完成率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18FA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5F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DA5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A7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B1A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DF66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1166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9AA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3626F8">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6740C78">
            <w:pPr>
              <w:jc w:val="center"/>
            </w:pPr>
          </w:p>
        </w:tc>
      </w:tr>
      <w:tr w14:paraId="1B599C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152A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2511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1C98B6">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711483F">
            <w:pPr>
              <w:jc w:val="center"/>
            </w:pPr>
            <w:r>
              <w:rPr>
                <w:rFonts w:ascii="宋体" w:hAnsi="宋体" w:eastAsia="宋体"/>
                <w:sz w:val="16"/>
              </w:rPr>
              <w:t>疆内考察差旅费成本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AA0D15">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25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269B">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61C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25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D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482A2">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1241">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79E5EAD">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4CB65D9E">
            <w:pPr>
              <w:jc w:val="center"/>
            </w:pPr>
          </w:p>
        </w:tc>
      </w:tr>
      <w:tr w14:paraId="2B82CB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E7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68B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378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9FEAA64">
            <w:pPr>
              <w:jc w:val="center"/>
            </w:pPr>
            <w:r>
              <w:rPr>
                <w:rFonts w:ascii="宋体" w:hAnsi="宋体" w:eastAsia="宋体"/>
                <w:sz w:val="16"/>
              </w:rPr>
              <w:t>疆内外培训成本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09FBFB">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3B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D05A8">
            <w:pPr>
              <w:jc w:val="center"/>
            </w:pPr>
            <w:r>
              <w:rPr>
                <w:rFonts w:ascii="宋体" w:hAnsi="宋体" w:eastAsia="宋体"/>
                <w:sz w:val="16"/>
              </w:rPr>
              <w:t>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0A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1C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4C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6F24">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E0F3">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25E716">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C0740EC">
            <w:pPr>
              <w:jc w:val="center"/>
            </w:pPr>
          </w:p>
        </w:tc>
      </w:tr>
      <w:tr w14:paraId="4C07E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9D1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DF3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532B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4FC462">
            <w:pPr>
              <w:jc w:val="center"/>
            </w:pPr>
            <w:r>
              <w:rPr>
                <w:rFonts w:ascii="宋体" w:hAnsi="宋体" w:eastAsia="宋体"/>
                <w:sz w:val="16"/>
              </w:rPr>
              <w:t>印刷费成本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9E8915">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1FB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F6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FE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5B4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492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2419">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5521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DFC102">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7DD8C45F">
            <w:pPr>
              <w:jc w:val="center"/>
            </w:pPr>
          </w:p>
        </w:tc>
      </w:tr>
      <w:tr w14:paraId="595B3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E1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4AF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A1A8"/>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DCE948">
            <w:pPr>
              <w:jc w:val="center"/>
            </w:pPr>
            <w:r>
              <w:rPr>
                <w:rFonts w:ascii="宋体" w:hAnsi="宋体" w:eastAsia="宋体"/>
                <w:sz w:val="16"/>
              </w:rPr>
              <w:t>误工补贴成本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3331DB">
            <w:pPr>
              <w:jc w:val="center"/>
            </w:pPr>
            <w:r>
              <w:rPr>
                <w:rFonts w:ascii="宋体" w:hAnsi="宋体" w:eastAsia="宋体"/>
                <w:sz w:val="16"/>
              </w:rPr>
              <w:t>&lt;=0.27万元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33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3424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E16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7E5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CE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94980">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06F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FBCAE3">
            <w:pPr>
              <w:jc w:val="center"/>
            </w:pPr>
            <w:r>
              <w:rPr>
                <w:rFonts w:ascii="宋体" w:hAnsi="宋体" w:eastAsia="宋体"/>
                <w:sz w:val="16"/>
              </w:rPr>
              <w:t>5</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1681C10">
            <w:pPr>
              <w:jc w:val="center"/>
            </w:pPr>
          </w:p>
        </w:tc>
      </w:tr>
      <w:tr w14:paraId="1FF44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20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09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5638">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DB478E">
            <w:pPr>
              <w:jc w:val="center"/>
            </w:pPr>
            <w:r>
              <w:rPr>
                <w:rFonts w:ascii="宋体" w:hAnsi="宋体" w:eastAsia="宋体"/>
                <w:sz w:val="16"/>
              </w:rPr>
              <w:t>保障代表履职工作正常开展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56275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1D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18C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300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F2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115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F169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6CC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3C6C5A">
            <w:pPr>
              <w:jc w:val="center"/>
            </w:pPr>
            <w:r>
              <w:rPr>
                <w:rFonts w:ascii="宋体" w:hAnsi="宋体" w:eastAsia="宋体"/>
                <w:sz w:val="16"/>
              </w:rPr>
              <w:t>20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6DF30731">
            <w:pPr>
              <w:jc w:val="center"/>
            </w:pPr>
          </w:p>
        </w:tc>
      </w:tr>
      <w:tr w14:paraId="286C18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51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12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2A91">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839F48">
            <w:pPr>
              <w:jc w:val="center"/>
            </w:pPr>
            <w:r>
              <w:rPr>
                <w:rFonts w:ascii="宋体" w:hAnsi="宋体" w:eastAsia="宋体"/>
                <w:sz w:val="16"/>
              </w:rPr>
              <w:t>参培人员满意度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8B662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D5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A9C0">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C7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BAE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362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EA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068E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C6FB30">
            <w:pPr>
              <w:jc w:val="center"/>
            </w:pPr>
            <w:r>
              <w:rPr>
                <w:rFonts w:ascii="宋体" w:hAnsi="宋体" w:eastAsia="宋体"/>
                <w:sz w:val="16"/>
              </w:rPr>
              <w:t>10</w:t>
            </w:r>
          </w:p>
        </w:tc>
        <w:tc>
          <w:tcPr>
            <w:tcW w:w="799" w:type="dxa"/>
            <w:tcBorders>
              <w:top w:val="single" w:color="auto" w:sz="10" w:space="0"/>
              <w:left w:val="single" w:color="auto" w:sz="10" w:space="0"/>
              <w:bottom w:val="single" w:color="auto" w:sz="10" w:space="0"/>
              <w:right w:val="single" w:color="auto" w:sz="10" w:space="0"/>
              <w:insideV w:val="single" w:sz="10" w:space="0"/>
            </w:tcBorders>
            <w:vAlign w:val="center"/>
          </w:tcPr>
          <w:p w14:paraId="5EA1339E">
            <w:pPr>
              <w:jc w:val="center"/>
            </w:pPr>
          </w:p>
        </w:tc>
      </w:tr>
      <w:tr w14:paraId="5170EAEE">
        <w:tblPrEx>
          <w:tblCellMar>
            <w:top w:w="0" w:type="dxa"/>
            <w:left w:w="108" w:type="dxa"/>
            <w:bottom w:w="0" w:type="dxa"/>
            <w:right w:w="108" w:type="dxa"/>
          </w:tblCellMar>
        </w:tblPrEx>
        <w:tc>
          <w:tcPr>
            <w:tcW w:w="259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593368">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C9C76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691A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713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CAB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E882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1B8D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94B22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8103FE"/>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98C7B1">
            <w:pPr>
              <w:jc w:val="center"/>
            </w:pPr>
            <w:r>
              <w:rPr>
                <w:rFonts w:ascii="宋体" w:hAnsi="宋体" w:eastAsia="宋体"/>
                <w:sz w:val="16"/>
              </w:rPr>
              <w:t>100.00分</w:t>
            </w:r>
          </w:p>
        </w:tc>
        <w:tc>
          <w:tcPr>
            <w:tcW w:w="799" w:type="dxa"/>
            <w:tcBorders>
              <w:top w:val="single" w:color="auto" w:sz="10" w:space="0"/>
              <w:left w:val="single" w:color="auto" w:sz="10" w:space="0"/>
              <w:bottom w:val="single" w:color="auto" w:sz="10" w:space="0"/>
              <w:right w:val="single" w:color="auto" w:sz="10" w:space="0"/>
              <w:insideV w:val="single" w:sz="10" w:space="0"/>
            </w:tcBorders>
          </w:tcPr>
          <w:p w14:paraId="08327BEA"/>
        </w:tc>
      </w:tr>
    </w:tbl>
    <w:p w14:paraId="197FDF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08F7079C">
        <w:tblPrEx>
          <w:tblCellMar>
            <w:top w:w="0" w:type="dxa"/>
            <w:left w:w="108" w:type="dxa"/>
            <w:bottom w:w="0" w:type="dxa"/>
            <w:right w:w="108" w:type="dxa"/>
          </w:tblCellMar>
        </w:tblPrEx>
        <w:tc>
          <w:tcPr>
            <w:tcW w:w="8848" w:type="dxa"/>
            <w:gridSpan w:val="14"/>
            <w:vAlign w:val="center"/>
          </w:tcPr>
          <w:p w14:paraId="728729ED">
            <w:pPr>
              <w:jc w:val="center"/>
            </w:pPr>
            <w:r>
              <w:rPr>
                <w:rFonts w:ascii="宋体" w:hAnsi="宋体" w:eastAsia="宋体"/>
                <w:sz w:val="24"/>
              </w:rPr>
              <w:t>项目支出绩效自评表</w:t>
            </w:r>
          </w:p>
        </w:tc>
      </w:tr>
      <w:tr w14:paraId="4E6655FC">
        <w:tblPrEx>
          <w:tblCellMar>
            <w:top w:w="0" w:type="dxa"/>
            <w:left w:w="108" w:type="dxa"/>
            <w:bottom w:w="0" w:type="dxa"/>
            <w:right w:w="108" w:type="dxa"/>
          </w:tblCellMar>
        </w:tblPrEx>
        <w:tc>
          <w:tcPr>
            <w:tcW w:w="8848" w:type="dxa"/>
            <w:gridSpan w:val="14"/>
            <w:vAlign w:val="center"/>
          </w:tcPr>
          <w:p w14:paraId="1C323D2B">
            <w:pPr>
              <w:jc w:val="center"/>
            </w:pPr>
            <w:r>
              <w:rPr>
                <w:rFonts w:ascii="宋体" w:hAnsi="宋体" w:eastAsia="宋体"/>
                <w:sz w:val="24"/>
              </w:rPr>
              <w:t>(2024年度)</w:t>
            </w:r>
          </w:p>
        </w:tc>
      </w:tr>
      <w:tr w14:paraId="52892E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0001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4CA7DC">
            <w:pPr>
              <w:jc w:val="center"/>
            </w:pPr>
            <w:r>
              <w:rPr>
                <w:rFonts w:ascii="宋体" w:hAnsi="宋体" w:eastAsia="宋体"/>
                <w:sz w:val="16"/>
              </w:rPr>
              <w:t>2024年单位资金-伊犁州人大代表活动经费</w:t>
            </w:r>
          </w:p>
        </w:tc>
      </w:tr>
      <w:tr w14:paraId="332B8A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B3BB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7719A">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116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65E39">
            <w:pPr>
              <w:jc w:val="center"/>
            </w:pPr>
            <w:r>
              <w:rPr>
                <w:rFonts w:ascii="宋体" w:hAnsi="宋体" w:eastAsia="宋体"/>
                <w:sz w:val="16"/>
              </w:rPr>
              <w:t>托里县人民代表大会常务委员会办公室</w:t>
            </w:r>
          </w:p>
        </w:tc>
      </w:tr>
      <w:tr w14:paraId="37592A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1590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B4A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BA5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2AF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943C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F6F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ABC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B9D7">
            <w:pPr>
              <w:jc w:val="center"/>
            </w:pPr>
            <w:r>
              <w:rPr>
                <w:rFonts w:ascii="宋体" w:hAnsi="宋体" w:eastAsia="宋体"/>
                <w:sz w:val="16"/>
              </w:rPr>
              <w:t>得分</w:t>
            </w:r>
          </w:p>
        </w:tc>
      </w:tr>
      <w:tr w14:paraId="33C26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32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2580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9BC76">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64E4D">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C281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6C9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5A65B">
            <w:pPr>
              <w:jc w:val="center"/>
            </w:pPr>
            <w:r>
              <w:rPr>
                <w:rFonts w:ascii="宋体" w:hAnsi="宋体" w:eastAsia="宋体"/>
                <w:sz w:val="16"/>
              </w:rPr>
              <w:t>41.38%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3B6C">
            <w:pPr>
              <w:jc w:val="center"/>
            </w:pPr>
            <w:r>
              <w:rPr>
                <w:rFonts w:ascii="宋体" w:hAnsi="宋体" w:eastAsia="宋体"/>
                <w:sz w:val="16"/>
              </w:rPr>
              <w:t>4.14</w:t>
            </w:r>
          </w:p>
        </w:tc>
      </w:tr>
      <w:tr w14:paraId="469B8D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782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A39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D3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7F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8B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59A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6AE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D3DA">
            <w:pPr>
              <w:jc w:val="center"/>
            </w:pPr>
            <w:r>
              <w:rPr>
                <w:rFonts w:ascii="宋体" w:hAnsi="宋体" w:eastAsia="宋体"/>
                <w:sz w:val="16"/>
              </w:rPr>
              <w:t>—</w:t>
            </w:r>
          </w:p>
        </w:tc>
      </w:tr>
      <w:tr w14:paraId="12201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047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A64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14DB">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1B02">
            <w:pPr>
              <w:jc w:val="center"/>
            </w:pPr>
            <w:r>
              <w:rPr>
                <w:rFonts w:ascii="宋体" w:hAnsi="宋体" w:eastAsia="宋体"/>
                <w:sz w:val="16"/>
              </w:rPr>
              <w:t>2.90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EA0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43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DD9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AD98">
            <w:pPr>
              <w:jc w:val="center"/>
            </w:pPr>
            <w:r>
              <w:rPr>
                <w:rFonts w:ascii="宋体" w:hAnsi="宋体" w:eastAsia="宋体"/>
                <w:sz w:val="16"/>
              </w:rPr>
              <w:t>—</w:t>
            </w:r>
          </w:p>
        </w:tc>
      </w:tr>
      <w:tr w14:paraId="6CF2D5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D87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1F4A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A62C55">
            <w:pPr>
              <w:jc w:val="center"/>
            </w:pPr>
            <w:r>
              <w:rPr>
                <w:rFonts w:ascii="宋体" w:hAnsi="宋体" w:eastAsia="宋体"/>
                <w:sz w:val="16"/>
              </w:rPr>
              <w:t>实际完成情况</w:t>
            </w:r>
          </w:p>
        </w:tc>
      </w:tr>
      <w:tr w14:paraId="7F48F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A6E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77825D">
            <w:pPr>
              <w:jc w:val="both"/>
            </w:pPr>
            <w:r>
              <w:rPr>
                <w:rFonts w:ascii="宋体" w:hAnsi="宋体" w:eastAsia="宋体"/>
                <w:sz w:val="16"/>
              </w:rPr>
              <w:t>伊犁州人大代表活动经费项目2.9万元，用于保障7名伊犁州人大代表进行履职活动，保障代表履职活动工作正常开展，有效提高代表工作效率，解决群众关心问题，为群众办实事，建立和群众的密切关系，增强服务意识，增强服务能力，群众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8E7963">
            <w:pPr>
              <w:jc w:val="both"/>
            </w:pPr>
            <w:r>
              <w:rPr>
                <w:rFonts w:ascii="宋体" w:hAnsi="宋体" w:eastAsia="宋体"/>
                <w:sz w:val="16"/>
              </w:rPr>
              <w:t>已使用资金1.2万元，通过保障7名伊犁州人大代表进行履职活动，保障代表履职活动工作正常开展，有效提高代表工作效率，解决群众关心问题，为群众办实事，建立和群众的密切关系，增强服务意识，增强服务能力，群众满意度达到90%。</w:t>
            </w:r>
          </w:p>
        </w:tc>
      </w:tr>
      <w:tr w14:paraId="52CA32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66ABC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A0E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A0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38C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EF1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755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DB8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BB0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C89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58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C6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51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33B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218C">
            <w:pPr>
              <w:jc w:val="center"/>
            </w:pPr>
            <w:r>
              <w:rPr>
                <w:rFonts w:ascii="宋体" w:hAnsi="宋体" w:eastAsia="宋体"/>
                <w:sz w:val="16"/>
              </w:rPr>
              <w:t>偏差原因分析及改进措施</w:t>
            </w:r>
          </w:p>
        </w:tc>
      </w:tr>
      <w:tr w14:paraId="43AD61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6D4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E4B6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081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F764A">
            <w:pPr>
              <w:jc w:val="center"/>
            </w:pPr>
            <w:r>
              <w:rPr>
                <w:rFonts w:ascii="宋体" w:hAnsi="宋体" w:eastAsia="宋体"/>
                <w:sz w:val="16"/>
              </w:rPr>
              <w:t>保障代表人数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5ABA">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E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74FF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B783">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F42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E14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B02D">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45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F68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19B0">
            <w:pPr>
              <w:jc w:val="center"/>
            </w:pPr>
            <w:r>
              <w:rPr>
                <w:rFonts w:ascii="宋体" w:hAnsi="宋体" w:eastAsia="宋体"/>
                <w:sz w:val="16"/>
              </w:rPr>
              <w:t>原因：该项目年初制定计划已如期完成，州代表外出考察、参会所产生的差旅费采取实报实销，年底外出考察根据实际情况改成县内，故结余。改进措施：精细化预算，加快项目进度，提高支付率。</w:t>
            </w:r>
          </w:p>
        </w:tc>
      </w:tr>
      <w:tr w14:paraId="25E03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74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B9F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D8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2E40">
            <w:pPr>
              <w:jc w:val="center"/>
            </w:pPr>
            <w:r>
              <w:rPr>
                <w:rFonts w:ascii="宋体" w:hAnsi="宋体" w:eastAsia="宋体"/>
                <w:sz w:val="16"/>
              </w:rPr>
              <w:t>保障科室数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1D54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1BC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21B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02BF">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9B0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379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A9B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C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3580">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68EC0">
            <w:pPr>
              <w:jc w:val="center"/>
            </w:pPr>
          </w:p>
        </w:tc>
      </w:tr>
      <w:tr w14:paraId="72675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E4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0E1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5D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E5C5">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1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7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0EA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F03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33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93B6">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83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4E0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FB7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C2607">
            <w:pPr>
              <w:jc w:val="center"/>
            </w:pPr>
          </w:p>
        </w:tc>
      </w:tr>
      <w:tr w14:paraId="484A1D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8E2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69A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9C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04A8">
            <w:pPr>
              <w:jc w:val="center"/>
            </w:pPr>
            <w:r>
              <w:rPr>
                <w:rFonts w:ascii="宋体" w:hAnsi="宋体" w:eastAsia="宋体"/>
                <w:sz w:val="16"/>
              </w:rPr>
              <w:t>保障完成时间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B22D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CE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E8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FB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0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656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71E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9BB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5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4609B">
            <w:pPr>
              <w:jc w:val="center"/>
            </w:pPr>
          </w:p>
        </w:tc>
      </w:tr>
      <w:tr w14:paraId="53E2A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1A6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EB37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F0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3F316">
            <w:pPr>
              <w:jc w:val="center"/>
            </w:pPr>
            <w:r>
              <w:rPr>
                <w:rFonts w:ascii="宋体" w:hAnsi="宋体" w:eastAsia="宋体"/>
                <w:sz w:val="16"/>
              </w:rPr>
              <w:t>业务成本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2938">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36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306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62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482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18A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562D">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18A1">
            <w:pPr>
              <w:jc w:val="center"/>
            </w:pPr>
            <w:r>
              <w:rPr>
                <w:rFonts w:ascii="宋体" w:hAnsi="宋体" w:eastAsia="宋体"/>
                <w:sz w:val="16"/>
              </w:rPr>
              <w:t>41.38%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B6878">
            <w:pPr>
              <w:jc w:val="center"/>
            </w:pPr>
            <w:r>
              <w:rPr>
                <w:rFonts w:ascii="宋体" w:hAnsi="宋体" w:eastAsia="宋体"/>
                <w:sz w:val="16"/>
              </w:rPr>
              <w:t>8.28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F7F39">
            <w:pPr>
              <w:jc w:val="center"/>
            </w:pPr>
            <w:r>
              <w:rPr>
                <w:rFonts w:ascii="宋体" w:hAnsi="宋体" w:eastAsia="宋体"/>
                <w:sz w:val="16"/>
              </w:rPr>
              <w:t>原因：该项目年初制定计划已如期完成，州代表外出考察、参会所产生的差旅费采取实报实销，年底外出考察根据实际情况改成县内，故结余。改进措施：精细化预算，加快项目进度，提高支付率。</w:t>
            </w:r>
          </w:p>
        </w:tc>
      </w:tr>
      <w:tr w14:paraId="64698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41E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07DD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B35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9B6A">
            <w:pPr>
              <w:jc w:val="center"/>
            </w:pPr>
            <w:r>
              <w:rPr>
                <w:rFonts w:ascii="宋体" w:hAnsi="宋体" w:eastAsia="宋体"/>
                <w:sz w:val="16"/>
              </w:rPr>
              <w:t>保障代表履职工作正常开展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E9A2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A7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380B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E6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0D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6C6B">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9541">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E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80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0BCD">
            <w:pPr>
              <w:jc w:val="center"/>
            </w:pPr>
          </w:p>
        </w:tc>
      </w:tr>
      <w:tr w14:paraId="6F78F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52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59B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DC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E432">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6A99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8F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D69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8B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25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2B60D">
            <w:pPr>
              <w:jc w:val="center"/>
            </w:pPr>
            <w:r>
              <w:rPr>
                <w:rFonts w:ascii="宋体" w:hAnsi="宋体" w:eastAsia="宋体"/>
                <w:sz w:val="16"/>
              </w:rPr>
              <w:t>说明材料,原始凭证,工作资料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808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1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F5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5392">
            <w:pPr>
              <w:jc w:val="center"/>
            </w:pPr>
          </w:p>
        </w:tc>
      </w:tr>
      <w:tr w14:paraId="2C562D8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ED58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726E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202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02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81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4EA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678B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D8FD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85D4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AF0F">
            <w:pPr>
              <w:jc w:val="center"/>
            </w:pPr>
            <w:r>
              <w:rPr>
                <w:rFonts w:ascii="宋体" w:hAnsi="宋体" w:eastAsia="宋体"/>
                <w:sz w:val="16"/>
              </w:rPr>
              <w:t>82.42分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67117"/>
        </w:tc>
      </w:tr>
    </w:tbl>
    <w:p w14:paraId="42EB4BA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7D17F880">
        <w:tblPrEx>
          <w:tblCellMar>
            <w:top w:w="0" w:type="dxa"/>
            <w:left w:w="108" w:type="dxa"/>
            <w:bottom w:w="0" w:type="dxa"/>
            <w:right w:w="108" w:type="dxa"/>
          </w:tblCellMar>
        </w:tblPrEx>
        <w:tc>
          <w:tcPr>
            <w:tcW w:w="8848" w:type="dxa"/>
            <w:gridSpan w:val="14"/>
            <w:vAlign w:val="center"/>
          </w:tcPr>
          <w:p w14:paraId="327BD6FA">
            <w:pPr>
              <w:jc w:val="center"/>
            </w:pPr>
            <w:r>
              <w:rPr>
                <w:rFonts w:ascii="宋体" w:hAnsi="宋体" w:eastAsia="宋体"/>
                <w:sz w:val="24"/>
              </w:rPr>
              <w:t>项目支出绩效自评表</w:t>
            </w:r>
          </w:p>
        </w:tc>
      </w:tr>
      <w:tr w14:paraId="41D50BAD">
        <w:tblPrEx>
          <w:tblCellMar>
            <w:top w:w="0" w:type="dxa"/>
            <w:left w:w="108" w:type="dxa"/>
            <w:bottom w:w="0" w:type="dxa"/>
            <w:right w:w="108" w:type="dxa"/>
          </w:tblCellMar>
        </w:tblPrEx>
        <w:tc>
          <w:tcPr>
            <w:tcW w:w="8848" w:type="dxa"/>
            <w:gridSpan w:val="14"/>
            <w:vAlign w:val="center"/>
          </w:tcPr>
          <w:p w14:paraId="3F1E3B6B">
            <w:pPr>
              <w:jc w:val="center"/>
            </w:pPr>
            <w:r>
              <w:rPr>
                <w:rFonts w:ascii="宋体" w:hAnsi="宋体" w:eastAsia="宋体"/>
                <w:sz w:val="24"/>
              </w:rPr>
              <w:t>(2024年度)</w:t>
            </w:r>
          </w:p>
        </w:tc>
      </w:tr>
      <w:tr w14:paraId="4DF5E8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3D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5B0CC6">
            <w:pPr>
              <w:jc w:val="center"/>
            </w:pPr>
            <w:r>
              <w:rPr>
                <w:rFonts w:ascii="宋体" w:hAnsi="宋体" w:eastAsia="宋体"/>
                <w:sz w:val="16"/>
              </w:rPr>
              <w:t>2024年单位资金-十星级代表联络站评选奖励金</w:t>
            </w:r>
          </w:p>
        </w:tc>
      </w:tr>
      <w:tr w14:paraId="138B23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A47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EDC023">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40B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12EC81">
            <w:pPr>
              <w:jc w:val="center"/>
            </w:pPr>
            <w:r>
              <w:rPr>
                <w:rFonts w:ascii="宋体" w:hAnsi="宋体" w:eastAsia="宋体"/>
                <w:sz w:val="16"/>
              </w:rPr>
              <w:t>托里县人民代表大会常务委员会办公室</w:t>
            </w:r>
          </w:p>
        </w:tc>
      </w:tr>
      <w:tr w14:paraId="488B5E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C942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355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FF2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AB8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19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25F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9E6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366B4">
            <w:pPr>
              <w:jc w:val="center"/>
            </w:pPr>
            <w:r>
              <w:rPr>
                <w:rFonts w:ascii="宋体" w:hAnsi="宋体" w:eastAsia="宋体"/>
                <w:sz w:val="16"/>
              </w:rPr>
              <w:t>得分</w:t>
            </w:r>
          </w:p>
        </w:tc>
      </w:tr>
      <w:tr w14:paraId="3FB43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E14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D0D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D74B7">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C260D">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A0150">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B83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38E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FCDA">
            <w:pPr>
              <w:jc w:val="center"/>
            </w:pPr>
            <w:r>
              <w:rPr>
                <w:rFonts w:ascii="宋体" w:hAnsi="宋体" w:eastAsia="宋体"/>
                <w:sz w:val="16"/>
              </w:rPr>
              <w:t>10.00</w:t>
            </w:r>
          </w:p>
        </w:tc>
      </w:tr>
      <w:tr w14:paraId="6CCD41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F60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DF0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76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5C6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1B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E4A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40B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7E97">
            <w:pPr>
              <w:jc w:val="center"/>
            </w:pPr>
            <w:r>
              <w:rPr>
                <w:rFonts w:ascii="宋体" w:hAnsi="宋体" w:eastAsia="宋体"/>
                <w:sz w:val="16"/>
              </w:rPr>
              <w:t>—</w:t>
            </w:r>
          </w:p>
        </w:tc>
      </w:tr>
      <w:tr w14:paraId="367FD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73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1D6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70F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B9BF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0BC9">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8F4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388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0B5D">
            <w:pPr>
              <w:jc w:val="center"/>
            </w:pPr>
            <w:r>
              <w:rPr>
                <w:rFonts w:ascii="宋体" w:hAnsi="宋体" w:eastAsia="宋体"/>
                <w:sz w:val="16"/>
              </w:rPr>
              <w:t>—</w:t>
            </w:r>
          </w:p>
        </w:tc>
      </w:tr>
      <w:tr w14:paraId="0A6944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4C5D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5C13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91FFAB">
            <w:pPr>
              <w:jc w:val="center"/>
            </w:pPr>
            <w:r>
              <w:rPr>
                <w:rFonts w:ascii="宋体" w:hAnsi="宋体" w:eastAsia="宋体"/>
                <w:sz w:val="16"/>
              </w:rPr>
              <w:t>实际完成情况</w:t>
            </w:r>
          </w:p>
        </w:tc>
      </w:tr>
      <w:tr w14:paraId="70CF1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825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F8712">
            <w:pPr>
              <w:jc w:val="both"/>
            </w:pPr>
            <w:r>
              <w:rPr>
                <w:rFonts w:ascii="宋体" w:hAnsi="宋体" w:eastAsia="宋体"/>
                <w:sz w:val="16"/>
              </w:rPr>
              <w:t>十星级家室站奖励金项目共计1.2万元，主要用于完善4个村级联络站办公设施。托里县人大坚持以习近平新时代中国特色社会主义思想为指导，深入学习贯彻党的十九大和十九届二中、三中全会精神，贯彻落实自治区党委安排部署，坚定不移坚持党对人大工作的全面领导，旗帜鲜明讲政治，增强“四个意识”、</w:t>
            </w:r>
            <w:r>
              <w:rPr>
                <w:rFonts w:hint="eastAsia" w:ascii="宋体" w:hAnsi="宋体"/>
                <w:sz w:val="16"/>
                <w:lang w:eastAsia="zh-CN"/>
              </w:rPr>
              <w:t>坚定“四个自信”、</w:t>
            </w:r>
            <w:r>
              <w:rPr>
                <w:rFonts w:ascii="宋体" w:hAnsi="宋体" w:eastAsia="宋体"/>
                <w:sz w:val="16"/>
              </w:rPr>
              <w:t>开创新时代自治区人大工作新局面，把握“五个明确”，做好新时代新疆人大工作，十星级家室站奖励金主要用于逐步完善村级联络站办公场所及配套设施。各基层人大代表对人大工作满意度达到90%。</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E53DA8">
            <w:pPr>
              <w:jc w:val="both"/>
            </w:pPr>
            <w:r>
              <w:rPr>
                <w:rFonts w:ascii="宋体" w:hAnsi="宋体" w:eastAsia="宋体"/>
                <w:sz w:val="16"/>
              </w:rPr>
              <w:t>项目已使用资金1.2万元，托里县人大坚持以习近平新时代中国特色社会主义思想为指导，深入学习贯彻党的十九大和十九届二中、三中全会精神，贯彻落实自治区党委安排部署，坚定不移坚持党对人大工作的全面领导，旗帜鲜明讲政治，增强“四个意识”、</w:t>
            </w:r>
            <w:r>
              <w:rPr>
                <w:rFonts w:hint="eastAsia" w:ascii="宋体" w:hAnsi="宋体"/>
                <w:sz w:val="16"/>
                <w:lang w:eastAsia="zh-CN"/>
              </w:rPr>
              <w:t>坚定“四个自信”、</w:t>
            </w:r>
            <w:r>
              <w:rPr>
                <w:rFonts w:ascii="宋体" w:hAnsi="宋体" w:eastAsia="宋体"/>
                <w:sz w:val="16"/>
              </w:rPr>
              <w:t>开创新时代自治区人大工作新局面，把握“五个明确”，做好新时代新疆人大工作，十星级家室站奖励金主要用于逐步完善村级联络站办公场所及配套</w:t>
            </w:r>
            <w:r>
              <w:rPr>
                <w:rFonts w:hint="eastAsia" w:ascii="宋体" w:hAnsi="宋体"/>
                <w:sz w:val="16"/>
                <w:lang w:eastAsia="zh-CN"/>
              </w:rPr>
              <w:t>设施</w:t>
            </w:r>
            <w:r>
              <w:rPr>
                <w:rFonts w:ascii="宋体" w:hAnsi="宋体" w:eastAsia="宋体"/>
                <w:sz w:val="16"/>
              </w:rPr>
              <w:t>。通过保障4个联络站正常运转，保障41名人大代表参与活动，保障了代表联络站工作正常开展</w:t>
            </w:r>
          </w:p>
        </w:tc>
      </w:tr>
      <w:tr w14:paraId="14C613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89F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87E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DC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62E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0D3B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046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25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64A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50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6B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0C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3C6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6A2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F713">
            <w:pPr>
              <w:jc w:val="center"/>
            </w:pPr>
            <w:r>
              <w:rPr>
                <w:rFonts w:ascii="宋体" w:hAnsi="宋体" w:eastAsia="宋体"/>
                <w:sz w:val="16"/>
              </w:rPr>
              <w:t>偏差原因分析及改进措施</w:t>
            </w:r>
          </w:p>
        </w:tc>
      </w:tr>
      <w:tr w14:paraId="1C4D2C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E7E4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9D4E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48B5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C5BE">
            <w:pPr>
              <w:jc w:val="center"/>
            </w:pPr>
            <w:r>
              <w:rPr>
                <w:rFonts w:ascii="宋体" w:hAnsi="宋体" w:eastAsia="宋体"/>
                <w:sz w:val="16"/>
              </w:rPr>
              <w:t>保障人大代表活动人数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A2BB">
            <w:pPr>
              <w:jc w:val="center"/>
            </w:pPr>
            <w:r>
              <w:rPr>
                <w:rFonts w:ascii="宋体" w:hAnsi="宋体" w:eastAsia="宋体"/>
                <w:sz w:val="16"/>
              </w:rPr>
              <w:t>&gt;=61人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93B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C150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7BC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76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613C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AE2E">
            <w:pPr>
              <w:jc w:val="center"/>
            </w:pPr>
            <w:r>
              <w:rPr>
                <w:rFonts w:ascii="宋体" w:hAnsi="宋体" w:eastAsia="宋体"/>
                <w:sz w:val="16"/>
              </w:rPr>
              <w:t>=41人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2B3B">
            <w:pPr>
              <w:jc w:val="center"/>
            </w:pPr>
            <w:r>
              <w:rPr>
                <w:rFonts w:ascii="宋体" w:hAnsi="宋体" w:eastAsia="宋体"/>
                <w:sz w:val="16"/>
              </w:rPr>
              <w:t>67.21%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A0D8">
            <w:pPr>
              <w:jc w:val="center"/>
            </w:pPr>
            <w:r>
              <w:rPr>
                <w:rFonts w:ascii="宋体" w:hAnsi="宋体" w:eastAsia="宋体"/>
                <w:sz w:val="16"/>
              </w:rPr>
              <w:t>8.07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A114">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3A87F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C47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2B2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D3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BAD6">
            <w:pPr>
              <w:jc w:val="center"/>
            </w:pPr>
            <w:r>
              <w:rPr>
                <w:rFonts w:ascii="宋体" w:hAnsi="宋体" w:eastAsia="宋体"/>
                <w:sz w:val="16"/>
              </w:rPr>
              <w:t>保障联络站数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222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41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001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DC08B">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E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EA9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E3A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F2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2A67">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D84C">
            <w:pPr>
              <w:jc w:val="center"/>
            </w:pPr>
          </w:p>
        </w:tc>
      </w:tr>
      <w:tr w14:paraId="30338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90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98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0D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9B26">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2A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3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29CC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1EA8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59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B3B6">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92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D0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F078">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FDBE6">
            <w:pPr>
              <w:jc w:val="center"/>
            </w:pPr>
          </w:p>
        </w:tc>
      </w:tr>
      <w:tr w14:paraId="4E23D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1D1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BC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CB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3584">
            <w:pPr>
              <w:jc w:val="center"/>
            </w:pPr>
            <w:r>
              <w:rPr>
                <w:rFonts w:ascii="宋体" w:hAnsi="宋体" w:eastAsia="宋体"/>
                <w:sz w:val="16"/>
              </w:rPr>
              <w:t>保障完成时间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3DD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4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9F5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CD2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E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7FC1">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001F">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2A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57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D8522">
            <w:pPr>
              <w:jc w:val="center"/>
            </w:pPr>
          </w:p>
        </w:tc>
      </w:tr>
      <w:tr w14:paraId="3CFCB2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B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770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350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25C0">
            <w:pPr>
              <w:jc w:val="center"/>
            </w:pPr>
            <w:r>
              <w:rPr>
                <w:rFonts w:ascii="宋体" w:hAnsi="宋体" w:eastAsia="宋体"/>
                <w:sz w:val="16"/>
              </w:rPr>
              <w:t>联络站成本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25AB">
            <w:pPr>
              <w:jc w:val="center"/>
            </w:pPr>
            <w:r>
              <w:rPr>
                <w:rFonts w:ascii="宋体" w:hAnsi="宋体" w:eastAsia="宋体"/>
                <w:sz w:val="16"/>
              </w:rPr>
              <w:t>&lt;=0.30万元/个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96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6EF9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26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E83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62BA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4559">
            <w:pPr>
              <w:jc w:val="center"/>
            </w:pPr>
            <w:r>
              <w:rPr>
                <w:rFonts w:ascii="宋体" w:hAnsi="宋体" w:eastAsia="宋体"/>
                <w:sz w:val="16"/>
              </w:rPr>
              <w:t>=0.3万元/个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C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488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F14E">
            <w:pPr>
              <w:jc w:val="center"/>
            </w:pPr>
          </w:p>
        </w:tc>
      </w:tr>
      <w:tr w14:paraId="5ADA81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07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CDA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C49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9AA6">
            <w:pPr>
              <w:jc w:val="center"/>
            </w:pPr>
            <w:r>
              <w:rPr>
                <w:rFonts w:ascii="宋体" w:hAnsi="宋体" w:eastAsia="宋体"/>
                <w:sz w:val="16"/>
              </w:rPr>
              <w:t>保障代表联络站工作正常开展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2CE5">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A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AD0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8DDA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66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1D2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4B87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2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A8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0837D">
            <w:pPr>
              <w:jc w:val="center"/>
            </w:pPr>
          </w:p>
        </w:tc>
      </w:tr>
      <w:tr w14:paraId="1BECE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A8A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29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C1B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625A">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E2F3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9E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62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C3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4C8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1DDB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F9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6F0E">
            <w:pPr>
              <w:jc w:val="center"/>
            </w:pPr>
            <w:r>
              <w:rPr>
                <w:rFonts w:ascii="宋体" w:hAnsi="宋体" w:eastAsia="宋体"/>
                <w:sz w:val="16"/>
              </w:rPr>
              <w:t>105.56%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EE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769C8">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2FBCAB6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B6FA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FD7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00A0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4F4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99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C49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D32F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2C4F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5B0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8C4F">
            <w:pPr>
              <w:jc w:val="center"/>
            </w:pPr>
            <w:r>
              <w:rPr>
                <w:rFonts w:ascii="宋体" w:hAnsi="宋体" w:eastAsia="宋体"/>
                <w:sz w:val="16"/>
              </w:rPr>
              <w:t>96.07分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77EC82"/>
        </w:tc>
      </w:tr>
    </w:tbl>
    <w:p w14:paraId="5AF66B0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B71E2E6">
        <w:tblPrEx>
          <w:tblCellMar>
            <w:top w:w="0" w:type="dxa"/>
            <w:left w:w="108" w:type="dxa"/>
            <w:bottom w:w="0" w:type="dxa"/>
            <w:right w:w="108" w:type="dxa"/>
          </w:tblCellMar>
        </w:tblPrEx>
        <w:tc>
          <w:tcPr>
            <w:tcW w:w="8848" w:type="dxa"/>
            <w:gridSpan w:val="14"/>
            <w:vAlign w:val="center"/>
          </w:tcPr>
          <w:p w14:paraId="0E53FDD5">
            <w:pPr>
              <w:jc w:val="center"/>
            </w:pPr>
            <w:r>
              <w:rPr>
                <w:rFonts w:ascii="宋体" w:hAnsi="宋体" w:eastAsia="宋体"/>
                <w:sz w:val="24"/>
              </w:rPr>
              <w:t>项目支出绩效自评表</w:t>
            </w:r>
          </w:p>
        </w:tc>
      </w:tr>
      <w:tr w14:paraId="08E9E912">
        <w:tblPrEx>
          <w:tblCellMar>
            <w:top w:w="0" w:type="dxa"/>
            <w:left w:w="108" w:type="dxa"/>
            <w:bottom w:w="0" w:type="dxa"/>
            <w:right w:w="108" w:type="dxa"/>
          </w:tblCellMar>
        </w:tblPrEx>
        <w:tc>
          <w:tcPr>
            <w:tcW w:w="8848" w:type="dxa"/>
            <w:gridSpan w:val="14"/>
            <w:vAlign w:val="center"/>
          </w:tcPr>
          <w:p w14:paraId="47F96020">
            <w:pPr>
              <w:jc w:val="center"/>
            </w:pPr>
            <w:r>
              <w:rPr>
                <w:rFonts w:ascii="宋体" w:hAnsi="宋体" w:eastAsia="宋体"/>
                <w:sz w:val="24"/>
              </w:rPr>
              <w:t>(2024年度)</w:t>
            </w:r>
          </w:p>
        </w:tc>
      </w:tr>
      <w:tr w14:paraId="423A1B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39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65BD6">
            <w:pPr>
              <w:jc w:val="center"/>
            </w:pPr>
            <w:r>
              <w:rPr>
                <w:rFonts w:ascii="宋体" w:hAnsi="宋体" w:eastAsia="宋体"/>
                <w:sz w:val="16"/>
              </w:rPr>
              <w:t>自治区基层人大补助项目</w:t>
            </w:r>
          </w:p>
        </w:tc>
      </w:tr>
      <w:tr w14:paraId="06307E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FA0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0D629D">
            <w:pPr>
              <w:jc w:val="center"/>
            </w:pPr>
            <w:r>
              <w:rPr>
                <w:rFonts w:ascii="宋体" w:hAnsi="宋体" w:eastAsia="宋体"/>
                <w:sz w:val="16"/>
              </w:rPr>
              <w:t>托里县人民代表大会常务委员会办公室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3F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CB4F49">
            <w:pPr>
              <w:jc w:val="center"/>
            </w:pPr>
            <w:r>
              <w:rPr>
                <w:rFonts w:ascii="宋体" w:hAnsi="宋体" w:eastAsia="宋体"/>
                <w:sz w:val="16"/>
              </w:rPr>
              <w:t>托里县人民代表大会常务委员会办公室</w:t>
            </w:r>
          </w:p>
        </w:tc>
      </w:tr>
      <w:tr w14:paraId="0682D9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73D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E43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75D6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148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5F9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330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AC7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D372">
            <w:pPr>
              <w:jc w:val="center"/>
            </w:pPr>
            <w:r>
              <w:rPr>
                <w:rFonts w:ascii="宋体" w:hAnsi="宋体" w:eastAsia="宋体"/>
                <w:sz w:val="16"/>
              </w:rPr>
              <w:t>得分</w:t>
            </w:r>
          </w:p>
        </w:tc>
      </w:tr>
      <w:tr w14:paraId="344EC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989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8E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03A81">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954B">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3D7E0">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293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CB97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8073">
            <w:pPr>
              <w:jc w:val="center"/>
            </w:pPr>
            <w:r>
              <w:rPr>
                <w:rFonts w:ascii="宋体" w:hAnsi="宋体" w:eastAsia="宋体"/>
                <w:sz w:val="16"/>
              </w:rPr>
              <w:t>10.00</w:t>
            </w:r>
          </w:p>
        </w:tc>
      </w:tr>
      <w:tr w14:paraId="0B4C6A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8DE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CF6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6699">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56C33">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DAD87">
            <w:pPr>
              <w:jc w:val="center"/>
            </w:pPr>
            <w:r>
              <w:rPr>
                <w:rFonts w:ascii="宋体" w:hAnsi="宋体" w:eastAsia="宋体"/>
                <w:sz w:val="16"/>
              </w:rPr>
              <w:t>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C7F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EE2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0A818">
            <w:pPr>
              <w:jc w:val="center"/>
            </w:pPr>
            <w:r>
              <w:rPr>
                <w:rFonts w:ascii="宋体" w:hAnsi="宋体" w:eastAsia="宋体"/>
                <w:sz w:val="16"/>
              </w:rPr>
              <w:t>—</w:t>
            </w:r>
          </w:p>
        </w:tc>
      </w:tr>
      <w:tr w14:paraId="71AF7E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E82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F8E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BF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32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B2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FBA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0B1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948EF">
            <w:pPr>
              <w:jc w:val="center"/>
            </w:pPr>
            <w:r>
              <w:rPr>
                <w:rFonts w:ascii="宋体" w:hAnsi="宋体" w:eastAsia="宋体"/>
                <w:sz w:val="16"/>
              </w:rPr>
              <w:t>—</w:t>
            </w:r>
          </w:p>
        </w:tc>
      </w:tr>
      <w:tr w14:paraId="07048C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FF63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A944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5DEEBE">
            <w:pPr>
              <w:jc w:val="center"/>
            </w:pPr>
            <w:r>
              <w:rPr>
                <w:rFonts w:ascii="宋体" w:hAnsi="宋体" w:eastAsia="宋体"/>
                <w:sz w:val="16"/>
              </w:rPr>
              <w:t>实际完成情况</w:t>
            </w:r>
          </w:p>
        </w:tc>
      </w:tr>
      <w:tr w14:paraId="4E9B1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EF1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424D9">
            <w:pPr>
              <w:jc w:val="both"/>
            </w:pPr>
            <w:r>
              <w:rPr>
                <w:rFonts w:ascii="宋体" w:hAnsi="宋体" w:eastAsia="宋体"/>
                <w:sz w:val="16"/>
              </w:rPr>
              <w:t>自治区人大基层补助项目共计18万元，主要用于提升改造10个村级联络站和1个家室站。自治区人大坚持以习近平新时代中国特色社会主义思想为指导，深入学习贯彻党的十九大和十九届二中、三中全会精神，贯彻落实自治区党委安排部署，坚定不移坚持党对人大工作的全面领导，旗帜鲜明讲政治，增强“四个意识”、</w:t>
            </w:r>
            <w:r>
              <w:rPr>
                <w:rFonts w:hint="eastAsia" w:ascii="宋体" w:hAnsi="宋体"/>
                <w:sz w:val="16"/>
                <w:lang w:eastAsia="zh-CN"/>
              </w:rPr>
              <w:t>坚定“四个自信”、</w:t>
            </w:r>
            <w:r>
              <w:rPr>
                <w:rFonts w:ascii="宋体" w:hAnsi="宋体" w:eastAsia="宋体"/>
                <w:sz w:val="16"/>
              </w:rPr>
              <w:t>开创新时代自治区人大工作新局面，把握“五个明确”，做好新时代新疆人大工作，基层人大补助经费用于逐步完善村级联络站办公场所及配套设施。各基层人大代表对人大工作满意度达到95%。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55CD1D">
            <w:pPr>
              <w:jc w:val="both"/>
            </w:pPr>
            <w:r>
              <w:rPr>
                <w:rFonts w:ascii="宋体" w:hAnsi="宋体" w:eastAsia="宋体"/>
                <w:sz w:val="16"/>
              </w:rPr>
              <w:t>自治区人大基层补助项目共计18万元，</w:t>
            </w:r>
            <w:r>
              <w:rPr>
                <w:rFonts w:hint="eastAsia" w:ascii="宋体" w:hAnsi="宋体"/>
                <w:sz w:val="16"/>
                <w:lang w:eastAsia="zh-CN"/>
              </w:rPr>
              <w:t>截至</w:t>
            </w:r>
            <w:r>
              <w:rPr>
                <w:rFonts w:ascii="宋体" w:hAnsi="宋体" w:eastAsia="宋体"/>
                <w:sz w:val="16"/>
              </w:rPr>
              <w:t>2024年12月31日，该项目提升改造10个村级联络站和1个</w:t>
            </w:r>
            <w:bookmarkStart w:id="0" w:name="_GoBack"/>
            <w:r>
              <w:rPr>
                <w:rFonts w:ascii="宋体" w:hAnsi="宋体" w:eastAsia="宋体"/>
                <w:sz w:val="16"/>
              </w:rPr>
              <w:t>家室</w:t>
            </w:r>
            <w:bookmarkEnd w:id="0"/>
            <w:r>
              <w:rPr>
                <w:rFonts w:ascii="宋体" w:hAnsi="宋体" w:eastAsia="宋体"/>
                <w:sz w:val="16"/>
              </w:rPr>
              <w:t>站,目前已全部完成。通过改造提升联络站及家室站，进一步完善村级联络站办公场所及配套设施，为各级人大代表开展履职工作奠定坚实基础。</w:t>
            </w:r>
          </w:p>
        </w:tc>
      </w:tr>
      <w:tr w14:paraId="45E88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935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6D09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1E1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A2D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DFD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93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A70D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F24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B2E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65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95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999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2FD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E3ACF">
            <w:pPr>
              <w:jc w:val="center"/>
            </w:pPr>
            <w:r>
              <w:rPr>
                <w:rFonts w:ascii="宋体" w:hAnsi="宋体" w:eastAsia="宋体"/>
                <w:sz w:val="16"/>
              </w:rPr>
              <w:t>偏差原因分析及改进措施</w:t>
            </w:r>
          </w:p>
        </w:tc>
      </w:tr>
      <w:tr w14:paraId="2EF7EC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943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53F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350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5613">
            <w:pPr>
              <w:jc w:val="center"/>
            </w:pPr>
            <w:r>
              <w:rPr>
                <w:rFonts w:ascii="宋体" w:hAnsi="宋体" w:eastAsia="宋体"/>
                <w:sz w:val="16"/>
              </w:rPr>
              <w:t>提升改造家室站数量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095D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C4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1F7C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64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E2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C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F9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B9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FA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8A31">
            <w:pPr>
              <w:jc w:val="center"/>
            </w:pPr>
          </w:p>
        </w:tc>
      </w:tr>
      <w:tr w14:paraId="15DA0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B01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3E8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D0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4AE3">
            <w:pPr>
              <w:jc w:val="center"/>
            </w:pPr>
            <w:r>
              <w:rPr>
                <w:rFonts w:ascii="宋体" w:hAnsi="宋体" w:eastAsia="宋体"/>
                <w:sz w:val="16"/>
              </w:rPr>
              <w:t>提升改造村联络站数量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B19D">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E4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F7F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64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33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C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90C9">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AC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D3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0C5A">
            <w:pPr>
              <w:jc w:val="center"/>
            </w:pPr>
          </w:p>
        </w:tc>
      </w:tr>
      <w:tr w14:paraId="6845A1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4672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FFA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F1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4C02">
            <w:pPr>
              <w:jc w:val="center"/>
            </w:pPr>
            <w:r>
              <w:rPr>
                <w:rFonts w:ascii="宋体" w:hAnsi="宋体" w:eastAsia="宋体"/>
                <w:sz w:val="16"/>
              </w:rPr>
              <w:t>站点验收合格率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3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E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E43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18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E6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CF0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C4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D7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EC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42F6">
            <w:pPr>
              <w:jc w:val="center"/>
            </w:pPr>
          </w:p>
        </w:tc>
      </w:tr>
      <w:tr w14:paraId="3ADD6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93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46EF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8C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87B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A77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DA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A5E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51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80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E1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6758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74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0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1692">
            <w:pPr>
              <w:jc w:val="center"/>
            </w:pPr>
          </w:p>
        </w:tc>
      </w:tr>
      <w:tr w14:paraId="712AF5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DFD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0E3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4347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3316">
            <w:pPr>
              <w:jc w:val="center"/>
            </w:pPr>
            <w:r>
              <w:rPr>
                <w:rFonts w:ascii="宋体" w:hAnsi="宋体" w:eastAsia="宋体"/>
                <w:sz w:val="16"/>
              </w:rPr>
              <w:t>家室站改造成本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CA9B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3AB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E68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F1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82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A9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E70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992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A8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53E7">
            <w:pPr>
              <w:jc w:val="center"/>
            </w:pPr>
          </w:p>
        </w:tc>
      </w:tr>
      <w:tr w14:paraId="23ED67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0DA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6C2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36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30A6D">
            <w:pPr>
              <w:jc w:val="center"/>
            </w:pPr>
            <w:r>
              <w:rPr>
                <w:rFonts w:ascii="宋体" w:hAnsi="宋体" w:eastAsia="宋体"/>
                <w:sz w:val="16"/>
              </w:rPr>
              <w:t>村联络站改造成本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315D">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58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D3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1C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DF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660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EA29">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DB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E15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8E90">
            <w:pPr>
              <w:jc w:val="center"/>
            </w:pPr>
          </w:p>
        </w:tc>
      </w:tr>
      <w:tr w14:paraId="11C19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797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D11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F7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3B98">
            <w:pPr>
              <w:jc w:val="center"/>
            </w:pPr>
            <w:r>
              <w:rPr>
                <w:rFonts w:ascii="宋体" w:hAnsi="宋体" w:eastAsia="宋体"/>
                <w:sz w:val="16"/>
              </w:rPr>
              <w:t>村联络站立法点改造成本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B23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8B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7D0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5DC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E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91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7F1A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CF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175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763A0">
            <w:pPr>
              <w:jc w:val="center"/>
            </w:pPr>
          </w:p>
        </w:tc>
      </w:tr>
      <w:tr w14:paraId="7D5D36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4EA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B5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106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A41C">
            <w:pPr>
              <w:jc w:val="center"/>
            </w:pPr>
            <w:r>
              <w:rPr>
                <w:rFonts w:ascii="宋体" w:hAnsi="宋体" w:eastAsia="宋体"/>
                <w:sz w:val="16"/>
              </w:rPr>
              <w:t>提高各层人大代表履职能力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60B5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6A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96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185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861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265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3D8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E3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A86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AA0E">
            <w:pPr>
              <w:jc w:val="center"/>
            </w:pPr>
          </w:p>
        </w:tc>
      </w:tr>
      <w:tr w14:paraId="6824A6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A3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0D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BE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91DE">
            <w:pPr>
              <w:jc w:val="center"/>
            </w:pPr>
            <w:r>
              <w:rPr>
                <w:rFonts w:ascii="宋体" w:hAnsi="宋体" w:eastAsia="宋体"/>
                <w:sz w:val="16"/>
              </w:rPr>
              <w:t>各基层人大代表对人大工作满意度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96B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7E2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29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E3F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F6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2CDB">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7513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D1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B4C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D6207">
            <w:pPr>
              <w:jc w:val="center"/>
            </w:pPr>
          </w:p>
        </w:tc>
      </w:tr>
      <w:tr w14:paraId="143E04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B2A1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29E2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75C79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ABA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32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9029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AFD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73E8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79B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267A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FE1FEF"/>
        </w:tc>
      </w:tr>
    </w:tbl>
    <w:p w14:paraId="65EAD2EF">
      <w:r>
        <w:br w:type="page"/>
      </w:r>
    </w:p>
    <w:p w14:paraId="679B4EB2">
      <w:pPr>
        <w:spacing w:line="640" w:lineRule="exact"/>
        <w:ind w:firstLine="640"/>
        <w:jc w:val="both"/>
        <w:outlineLvl w:val="2"/>
      </w:pPr>
      <w:r>
        <w:rPr>
          <w:rFonts w:ascii="黑体" w:hAnsi="黑体" w:eastAsia="黑体"/>
          <w:sz w:val="32"/>
        </w:rPr>
        <w:t>十二、其他需说明的事项</w:t>
      </w:r>
    </w:p>
    <w:p w14:paraId="0508F302">
      <w:pPr>
        <w:spacing w:line="580" w:lineRule="exact"/>
        <w:ind w:firstLine="640"/>
        <w:jc w:val="both"/>
      </w:pPr>
      <w:r>
        <w:rPr>
          <w:rFonts w:ascii="仿宋_GB2312" w:hAnsi="仿宋_GB2312" w:eastAsia="仿宋_GB2312"/>
          <w:b w:val="0"/>
          <w:sz w:val="32"/>
        </w:rPr>
        <w:t>本单位没有其他需说明的事项。</w:t>
      </w:r>
    </w:p>
    <w:p w14:paraId="1BDF6E94">
      <w:r>
        <w:br w:type="page"/>
      </w:r>
    </w:p>
    <w:p w14:paraId="5BC15DB2">
      <w:pPr>
        <w:spacing w:line="240" w:lineRule="auto"/>
        <w:jc w:val="center"/>
        <w:outlineLvl w:val="1"/>
      </w:pPr>
      <w:r>
        <w:rPr>
          <w:rFonts w:ascii="黑体" w:hAnsi="黑体" w:eastAsia="黑体"/>
          <w:sz w:val="32"/>
        </w:rPr>
        <w:t>第三部分 专业名词解释</w:t>
      </w:r>
    </w:p>
    <w:p w14:paraId="5BEBB9FD">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A8C38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D6EC99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79180C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C908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7AA4B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10E164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E3CF88">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B7C83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4911CC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323212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D83A3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4F9399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E9D7A2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D10193">
      <w:r>
        <w:br w:type="page"/>
      </w:r>
    </w:p>
    <w:p w14:paraId="69DFB303">
      <w:pPr>
        <w:spacing w:line="240" w:lineRule="auto"/>
        <w:jc w:val="center"/>
        <w:outlineLvl w:val="1"/>
      </w:pPr>
      <w:r>
        <w:rPr>
          <w:rFonts w:ascii="黑体" w:hAnsi="黑体" w:eastAsia="黑体"/>
          <w:sz w:val="32"/>
        </w:rPr>
        <w:t>第四部分 部门决算报表（见附表）</w:t>
      </w:r>
    </w:p>
    <w:p w14:paraId="3D09661A">
      <w:pPr>
        <w:spacing w:line="240" w:lineRule="auto"/>
        <w:ind w:firstLine="640"/>
        <w:jc w:val="both"/>
      </w:pPr>
      <w:r>
        <w:rPr>
          <w:rFonts w:ascii="仿宋_GB2312" w:hAnsi="仿宋_GB2312" w:eastAsia="仿宋_GB2312"/>
          <w:b w:val="0"/>
          <w:sz w:val="32"/>
        </w:rPr>
        <w:t>一、《收入支出决算总表》</w:t>
      </w:r>
    </w:p>
    <w:p w14:paraId="6198594F">
      <w:pPr>
        <w:spacing w:line="240" w:lineRule="auto"/>
        <w:ind w:firstLine="640"/>
        <w:jc w:val="both"/>
      </w:pPr>
      <w:r>
        <w:rPr>
          <w:rFonts w:ascii="仿宋_GB2312" w:hAnsi="仿宋_GB2312" w:eastAsia="仿宋_GB2312"/>
          <w:b w:val="0"/>
          <w:sz w:val="32"/>
        </w:rPr>
        <w:t>二、《收入决算表》</w:t>
      </w:r>
    </w:p>
    <w:p w14:paraId="30205D18">
      <w:pPr>
        <w:spacing w:line="240" w:lineRule="auto"/>
        <w:ind w:firstLine="640"/>
        <w:jc w:val="both"/>
      </w:pPr>
      <w:r>
        <w:rPr>
          <w:rFonts w:ascii="仿宋_GB2312" w:hAnsi="仿宋_GB2312" w:eastAsia="仿宋_GB2312"/>
          <w:b w:val="0"/>
          <w:sz w:val="32"/>
        </w:rPr>
        <w:t>三、《支出决算表》</w:t>
      </w:r>
    </w:p>
    <w:p w14:paraId="29CE7B9C">
      <w:pPr>
        <w:spacing w:line="240" w:lineRule="auto"/>
        <w:ind w:firstLine="640"/>
        <w:jc w:val="both"/>
      </w:pPr>
      <w:r>
        <w:rPr>
          <w:rFonts w:ascii="仿宋_GB2312" w:hAnsi="仿宋_GB2312" w:eastAsia="仿宋_GB2312"/>
          <w:b w:val="0"/>
          <w:sz w:val="32"/>
        </w:rPr>
        <w:t>四、《财政拨款收入支出决算总表》</w:t>
      </w:r>
    </w:p>
    <w:p w14:paraId="64CC5EBE">
      <w:pPr>
        <w:spacing w:line="240" w:lineRule="auto"/>
        <w:ind w:firstLine="640"/>
        <w:jc w:val="both"/>
      </w:pPr>
      <w:r>
        <w:rPr>
          <w:rFonts w:ascii="仿宋_GB2312" w:hAnsi="仿宋_GB2312" w:eastAsia="仿宋_GB2312"/>
          <w:b w:val="0"/>
          <w:sz w:val="32"/>
        </w:rPr>
        <w:t>五、《一般公共预算财政拨款支出决算表》</w:t>
      </w:r>
    </w:p>
    <w:p w14:paraId="0C70829A">
      <w:pPr>
        <w:spacing w:line="240" w:lineRule="auto"/>
        <w:ind w:firstLine="640"/>
        <w:jc w:val="both"/>
      </w:pPr>
      <w:r>
        <w:rPr>
          <w:rFonts w:ascii="仿宋_GB2312" w:hAnsi="仿宋_GB2312" w:eastAsia="仿宋_GB2312"/>
          <w:b w:val="0"/>
          <w:sz w:val="32"/>
        </w:rPr>
        <w:t>六、《一般公共预算财政拨款基本支出决算表》</w:t>
      </w:r>
    </w:p>
    <w:p w14:paraId="123C99F6">
      <w:pPr>
        <w:spacing w:line="240" w:lineRule="auto"/>
        <w:ind w:firstLine="640"/>
        <w:jc w:val="both"/>
      </w:pPr>
      <w:r>
        <w:rPr>
          <w:rFonts w:ascii="仿宋_GB2312" w:hAnsi="仿宋_GB2312" w:eastAsia="仿宋_GB2312"/>
          <w:b w:val="0"/>
          <w:sz w:val="32"/>
        </w:rPr>
        <w:t>七、《政府性基金预算财政拨款收入支出决算表》</w:t>
      </w:r>
    </w:p>
    <w:p w14:paraId="3827CD95">
      <w:pPr>
        <w:spacing w:line="240" w:lineRule="auto"/>
        <w:ind w:firstLine="640"/>
        <w:jc w:val="both"/>
      </w:pPr>
      <w:r>
        <w:rPr>
          <w:rFonts w:ascii="仿宋_GB2312" w:hAnsi="仿宋_GB2312" w:eastAsia="仿宋_GB2312"/>
          <w:b w:val="0"/>
          <w:sz w:val="32"/>
        </w:rPr>
        <w:t>八、《国有资本经营预算财政拨款收入支出决算表》</w:t>
      </w:r>
    </w:p>
    <w:p w14:paraId="366861BB">
      <w:pPr>
        <w:spacing w:line="240" w:lineRule="auto"/>
        <w:ind w:firstLine="640"/>
        <w:jc w:val="both"/>
      </w:pPr>
      <w:r>
        <w:rPr>
          <w:rFonts w:ascii="仿宋_GB2312" w:hAnsi="仿宋_GB2312" w:eastAsia="仿宋_GB2312"/>
          <w:b w:val="0"/>
          <w:sz w:val="32"/>
        </w:rPr>
        <w:t>九、《财政拨款“三公”经费支出决算表》</w:t>
      </w:r>
    </w:p>
    <w:p w14:paraId="3810D780">
      <w:pPr>
        <w:spacing w:line="240" w:lineRule="auto"/>
        <w:ind w:firstLine="640"/>
        <w:jc w:val="both"/>
      </w:pPr>
    </w:p>
    <w:p w14:paraId="0AC18851">
      <w:pPr>
        <w:spacing w:line="240" w:lineRule="auto"/>
        <w:ind w:firstLine="640"/>
        <w:jc w:val="both"/>
      </w:pPr>
    </w:p>
    <w:p w14:paraId="421E1869">
      <w:pPr>
        <w:spacing w:line="240" w:lineRule="auto"/>
        <w:ind w:firstLine="640"/>
        <w:jc w:val="both"/>
      </w:pPr>
    </w:p>
    <w:p w14:paraId="76143995">
      <w:pPr>
        <w:spacing w:line="240" w:lineRule="auto"/>
        <w:ind w:firstLine="640"/>
        <w:jc w:val="both"/>
      </w:pPr>
    </w:p>
    <w:p w14:paraId="467A8ED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727575-70BF-4D53-B142-C14060501D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9F3E9AE-A640-4267-A8CC-9EDECBC03A13}"/>
  </w:font>
  <w:font w:name="仿宋_GB2312">
    <w:altName w:val="仿宋"/>
    <w:panose1 w:val="02010609030101010101"/>
    <w:charset w:val="86"/>
    <w:family w:val="modern"/>
    <w:pitch w:val="default"/>
    <w:sig w:usb0="00000000" w:usb1="00000000" w:usb2="00000000" w:usb3="00000000" w:csb0="00040000" w:csb1="00000000"/>
    <w:embedRegular r:id="rId3" w:fontKey="{FF8C490D-1CB2-4B1E-A28D-2D1F0D0F8D66}"/>
  </w:font>
  <w:font w:name="楷体_GB2312">
    <w:altName w:val="楷体"/>
    <w:panose1 w:val="00000000000000000000"/>
    <w:charset w:val="00"/>
    <w:family w:val="auto"/>
    <w:pitch w:val="default"/>
    <w:sig w:usb0="00000000" w:usb1="00000000" w:usb2="00000000" w:usb3="00000000" w:csb0="00000000" w:csb1="00000000"/>
    <w:embedRegular r:id="rId4" w:fontKey="{6CD34D6D-605B-4EF6-9396-CC9C1D7BDC89}"/>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6331AE"/>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6191</Words>
  <Characters>6873</Characters>
  <Lines>0</Lines>
  <Paragraphs>0</Paragraphs>
  <TotalTime>1</TotalTime>
  <ScaleCrop>false</ScaleCrop>
  <LinksUpToDate>false</LinksUpToDate>
  <CharactersWithSpaces>6881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2025-10-31T06:02:05Z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