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中国人民解放军新疆维吾尔自治区托里县人民武装部2024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9D10253">
      <w:r>
        <w:br w:type="page"/>
      </w:r>
    </w:p>
    <w:p w14:paraId="1BB6ACBC">
      <w:pPr>
        <w:spacing w:line="640" w:lineRule="exact"/>
        <w:jc w:val="center"/>
        <w:outlineLvl w:val="1"/>
      </w:pPr>
      <w:r>
        <w:rPr>
          <w:rFonts w:ascii="黑体" w:hAnsi="黑体" w:eastAsia="黑体"/>
          <w:sz w:val="32"/>
        </w:rPr>
        <w:t>第一部分 单位概况</w:t>
      </w:r>
    </w:p>
    <w:p w14:paraId="365EA6DB">
      <w:pPr>
        <w:spacing w:line="640" w:lineRule="exact"/>
        <w:ind w:firstLine="640"/>
        <w:jc w:val="both"/>
        <w:outlineLvl w:val="2"/>
      </w:pPr>
      <w:r>
        <w:rPr>
          <w:rFonts w:ascii="黑体" w:hAnsi="黑体" w:eastAsia="黑体"/>
          <w:sz w:val="32"/>
        </w:rPr>
        <w:t>一、主要职能</w:t>
      </w:r>
    </w:p>
    <w:p w14:paraId="0AF5F4B1">
      <w:pPr>
        <w:spacing w:line="580" w:lineRule="exact"/>
        <w:ind w:firstLine="640"/>
        <w:jc w:val="both"/>
      </w:pPr>
      <w:r>
        <w:rPr>
          <w:rFonts w:ascii="仿宋_GB2312" w:hAnsi="仿宋_GB2312" w:eastAsia="仿宋_GB2312"/>
          <w:sz w:val="32"/>
        </w:rPr>
        <w:t>（1）主要负责辖区内民兵、预备役工作，</w:t>
      </w:r>
      <w:r>
        <w:rPr>
          <w:rFonts w:hint="eastAsia" w:ascii="仿宋_GB2312" w:hAnsi="仿宋_GB2312" w:eastAsia="仿宋_GB2312"/>
          <w:sz w:val="32"/>
          <w:lang w:eastAsia="zh-CN"/>
        </w:rPr>
        <w:t>领导</w:t>
      </w:r>
      <w:r>
        <w:rPr>
          <w:rFonts w:ascii="仿宋_GB2312" w:hAnsi="仿宋_GB2312" w:eastAsia="仿宋_GB2312"/>
          <w:sz w:val="32"/>
        </w:rPr>
        <w:t>我县人民武装工作。</w:t>
      </w:r>
    </w:p>
    <w:p w14:paraId="4E87DD1C">
      <w:pPr>
        <w:spacing w:line="580" w:lineRule="exact"/>
        <w:ind w:firstLine="640"/>
        <w:jc w:val="both"/>
      </w:pPr>
      <w:r>
        <w:rPr>
          <w:rFonts w:ascii="仿宋_GB2312" w:hAnsi="仿宋_GB2312" w:eastAsia="仿宋_GB2312"/>
          <w:sz w:val="32"/>
        </w:rPr>
        <w:t>（2）领导本县民兵组织建设、政治教育、军事训练和武器装备管理工作。</w:t>
      </w:r>
    </w:p>
    <w:p w14:paraId="11AAA833">
      <w:pPr>
        <w:spacing w:line="580" w:lineRule="exact"/>
        <w:ind w:firstLine="640"/>
        <w:jc w:val="both"/>
      </w:pPr>
      <w:r>
        <w:rPr>
          <w:rFonts w:ascii="仿宋_GB2312" w:hAnsi="仿宋_GB2312" w:eastAsia="仿宋_GB2312"/>
          <w:sz w:val="32"/>
        </w:rPr>
        <w:t>（3）开展全民国防教育，做好拥军优属爱民的工作。</w:t>
      </w:r>
    </w:p>
    <w:p w14:paraId="0E009AEF">
      <w:pPr>
        <w:spacing w:line="580" w:lineRule="exact"/>
        <w:ind w:firstLine="640"/>
        <w:jc w:val="both"/>
      </w:pPr>
      <w:r>
        <w:rPr>
          <w:rFonts w:ascii="仿宋_GB2312" w:hAnsi="仿宋_GB2312" w:eastAsia="仿宋_GB2312"/>
          <w:sz w:val="32"/>
        </w:rPr>
        <w:t>（4）组织带领民兵完成战备执勤、防汛、抢险、救灾等任务，配合公安部门维护社会治安。</w:t>
      </w:r>
    </w:p>
    <w:p w14:paraId="3DA3C2D9">
      <w:pPr>
        <w:spacing w:line="580" w:lineRule="exact"/>
        <w:ind w:firstLine="640"/>
        <w:jc w:val="both"/>
      </w:pPr>
      <w:r>
        <w:rPr>
          <w:rFonts w:ascii="仿宋_GB2312" w:hAnsi="仿宋_GB2312" w:eastAsia="仿宋_GB2312"/>
          <w:sz w:val="32"/>
        </w:rPr>
        <w:t>（5）负责民兵和预备役人员登记、统计工作，保质保量完成了新兵征集任务。</w:t>
      </w:r>
    </w:p>
    <w:p w14:paraId="3E3CABFE">
      <w:pPr>
        <w:spacing w:line="580" w:lineRule="exact"/>
        <w:ind w:firstLine="640"/>
        <w:jc w:val="both"/>
      </w:pPr>
      <w:r>
        <w:rPr>
          <w:rFonts w:ascii="仿宋_GB2312" w:hAnsi="仿宋_GB2312" w:eastAsia="仿宋_GB2312"/>
          <w:sz w:val="32"/>
        </w:rPr>
        <w:t>（6）负责国防动员工作，战时负责动员民兵参军参战、支援前线、保卫后方和协助组织人口疏散工作。</w:t>
      </w:r>
    </w:p>
    <w:p w14:paraId="7925FEAD">
      <w:pPr>
        <w:spacing w:line="640" w:lineRule="exact"/>
        <w:ind w:firstLine="640"/>
        <w:jc w:val="both"/>
        <w:outlineLvl w:val="2"/>
      </w:pPr>
      <w:r>
        <w:rPr>
          <w:rFonts w:ascii="黑体" w:hAnsi="黑体" w:eastAsia="黑体"/>
          <w:sz w:val="32"/>
        </w:rPr>
        <w:t>二、机构设置及人员情况</w:t>
      </w:r>
    </w:p>
    <w:p w14:paraId="15A7F002">
      <w:pPr>
        <w:spacing w:line="580" w:lineRule="exact"/>
        <w:ind w:firstLine="640"/>
        <w:jc w:val="both"/>
      </w:pPr>
      <w:r>
        <w:rPr>
          <w:rFonts w:ascii="仿宋_GB2312" w:hAnsi="仿宋_GB2312" w:eastAsia="仿宋_GB2312"/>
          <w:sz w:val="32"/>
        </w:rPr>
        <w:t>中国人民解放军新疆维吾尔自治区托里县人民武装部2024年度，实有人数8人，其中：在职人员6人，增加0人；离休人员0人，增加0人；退休人员2人,增加0人。</w:t>
      </w:r>
    </w:p>
    <w:p w14:paraId="3E4931F8">
      <w:pPr>
        <w:spacing w:line="580" w:lineRule="exact"/>
        <w:ind w:firstLine="640"/>
        <w:jc w:val="both"/>
      </w:pPr>
      <w:r>
        <w:rPr>
          <w:rFonts w:ascii="仿宋_GB2312" w:hAnsi="仿宋_GB2312" w:eastAsia="仿宋_GB2312"/>
          <w:sz w:val="32"/>
        </w:rPr>
        <w:t>中国人民解放军新疆维吾尔自治区托里县人民武装部无下属预算单位，下设3个科室，分别是：军事科、政治工作科、保障科。</w:t>
      </w:r>
    </w:p>
    <w:p w14:paraId="268C8FA2">
      <w:r>
        <w:br w:type="page"/>
      </w:r>
    </w:p>
    <w:p w14:paraId="10D87DF5">
      <w:pPr>
        <w:spacing w:line="240" w:lineRule="auto"/>
        <w:jc w:val="center"/>
        <w:outlineLvl w:val="1"/>
      </w:pPr>
      <w:r>
        <w:rPr>
          <w:rFonts w:ascii="黑体" w:hAnsi="黑体" w:eastAsia="黑体"/>
          <w:sz w:val="32"/>
        </w:rPr>
        <w:t>第二部分 部门决算情况说明</w:t>
      </w:r>
    </w:p>
    <w:p w14:paraId="3DB7F675">
      <w:pPr>
        <w:spacing w:line="640" w:lineRule="exact"/>
        <w:ind w:firstLine="640"/>
        <w:jc w:val="both"/>
        <w:outlineLvl w:val="2"/>
      </w:pPr>
      <w:r>
        <w:rPr>
          <w:rFonts w:ascii="黑体" w:hAnsi="黑体" w:eastAsia="黑体"/>
          <w:sz w:val="32"/>
        </w:rPr>
        <w:t>一、收入支出决算总体情况说明</w:t>
      </w:r>
    </w:p>
    <w:p w14:paraId="2F92AB78">
      <w:pPr>
        <w:spacing w:line="580" w:lineRule="exact"/>
        <w:ind w:firstLine="640"/>
        <w:jc w:val="both"/>
      </w:pPr>
      <w:r>
        <w:rPr>
          <w:rFonts w:ascii="仿宋_GB2312" w:hAnsi="仿宋_GB2312" w:eastAsia="仿宋_GB2312"/>
          <w:b/>
          <w:sz w:val="32"/>
        </w:rPr>
        <w:t>2024年度收入总计112.02万元，</w:t>
      </w:r>
      <w:r>
        <w:rPr>
          <w:rFonts w:ascii="仿宋_GB2312" w:hAnsi="仿宋_GB2312" w:eastAsia="仿宋_GB2312"/>
          <w:b w:val="0"/>
          <w:sz w:val="32"/>
        </w:rPr>
        <w:t>其中：本年收入合计112.02万元，使用非财政拨款结余（含专用结余）0.00万元，年初结转和结余0.00万元。</w:t>
      </w:r>
    </w:p>
    <w:p w14:paraId="693751A8">
      <w:pPr>
        <w:spacing w:line="580" w:lineRule="exact"/>
        <w:ind w:firstLine="640"/>
        <w:jc w:val="both"/>
      </w:pPr>
      <w:r>
        <w:rPr>
          <w:rFonts w:ascii="仿宋_GB2312" w:hAnsi="仿宋_GB2312" w:eastAsia="仿宋_GB2312"/>
          <w:b/>
          <w:sz w:val="32"/>
        </w:rPr>
        <w:t>2024年度支出总计112.02万元，</w:t>
      </w:r>
      <w:r>
        <w:rPr>
          <w:rFonts w:ascii="仿宋_GB2312" w:hAnsi="仿宋_GB2312" w:eastAsia="仿宋_GB2312"/>
          <w:b w:val="0"/>
          <w:sz w:val="32"/>
        </w:rPr>
        <w:t>其中：本年支出合计112.02万元，结余分配0.00万元，年末结转和结余0.00万元。</w:t>
      </w:r>
    </w:p>
    <w:p w14:paraId="7D667681">
      <w:pPr>
        <w:spacing w:line="580" w:lineRule="exact"/>
        <w:ind w:firstLine="640"/>
        <w:jc w:val="both"/>
      </w:pPr>
      <w:r>
        <w:rPr>
          <w:rFonts w:ascii="仿宋_GB2312" w:hAnsi="仿宋_GB2312" w:eastAsia="仿宋_GB2312"/>
          <w:b w:val="0"/>
          <w:sz w:val="32"/>
        </w:rPr>
        <w:t>收入支出总体与上年相比，增加18.02万元，增长19.17%，主要原因是：本年在职人员工资调增，社保、公积金基数调增，人员经费增加。</w:t>
      </w:r>
    </w:p>
    <w:p w14:paraId="0D7E5534">
      <w:pPr>
        <w:spacing w:line="640" w:lineRule="exact"/>
        <w:ind w:firstLine="640"/>
        <w:jc w:val="both"/>
        <w:outlineLvl w:val="2"/>
      </w:pPr>
      <w:r>
        <w:rPr>
          <w:rFonts w:ascii="黑体" w:hAnsi="黑体" w:eastAsia="黑体"/>
          <w:sz w:val="32"/>
        </w:rPr>
        <w:t>二、收入决算情况说明</w:t>
      </w:r>
    </w:p>
    <w:p w14:paraId="5A0F4830">
      <w:pPr>
        <w:spacing w:line="580" w:lineRule="exact"/>
        <w:ind w:firstLine="640"/>
        <w:jc w:val="both"/>
      </w:pPr>
      <w:r>
        <w:rPr>
          <w:rFonts w:ascii="仿宋_GB2312" w:hAnsi="仿宋_GB2312" w:eastAsia="仿宋_GB2312"/>
          <w:b/>
          <w:sz w:val="32"/>
        </w:rPr>
        <w:t>本年收入112.02万元，</w:t>
      </w:r>
      <w:r>
        <w:rPr>
          <w:rFonts w:ascii="仿宋_GB2312" w:hAnsi="仿宋_GB2312" w:eastAsia="仿宋_GB2312"/>
          <w:b w:val="0"/>
          <w:sz w:val="32"/>
        </w:rPr>
        <w:t>其中：财政拨款收入112.02万元，占100.00%；上级补助收入0.00万元，占0.00%；事业收入0.00万元，占0.00%；经营收入0.00万元，占0.00%；附属单位上缴收入0.00万元，占0.00%；其他收入0.00万元，占0.00%。</w:t>
      </w:r>
    </w:p>
    <w:p w14:paraId="5FC487E6">
      <w:pPr>
        <w:spacing w:line="640" w:lineRule="exact"/>
        <w:ind w:firstLine="640"/>
        <w:jc w:val="both"/>
        <w:outlineLvl w:val="2"/>
      </w:pPr>
      <w:r>
        <w:rPr>
          <w:rFonts w:ascii="黑体" w:hAnsi="黑体" w:eastAsia="黑体"/>
          <w:sz w:val="32"/>
        </w:rPr>
        <w:t>三、支出决算情况说明</w:t>
      </w:r>
    </w:p>
    <w:p w14:paraId="30DBE1BD">
      <w:pPr>
        <w:spacing w:line="580" w:lineRule="exact"/>
        <w:ind w:firstLine="640"/>
        <w:jc w:val="both"/>
      </w:pPr>
      <w:r>
        <w:rPr>
          <w:rFonts w:ascii="仿宋_GB2312" w:hAnsi="仿宋_GB2312" w:eastAsia="仿宋_GB2312"/>
          <w:b/>
          <w:sz w:val="32"/>
        </w:rPr>
        <w:t>本年支出112.02万元，</w:t>
      </w:r>
      <w:r>
        <w:rPr>
          <w:rFonts w:ascii="仿宋_GB2312" w:hAnsi="仿宋_GB2312" w:eastAsia="仿宋_GB2312"/>
          <w:b w:val="0"/>
          <w:sz w:val="32"/>
        </w:rPr>
        <w:t>其中：基本支出96.02万元，占85.72%；项目支出16.00万元，占14.28%；上缴上级支出0.00万元，占0.00%；经营支出0.00万元，占0.00%；对附属单位补助支出0.00万元，占0.00%。</w:t>
      </w:r>
    </w:p>
    <w:p w14:paraId="5B749853">
      <w:pPr>
        <w:spacing w:line="640" w:lineRule="exact"/>
        <w:ind w:firstLine="640"/>
        <w:jc w:val="both"/>
        <w:outlineLvl w:val="2"/>
      </w:pPr>
      <w:r>
        <w:rPr>
          <w:rFonts w:ascii="黑体" w:hAnsi="黑体" w:eastAsia="黑体"/>
          <w:sz w:val="32"/>
        </w:rPr>
        <w:t>四、财政拨款收入支出决算总体情况说明</w:t>
      </w:r>
    </w:p>
    <w:p w14:paraId="1BB9E5E0">
      <w:pPr>
        <w:spacing w:line="580" w:lineRule="exact"/>
        <w:ind w:firstLine="640"/>
        <w:jc w:val="both"/>
      </w:pPr>
      <w:r>
        <w:rPr>
          <w:rFonts w:ascii="仿宋_GB2312" w:hAnsi="仿宋_GB2312" w:eastAsia="仿宋_GB2312"/>
          <w:b/>
          <w:sz w:val="32"/>
        </w:rPr>
        <w:t>2024年度财政拨款收入总计112.02万元，</w:t>
      </w:r>
      <w:r>
        <w:rPr>
          <w:rFonts w:ascii="仿宋_GB2312" w:hAnsi="仿宋_GB2312" w:eastAsia="仿宋_GB2312"/>
          <w:b w:val="0"/>
          <w:sz w:val="32"/>
        </w:rPr>
        <w:t>其中：年初财政拨款结转和结余0.00万元，本年财政拨款收入112.02万元。</w:t>
      </w:r>
      <w:r>
        <w:rPr>
          <w:rFonts w:ascii="仿宋_GB2312" w:hAnsi="仿宋_GB2312" w:eastAsia="仿宋_GB2312"/>
          <w:b/>
          <w:sz w:val="32"/>
        </w:rPr>
        <w:t>财政拨款支出总计112.02万元，</w:t>
      </w:r>
      <w:r>
        <w:rPr>
          <w:rFonts w:ascii="仿宋_GB2312" w:hAnsi="仿宋_GB2312" w:eastAsia="仿宋_GB2312"/>
          <w:b w:val="0"/>
          <w:sz w:val="32"/>
        </w:rPr>
        <w:t>其中：年末财政拨款结转和结余0.00万元，本年财政拨款支出112.02万元。</w:t>
      </w:r>
    </w:p>
    <w:p w14:paraId="61F3007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增加18.02万元，增长19.17%，主要原因是：本年在职人员工资调增，社保、公积金基数调增，人员经费增加。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年初预算数101.11万元，决算数112.02万元，预决算差异率10.79%，主要原因是：年中追加人员工资、社保、公积金基数调增部分资金，导致预决算存在差异。</w:t>
      </w:r>
    </w:p>
    <w:p w14:paraId="0ACFE21E">
      <w:pPr>
        <w:spacing w:line="640" w:lineRule="exact"/>
        <w:ind w:firstLine="640"/>
        <w:jc w:val="both"/>
        <w:outlineLvl w:val="2"/>
      </w:pPr>
      <w:r>
        <w:rPr>
          <w:rFonts w:ascii="黑体" w:hAnsi="黑体" w:eastAsia="黑体"/>
          <w:sz w:val="32"/>
        </w:rPr>
        <w:t>五、一般公共预算财政拨款支出决算情况说明</w:t>
      </w:r>
    </w:p>
    <w:p w14:paraId="472301C7">
      <w:pPr>
        <w:spacing w:line="640" w:lineRule="exact"/>
        <w:ind w:firstLine="640"/>
        <w:jc w:val="both"/>
        <w:outlineLvl w:val="3"/>
      </w:pPr>
      <w:r>
        <w:rPr>
          <w:rFonts w:ascii="楷体_GB2312" w:hAnsi="楷体_GB2312" w:eastAsia="楷体_GB2312"/>
          <w:b/>
          <w:sz w:val="32"/>
        </w:rPr>
        <w:t>（一）一般公共预算财政拨款支出决算总体情况</w:t>
      </w:r>
    </w:p>
    <w:p w14:paraId="271267D8">
      <w:pPr>
        <w:spacing w:line="580" w:lineRule="exact"/>
        <w:ind w:firstLine="640"/>
        <w:jc w:val="both"/>
      </w:pPr>
      <w:r>
        <w:rPr>
          <w:rFonts w:ascii="仿宋_GB2312" w:hAnsi="仿宋_GB2312" w:eastAsia="仿宋_GB2312"/>
          <w:b/>
          <w:sz w:val="32"/>
        </w:rPr>
        <w:t>2024年度一般公共预算财政拨款支出112.02万元，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增加18.02万元，增长19.17%，主要原因是：本年在职人员工资调增，社保、公积金基数调增，人员经费增加。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年初预算数101.11万元，决算数112.02万元，预决算差异率10.79%，主要原因是：年中追加人员工资、社保、公积金基数调增部分资金，导致预决算存在差异。</w:t>
      </w:r>
    </w:p>
    <w:p w14:paraId="4CF7CFDD">
      <w:pPr>
        <w:spacing w:line="640" w:lineRule="exact"/>
        <w:ind w:firstLine="640"/>
        <w:jc w:val="both"/>
        <w:outlineLvl w:val="3"/>
      </w:pPr>
      <w:r>
        <w:rPr>
          <w:rFonts w:ascii="楷体_GB2312" w:hAnsi="楷体_GB2312" w:eastAsia="楷体_GB2312"/>
          <w:b/>
          <w:sz w:val="32"/>
        </w:rPr>
        <w:t>（二）一般公共预算财政拨款支出决算结构情况</w:t>
      </w:r>
    </w:p>
    <w:p w14:paraId="7EDA69E4">
      <w:pPr>
        <w:spacing w:line="580" w:lineRule="exact"/>
        <w:ind w:firstLine="640"/>
        <w:jc w:val="both"/>
      </w:pPr>
      <w:r>
        <w:rPr>
          <w:rFonts w:ascii="仿宋_GB2312" w:hAnsi="仿宋_GB2312" w:eastAsia="仿宋_GB2312"/>
          <w:b w:val="0"/>
          <w:sz w:val="32"/>
        </w:rPr>
        <w:t>1.一般公共服务支出(类)92.02万元,占82.15%。</w:t>
      </w:r>
    </w:p>
    <w:p w14:paraId="723A5C5F">
      <w:pPr>
        <w:spacing w:line="580" w:lineRule="exact"/>
        <w:ind w:firstLine="640"/>
        <w:jc w:val="both"/>
      </w:pPr>
      <w:r>
        <w:rPr>
          <w:rFonts w:ascii="仿宋_GB2312" w:hAnsi="仿宋_GB2312" w:eastAsia="仿宋_GB2312"/>
          <w:b w:val="0"/>
          <w:sz w:val="32"/>
        </w:rPr>
        <w:t>2.社会保障和就业支出(类)9.76万元,占8.71%。</w:t>
      </w:r>
    </w:p>
    <w:p w14:paraId="115DF8F6">
      <w:pPr>
        <w:spacing w:line="580" w:lineRule="exact"/>
        <w:ind w:firstLine="640"/>
        <w:jc w:val="both"/>
      </w:pPr>
      <w:r>
        <w:rPr>
          <w:rFonts w:ascii="仿宋_GB2312" w:hAnsi="仿宋_GB2312" w:eastAsia="仿宋_GB2312"/>
          <w:b w:val="0"/>
          <w:sz w:val="32"/>
        </w:rPr>
        <w:t>3.卫生健康支出(类)3.46万元,占3.09%。</w:t>
      </w:r>
    </w:p>
    <w:p w14:paraId="7FC81982">
      <w:pPr>
        <w:spacing w:line="580" w:lineRule="exact"/>
        <w:ind w:firstLine="640"/>
        <w:jc w:val="both"/>
      </w:pPr>
      <w:r>
        <w:rPr>
          <w:rFonts w:ascii="仿宋_GB2312" w:hAnsi="仿宋_GB2312" w:eastAsia="仿宋_GB2312"/>
          <w:b w:val="0"/>
          <w:sz w:val="32"/>
        </w:rPr>
        <w:t>4.住房保障支出(类)6.78万元,占6.05%。</w:t>
      </w:r>
    </w:p>
    <w:p w14:paraId="3A336EBC">
      <w:pPr>
        <w:spacing w:line="640" w:lineRule="exact"/>
        <w:ind w:firstLine="640"/>
        <w:jc w:val="both"/>
        <w:outlineLvl w:val="3"/>
      </w:pPr>
      <w:r>
        <w:rPr>
          <w:rFonts w:ascii="楷体_GB2312" w:hAnsi="楷体_GB2312" w:eastAsia="楷体_GB2312"/>
          <w:b/>
          <w:sz w:val="32"/>
        </w:rPr>
        <w:t>（三）一般公共预算财政拨款支出决算具体情况</w:t>
      </w:r>
    </w:p>
    <w:p w14:paraId="18A0C024">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1.一般公共服务支出(类)政府办公厅（室）及相关机构事务(款)事业运行(项):支出决算数为76.02万元，比上年决算增加7.61万元，增长11.12%,主要原因是：本年在职人员工资调增，导致相关人员经费较上年有所增加。</w:t>
      </w:r>
    </w:p>
    <w:p w14:paraId="77B5E47A">
      <w:pPr>
        <w:spacing w:line="580" w:lineRule="exact"/>
        <w:ind w:firstLine="640"/>
        <w:jc w:val="both"/>
      </w:pPr>
      <w:r>
        <w:rPr>
          <w:rFonts w:ascii="仿宋_GB2312" w:hAnsi="仿宋_GB2312" w:eastAsia="仿宋_GB2312"/>
          <w:b w:val="0"/>
          <w:sz w:val="32"/>
        </w:rPr>
        <w:t>2.一般公共服务支出(类)其他一般公共服务支出(款)其他一般公共服务支出(项):支出决算数为16.00万元，比上年决算增加16.00万元，增长100.00%,主要原因是：本年功能科目调整，国防支出经费、职工伙食补助经费由兵役征集(项)列支调整至</w:t>
      </w:r>
      <w:r>
        <w:rPr>
          <w:rFonts w:hint="eastAsia" w:ascii="仿宋_GB2312" w:hAnsi="仿宋_GB2312" w:eastAsia="仿宋_GB2312"/>
          <w:b w:val="0"/>
          <w:sz w:val="32"/>
          <w:lang w:val="en-US" w:eastAsia="zh-CN"/>
        </w:rPr>
        <w:t>本科目</w:t>
      </w:r>
      <w:r>
        <w:rPr>
          <w:rFonts w:ascii="仿宋_GB2312" w:hAnsi="仿宋_GB2312" w:eastAsia="仿宋_GB2312"/>
          <w:b w:val="0"/>
          <w:sz w:val="32"/>
        </w:rPr>
        <w:t>列支，导致经费增加。</w:t>
      </w:r>
    </w:p>
    <w:p w14:paraId="365D2308">
      <w:pPr>
        <w:spacing w:line="580" w:lineRule="exact"/>
        <w:ind w:firstLine="640"/>
        <w:jc w:val="both"/>
      </w:pPr>
      <w:r>
        <w:rPr>
          <w:rFonts w:ascii="仿宋_GB2312" w:hAnsi="仿宋_GB2312" w:eastAsia="仿宋_GB2312"/>
          <w:b w:val="0"/>
          <w:sz w:val="32"/>
        </w:rPr>
        <w:t>3.国防支出(类)国防动员(款)兵役征集(项):支出决算数为0.00万元，比上年决算减少10.00万元，下降100.00%,主要原因是：本年功能科目调整，国防支出经费、职工伙食补助经费调整至</w:t>
      </w:r>
      <w:r>
        <w:rPr>
          <w:rFonts w:hint="eastAsia" w:ascii="仿宋_GB2312" w:hAnsi="仿宋_GB2312" w:eastAsia="仿宋_GB2312"/>
          <w:b w:val="0"/>
          <w:sz w:val="32"/>
          <w:lang w:val="en-US" w:eastAsia="zh-CN"/>
        </w:rPr>
        <w:t>其他</w:t>
      </w:r>
      <w:r>
        <w:rPr>
          <w:rFonts w:ascii="仿宋_GB2312" w:hAnsi="仿宋_GB2312" w:eastAsia="仿宋_GB2312"/>
          <w:b w:val="0"/>
          <w:sz w:val="32"/>
        </w:rPr>
        <w:t>一般公共服务支出</w:t>
      </w:r>
      <w:r>
        <w:rPr>
          <w:rFonts w:hint="eastAsia" w:ascii="仿宋_GB2312" w:hAnsi="仿宋_GB2312" w:eastAsia="仿宋_GB2312"/>
          <w:b w:val="0"/>
          <w:sz w:val="32"/>
          <w:lang w:val="en-US" w:eastAsia="zh-CN"/>
        </w:rPr>
        <w:t>科目列支</w:t>
      </w:r>
      <w:r>
        <w:rPr>
          <w:rFonts w:ascii="仿宋_GB2312" w:hAnsi="仿宋_GB2312" w:eastAsia="仿宋_GB2312"/>
          <w:b w:val="0"/>
          <w:sz w:val="32"/>
        </w:rPr>
        <w:t>，导致经费减少。</w:t>
      </w:r>
    </w:p>
    <w:p w14:paraId="483AE2B8">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4.社会保障和就业支出(类)行政事业单位养老支出(款)事业单位离退休(项):支出决算数为1.40万元，比上年决算增加0.40万元，增长40.00%,主要原因是：本年增加退休人员基础绩效奖，退休费支出增加。</w:t>
      </w:r>
    </w:p>
    <w:p w14:paraId="67915EC0">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8.36万元，比上年决算增加1.37万元，增长19.60%,主要原因是：本年在职人员工资基数调增，养老缴费基数上涨，相应支出增加。</w:t>
      </w:r>
    </w:p>
    <w:p w14:paraId="7AD966D4">
      <w:pPr>
        <w:spacing w:line="580" w:lineRule="exact"/>
        <w:ind w:firstLine="640"/>
        <w:jc w:val="both"/>
      </w:pPr>
      <w:r>
        <w:rPr>
          <w:rFonts w:ascii="仿宋_GB2312" w:hAnsi="仿宋_GB2312" w:eastAsia="仿宋_GB2312"/>
          <w:b w:val="0"/>
          <w:sz w:val="32"/>
        </w:rPr>
        <w:t>6.卫生健康支出(类)行政事业单位医疗(款)事业单位医疗(项):支出决算数为3.46万元，比上年决算增加0.32万元，增长10.19%,主要原因是：本年在职人员工资基数调增，医疗缴费基数上涨，相应支出增加。</w:t>
      </w:r>
    </w:p>
    <w:p w14:paraId="4395E265">
      <w:pPr>
        <w:spacing w:line="580" w:lineRule="exact"/>
        <w:ind w:firstLine="640"/>
        <w:jc w:val="both"/>
      </w:pPr>
      <w:r>
        <w:rPr>
          <w:rFonts w:ascii="仿宋_GB2312" w:hAnsi="仿宋_GB2312" w:eastAsia="仿宋_GB2312"/>
          <w:b w:val="0"/>
          <w:sz w:val="32"/>
        </w:rPr>
        <w:t>7.住房保障支出(类)住房改革支出(款)住房公积金(项):支出决算数为6.78万元，比上年决算增加2.33万元，增长52.36%,主要原因是：本年在职人员工资基数调增，公积金缴费基数上涨，相应支出增加。</w:t>
      </w:r>
    </w:p>
    <w:p w14:paraId="6014B426">
      <w:pPr>
        <w:spacing w:line="640" w:lineRule="exact"/>
        <w:ind w:firstLine="640"/>
        <w:jc w:val="both"/>
        <w:outlineLvl w:val="2"/>
      </w:pPr>
      <w:r>
        <w:rPr>
          <w:rFonts w:ascii="黑体" w:hAnsi="黑体" w:eastAsia="黑体"/>
          <w:sz w:val="32"/>
        </w:rPr>
        <w:t>六、一般公共预算财政拨款基本支出决算情况说明</w:t>
      </w:r>
    </w:p>
    <w:p w14:paraId="20A0FACD">
      <w:pPr>
        <w:spacing w:line="580" w:lineRule="exact"/>
        <w:ind w:firstLine="640"/>
        <w:jc w:val="both"/>
      </w:pPr>
      <w:r>
        <w:rPr>
          <w:rFonts w:ascii="仿宋_GB2312" w:hAnsi="仿宋_GB2312" w:eastAsia="仿宋_GB2312"/>
          <w:b w:val="0"/>
          <w:sz w:val="32"/>
        </w:rPr>
        <w:t>2024年度一般公共预算财政拨款基本支出96.02万元，其中：</w:t>
      </w:r>
      <w:r>
        <w:rPr>
          <w:rFonts w:ascii="仿宋_GB2312" w:hAnsi="仿宋_GB2312" w:eastAsia="仿宋_GB2312"/>
          <w:b/>
          <w:sz w:val="32"/>
        </w:rPr>
        <w:t>人员经费92.54万元，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14:paraId="6657E203">
      <w:pPr>
        <w:spacing w:line="580" w:lineRule="exact"/>
        <w:ind w:firstLine="640"/>
        <w:jc w:val="both"/>
      </w:pPr>
      <w:r>
        <w:rPr>
          <w:rFonts w:ascii="仿宋_GB2312" w:hAnsi="仿宋_GB2312" w:eastAsia="仿宋_GB2312"/>
          <w:b/>
          <w:sz w:val="32"/>
        </w:rPr>
        <w:t>公用经费3.47万元，</w:t>
      </w:r>
      <w:r>
        <w:rPr>
          <w:rFonts w:ascii="仿宋_GB2312" w:hAnsi="仿宋_GB2312" w:eastAsia="仿宋_GB2312"/>
          <w:b w:val="0"/>
          <w:sz w:val="32"/>
        </w:rPr>
        <w:t>包括：取暖费。</w:t>
      </w:r>
    </w:p>
    <w:p w14:paraId="73239F7E">
      <w:pPr>
        <w:spacing w:line="640" w:lineRule="exact"/>
        <w:ind w:firstLine="640"/>
        <w:jc w:val="both"/>
        <w:outlineLvl w:val="2"/>
      </w:pPr>
      <w:r>
        <w:rPr>
          <w:rFonts w:ascii="黑体" w:hAnsi="黑体" w:eastAsia="黑体"/>
          <w:sz w:val="32"/>
        </w:rPr>
        <w:t>七、政府性基金预算财政拨款收入支出决算情况说明</w:t>
      </w:r>
    </w:p>
    <w:p w14:paraId="125B592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3ED6033">
      <w:pPr>
        <w:spacing w:line="640" w:lineRule="exact"/>
        <w:ind w:firstLine="640"/>
        <w:jc w:val="both"/>
        <w:outlineLvl w:val="2"/>
      </w:pPr>
      <w:r>
        <w:rPr>
          <w:rFonts w:ascii="黑体" w:hAnsi="黑体" w:eastAsia="黑体"/>
          <w:sz w:val="32"/>
        </w:rPr>
        <w:t>八、国有资本经营预算财政拨款收入支出决算情况说明</w:t>
      </w:r>
    </w:p>
    <w:p w14:paraId="2EB767E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EA9A204">
      <w:pPr>
        <w:spacing w:line="640" w:lineRule="exact"/>
        <w:ind w:firstLine="640"/>
        <w:jc w:val="both"/>
        <w:outlineLvl w:val="2"/>
      </w:pPr>
      <w:r>
        <w:rPr>
          <w:rFonts w:ascii="黑体" w:hAnsi="黑体" w:eastAsia="黑体"/>
          <w:sz w:val="32"/>
        </w:rPr>
        <w:t>九、财政拨款“三公”经费支出决算情况说明</w:t>
      </w:r>
    </w:p>
    <w:p w14:paraId="67323C5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89AC20B">
      <w:pPr>
        <w:spacing w:line="580" w:lineRule="exact"/>
        <w:ind w:firstLine="640"/>
        <w:jc w:val="both"/>
      </w:pPr>
      <w:r>
        <w:rPr>
          <w:rFonts w:ascii="仿宋_GB2312" w:hAnsi="仿宋_GB2312" w:eastAsia="仿宋_GB2312"/>
          <w:b/>
          <w:sz w:val="32"/>
        </w:rPr>
        <w:t>具体情况如下：</w:t>
      </w:r>
    </w:p>
    <w:p w14:paraId="4918934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333028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w:t>
      </w:r>
      <w:r>
        <w:rPr>
          <w:rFonts w:ascii="仿宋_GB2312" w:hAnsi="仿宋_GB2312" w:eastAsia="仿宋_GB2312"/>
          <w:b w:val="0"/>
          <w:spacing w:val="6"/>
          <w:sz w:val="32"/>
        </w:rPr>
        <w:t>车辆0辆，与公务用车保有量差异原因是：本单位无固定资产车辆。</w:t>
      </w:r>
    </w:p>
    <w:p w14:paraId="2E8055A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7D9108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A865840">
      <w:pPr>
        <w:spacing w:line="640" w:lineRule="exact"/>
        <w:ind w:firstLine="640"/>
        <w:jc w:val="both"/>
        <w:outlineLvl w:val="2"/>
      </w:pPr>
      <w:r>
        <w:rPr>
          <w:rFonts w:ascii="黑体" w:hAnsi="黑体" w:eastAsia="黑体"/>
          <w:sz w:val="32"/>
        </w:rPr>
        <w:t>十、其他重要事项的情况说明</w:t>
      </w:r>
    </w:p>
    <w:p w14:paraId="74A567B2">
      <w:pPr>
        <w:spacing w:line="640" w:lineRule="exact"/>
        <w:ind w:firstLine="640"/>
        <w:jc w:val="both"/>
        <w:outlineLvl w:val="3"/>
      </w:pPr>
      <w:r>
        <w:rPr>
          <w:rFonts w:ascii="楷体_GB2312" w:hAnsi="楷体_GB2312" w:eastAsia="楷体_GB2312"/>
          <w:b/>
          <w:sz w:val="32"/>
        </w:rPr>
        <w:t>（一）机关运行经费及公用经费支出情况</w:t>
      </w:r>
    </w:p>
    <w:p w14:paraId="6641D64E">
      <w:pPr>
        <w:spacing w:line="580" w:lineRule="exact"/>
        <w:ind w:firstLine="640"/>
        <w:jc w:val="both"/>
      </w:pPr>
      <w:r>
        <w:rPr>
          <w:rFonts w:ascii="仿宋_GB2312" w:hAnsi="仿宋_GB2312" w:eastAsia="仿宋_GB2312"/>
          <w:b w:val="0"/>
          <w:sz w:val="32"/>
        </w:rPr>
        <w:t>2024年度中国人民解放军新疆维吾尔自治区托里县人民武装部（事业单位）公用经费支出3.47万元，比上年减少7.21万元，下降67.51%，主要原因是：严格控制公用经费，合理节约办公用品，减少不必要开支。</w:t>
      </w:r>
    </w:p>
    <w:p w14:paraId="5E644F8F">
      <w:pPr>
        <w:spacing w:line="640" w:lineRule="exact"/>
        <w:ind w:firstLine="640"/>
        <w:jc w:val="both"/>
        <w:outlineLvl w:val="3"/>
      </w:pPr>
      <w:r>
        <w:rPr>
          <w:rFonts w:ascii="楷体_GB2312" w:hAnsi="楷体_GB2312" w:eastAsia="楷体_GB2312"/>
          <w:b/>
          <w:sz w:val="32"/>
        </w:rPr>
        <w:t>（二）政府采购情况</w:t>
      </w:r>
    </w:p>
    <w:p w14:paraId="6DD6C6D5">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3FDC5B2">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883D325">
      <w:pPr>
        <w:spacing w:line="640" w:lineRule="exact"/>
        <w:ind w:firstLine="640"/>
        <w:jc w:val="both"/>
        <w:outlineLvl w:val="3"/>
      </w:pPr>
      <w:r>
        <w:rPr>
          <w:rFonts w:ascii="楷体_GB2312" w:hAnsi="楷体_GB2312" w:eastAsia="楷体_GB2312"/>
          <w:b/>
          <w:sz w:val="32"/>
        </w:rPr>
        <w:t>（三）国有资产占用情况说明</w:t>
      </w:r>
    </w:p>
    <w:p w14:paraId="3BBC2A9E">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401B619">
      <w:pPr>
        <w:spacing w:line="640" w:lineRule="exact"/>
        <w:ind w:firstLine="640"/>
        <w:jc w:val="both"/>
        <w:outlineLvl w:val="2"/>
      </w:pPr>
      <w:r>
        <w:rPr>
          <w:rFonts w:ascii="黑体" w:hAnsi="黑体" w:eastAsia="黑体"/>
          <w:sz w:val="32"/>
        </w:rPr>
        <w:t>十一、预算绩效的情况说明</w:t>
      </w:r>
    </w:p>
    <w:p w14:paraId="37B8BAB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根据预算绩效管理要求，本单位2024年度预算绩效管理形成整体支出绩效自评表1个，全年预算总额112.02万元，实际执行总额112.02万元；预算绩效评价项目</w:t>
      </w:r>
      <w:r>
        <w:rPr>
          <w:rFonts w:hint="eastAsia" w:ascii="仿宋_GB2312" w:hAnsi="仿宋_GB2312" w:eastAsia="仿宋_GB2312"/>
          <w:b w:val="0"/>
          <w:sz w:val="32"/>
          <w:lang w:val="en-US" w:eastAsia="zh-CN"/>
        </w:rPr>
        <w:t>2</w:t>
      </w:r>
      <w:r>
        <w:rPr>
          <w:rFonts w:ascii="仿宋_GB2312" w:hAnsi="仿宋_GB2312" w:eastAsia="仿宋_GB2312"/>
          <w:b w:val="0"/>
          <w:sz w:val="32"/>
        </w:rPr>
        <w:t>个，全年预算数</w:t>
      </w:r>
      <w:r>
        <w:rPr>
          <w:rFonts w:hint="eastAsia" w:ascii="仿宋_GB2312" w:hAnsi="仿宋_GB2312" w:eastAsia="仿宋_GB2312"/>
          <w:b w:val="0"/>
          <w:sz w:val="32"/>
          <w:lang w:val="en-US" w:eastAsia="zh-CN"/>
        </w:rPr>
        <w:t>16</w:t>
      </w:r>
      <w:r>
        <w:rPr>
          <w:rFonts w:ascii="仿宋_GB2312" w:hAnsi="仿宋_GB2312" w:eastAsia="仿宋_GB2312"/>
          <w:b w:val="0"/>
          <w:sz w:val="32"/>
        </w:rPr>
        <w:t>.00万元，全年执行数</w:t>
      </w:r>
      <w:r>
        <w:rPr>
          <w:rFonts w:hint="eastAsia" w:ascii="仿宋_GB2312" w:hAnsi="仿宋_GB2312" w:eastAsia="仿宋_GB2312"/>
          <w:b w:val="0"/>
          <w:sz w:val="32"/>
          <w:lang w:val="en-US" w:eastAsia="zh-CN"/>
        </w:rPr>
        <w:t>16</w:t>
      </w:r>
      <w:r>
        <w:rPr>
          <w:rFonts w:ascii="仿宋_GB2312" w:hAnsi="仿宋_GB2312" w:eastAsia="仿宋_GB2312"/>
          <w:b w:val="0"/>
          <w:sz w:val="32"/>
        </w:rPr>
        <w:t>.00万元。预算绩效管理取得的成效：本单位绩效自评表不予公开。发现的问题及原因：本单位绩效自评表不予公开。下一步改进措施：本单位绩效自评表不予公开。具体附整体支出绩效自评表。</w:t>
      </w:r>
    </w:p>
    <w:p w14:paraId="461D996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240"/>
        <w:gridCol w:w="970"/>
        <w:gridCol w:w="1105"/>
        <w:gridCol w:w="1105"/>
        <w:gridCol w:w="1105"/>
        <w:gridCol w:w="1105"/>
      </w:tblGrid>
      <w:tr w14:paraId="30073EA7">
        <w:tblPrEx>
          <w:tblCellMar>
            <w:top w:w="0" w:type="dxa"/>
            <w:left w:w="108" w:type="dxa"/>
            <w:bottom w:w="0" w:type="dxa"/>
            <w:right w:w="108" w:type="dxa"/>
          </w:tblCellMar>
        </w:tblPrEx>
        <w:tc>
          <w:tcPr>
            <w:tcW w:w="8840" w:type="dxa"/>
            <w:gridSpan w:val="8"/>
            <w:vAlign w:val="center"/>
          </w:tcPr>
          <w:p w14:paraId="378F1399">
            <w:pPr>
              <w:jc w:val="center"/>
            </w:pPr>
            <w:r>
              <w:rPr>
                <w:rFonts w:ascii="宋体" w:hAnsi="宋体" w:eastAsia="宋体"/>
                <w:sz w:val="24"/>
              </w:rPr>
              <w:t>单位整体支出绩效自评表</w:t>
            </w:r>
          </w:p>
        </w:tc>
      </w:tr>
      <w:tr w14:paraId="6F424D97">
        <w:tblPrEx>
          <w:tblCellMar>
            <w:top w:w="0" w:type="dxa"/>
            <w:left w:w="108" w:type="dxa"/>
            <w:bottom w:w="0" w:type="dxa"/>
            <w:right w:w="108" w:type="dxa"/>
          </w:tblCellMar>
        </w:tblPrEx>
        <w:tc>
          <w:tcPr>
            <w:tcW w:w="8840" w:type="dxa"/>
            <w:gridSpan w:val="8"/>
            <w:vAlign w:val="center"/>
          </w:tcPr>
          <w:p w14:paraId="367E0AD8">
            <w:pPr>
              <w:jc w:val="center"/>
            </w:pPr>
            <w:r>
              <w:rPr>
                <w:rFonts w:ascii="宋体" w:hAnsi="宋体" w:eastAsia="宋体"/>
                <w:sz w:val="24"/>
              </w:rPr>
              <w:t>（2024年度）</w:t>
            </w:r>
          </w:p>
        </w:tc>
      </w:tr>
      <w:tr w14:paraId="69605C5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75F4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5195E0">
            <w:pPr>
              <w:jc w:val="center"/>
            </w:pPr>
            <w:r>
              <w:rPr>
                <w:rFonts w:ascii="宋体" w:hAnsi="宋体" w:eastAsia="宋体"/>
                <w:sz w:val="16"/>
              </w:rPr>
              <w:t>中国人民解放军新疆维吾尔自治区托里县人民武装部</w:t>
            </w:r>
          </w:p>
        </w:tc>
      </w:tr>
      <w:tr w14:paraId="3394016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47A1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C7600">
            <w:pPr>
              <w:jc w:val="center"/>
            </w:pPr>
            <w:r>
              <w:rPr>
                <w:rFonts w:ascii="宋体" w:hAnsi="宋体" w:eastAsia="宋体"/>
                <w:sz w:val="16"/>
              </w:rPr>
              <w:t>资金来源</w:t>
            </w:r>
          </w:p>
        </w:tc>
        <w:tc>
          <w:tcPr>
            <w:tcW w:w="1240" w:type="dxa"/>
            <w:tcBorders>
              <w:top w:val="single" w:color="auto" w:sz="10" w:space="0"/>
              <w:left w:val="single" w:color="auto" w:sz="10" w:space="0"/>
              <w:bottom w:val="single" w:color="auto" w:sz="10" w:space="0"/>
              <w:right w:val="single" w:color="auto" w:sz="10" w:space="0"/>
              <w:insideV w:val="single" w:sz="10" w:space="0"/>
            </w:tcBorders>
            <w:vAlign w:val="center"/>
          </w:tcPr>
          <w:p w14:paraId="48F747DE">
            <w:pPr>
              <w:jc w:val="center"/>
            </w:pPr>
            <w:r>
              <w:rPr>
                <w:rFonts w:ascii="宋体" w:hAnsi="宋体" w:eastAsia="宋体"/>
                <w:sz w:val="16"/>
              </w:rPr>
              <w:t>年初预算数</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53FF0CD9">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55438">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FD91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8255D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D7E8F">
            <w:pPr>
              <w:jc w:val="center"/>
            </w:pPr>
            <w:r>
              <w:rPr>
                <w:rFonts w:ascii="宋体" w:hAnsi="宋体" w:eastAsia="宋体"/>
                <w:sz w:val="16"/>
              </w:rPr>
              <w:t>得分</w:t>
            </w:r>
          </w:p>
        </w:tc>
      </w:tr>
      <w:tr w14:paraId="2820700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7BC5A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DAF3D">
            <w:pPr>
              <w:jc w:val="center"/>
            </w:pPr>
            <w:r>
              <w:rPr>
                <w:rFonts w:ascii="宋体" w:hAnsi="宋体" w:eastAsia="宋体"/>
                <w:sz w:val="16"/>
              </w:rPr>
              <w:t>年度总资金</w:t>
            </w:r>
          </w:p>
        </w:tc>
        <w:tc>
          <w:tcPr>
            <w:tcW w:w="1240" w:type="dxa"/>
            <w:tcBorders>
              <w:top w:val="single" w:color="auto" w:sz="10" w:space="0"/>
              <w:left w:val="single" w:color="auto" w:sz="10" w:space="0"/>
              <w:bottom w:val="single" w:color="auto" w:sz="10" w:space="0"/>
              <w:right w:val="single" w:color="auto" w:sz="10" w:space="0"/>
              <w:insideV w:val="single" w:sz="10" w:space="0"/>
            </w:tcBorders>
            <w:vAlign w:val="center"/>
          </w:tcPr>
          <w:p w14:paraId="125389EB">
            <w:pPr>
              <w:jc w:val="center"/>
            </w:pPr>
            <w:r>
              <w:rPr>
                <w:rFonts w:ascii="宋体" w:hAnsi="宋体" w:eastAsia="宋体"/>
                <w:sz w:val="16"/>
              </w:rPr>
              <w:t>101.11</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01F6AE79">
            <w:pPr>
              <w:jc w:val="center"/>
            </w:pPr>
            <w:r>
              <w:rPr>
                <w:rFonts w:ascii="宋体" w:hAnsi="宋体" w:eastAsia="宋体"/>
                <w:sz w:val="16"/>
              </w:rPr>
              <w:t>112.02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7CDE0">
            <w:pPr>
              <w:jc w:val="center"/>
            </w:pPr>
            <w:r>
              <w:rPr>
                <w:rFonts w:ascii="宋体" w:hAnsi="宋体" w:eastAsia="宋体"/>
                <w:sz w:val="16"/>
              </w:rPr>
              <w:t>112.02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5C92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93D38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095D0C">
            <w:pPr>
              <w:jc w:val="center"/>
            </w:pPr>
            <w:r>
              <w:rPr>
                <w:rFonts w:ascii="宋体" w:hAnsi="宋体" w:eastAsia="宋体"/>
                <w:sz w:val="16"/>
              </w:rPr>
              <w:t>10</w:t>
            </w:r>
          </w:p>
        </w:tc>
      </w:tr>
      <w:tr w14:paraId="02AAD48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27D12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092E9">
            <w:pPr>
              <w:jc w:val="center"/>
            </w:pPr>
            <w:r>
              <w:rPr>
                <w:rFonts w:ascii="宋体" w:hAnsi="宋体" w:eastAsia="宋体"/>
                <w:sz w:val="16"/>
              </w:rPr>
              <w:t>其中：上级安排（万元）</w:t>
            </w:r>
          </w:p>
        </w:tc>
        <w:tc>
          <w:tcPr>
            <w:tcW w:w="1240" w:type="dxa"/>
            <w:tcBorders>
              <w:top w:val="single" w:color="auto" w:sz="10" w:space="0"/>
              <w:left w:val="single" w:color="auto" w:sz="10" w:space="0"/>
              <w:bottom w:val="single" w:color="auto" w:sz="10" w:space="0"/>
              <w:right w:val="single" w:color="auto" w:sz="10" w:space="0"/>
              <w:insideV w:val="single" w:sz="10" w:space="0"/>
            </w:tcBorders>
            <w:vAlign w:val="center"/>
          </w:tcPr>
          <w:p w14:paraId="1D96A4D6">
            <w:pPr>
              <w:jc w:val="center"/>
            </w:pPr>
            <w:r>
              <w:rPr>
                <w:rFonts w:ascii="宋体" w:hAnsi="宋体" w:eastAsia="宋体"/>
                <w:sz w:val="16"/>
              </w:rPr>
              <w:t>0.00</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70AC6FF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C0B98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CDCA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57039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A50EE">
            <w:pPr>
              <w:jc w:val="center"/>
            </w:pPr>
            <w:r>
              <w:rPr>
                <w:rFonts w:ascii="宋体" w:hAnsi="宋体" w:eastAsia="宋体"/>
                <w:sz w:val="16"/>
              </w:rPr>
              <w:t>-</w:t>
            </w:r>
          </w:p>
        </w:tc>
      </w:tr>
      <w:tr w14:paraId="1988FB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A7553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EF900">
            <w:pPr>
              <w:jc w:val="center"/>
            </w:pPr>
            <w:r>
              <w:rPr>
                <w:rFonts w:ascii="宋体" w:hAnsi="宋体" w:eastAsia="宋体"/>
                <w:sz w:val="16"/>
              </w:rPr>
              <w:t>本级安排（万元）</w:t>
            </w:r>
          </w:p>
        </w:tc>
        <w:tc>
          <w:tcPr>
            <w:tcW w:w="1240" w:type="dxa"/>
            <w:tcBorders>
              <w:top w:val="single" w:color="auto" w:sz="10" w:space="0"/>
              <w:left w:val="single" w:color="auto" w:sz="10" w:space="0"/>
              <w:bottom w:val="single" w:color="auto" w:sz="10" w:space="0"/>
              <w:right w:val="single" w:color="auto" w:sz="10" w:space="0"/>
              <w:insideV w:val="single" w:sz="10" w:space="0"/>
            </w:tcBorders>
            <w:vAlign w:val="center"/>
          </w:tcPr>
          <w:p w14:paraId="4F20069C">
            <w:pPr>
              <w:jc w:val="center"/>
            </w:pPr>
            <w:r>
              <w:rPr>
                <w:rFonts w:ascii="宋体" w:hAnsi="宋体" w:eastAsia="宋体"/>
                <w:sz w:val="16"/>
              </w:rPr>
              <w:t>101.11</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75F3E158">
            <w:pPr>
              <w:jc w:val="center"/>
            </w:pPr>
            <w:r>
              <w:rPr>
                <w:rFonts w:ascii="宋体" w:hAnsi="宋体" w:eastAsia="宋体"/>
                <w:sz w:val="16"/>
              </w:rPr>
              <w:t>112.02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6B25C3">
            <w:pPr>
              <w:jc w:val="center"/>
            </w:pPr>
            <w:r>
              <w:rPr>
                <w:rFonts w:ascii="宋体" w:hAnsi="宋体" w:eastAsia="宋体"/>
                <w:sz w:val="16"/>
              </w:rPr>
              <w:t>112.02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1EE16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332CF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F6786">
            <w:pPr>
              <w:jc w:val="center"/>
            </w:pPr>
            <w:r>
              <w:rPr>
                <w:rFonts w:ascii="宋体" w:hAnsi="宋体" w:eastAsia="宋体"/>
                <w:sz w:val="16"/>
              </w:rPr>
              <w:t>-</w:t>
            </w:r>
          </w:p>
        </w:tc>
      </w:tr>
      <w:tr w14:paraId="21527F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B77AE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3F487">
            <w:pPr>
              <w:jc w:val="center"/>
            </w:pPr>
            <w:r>
              <w:rPr>
                <w:rFonts w:ascii="宋体" w:hAnsi="宋体" w:eastAsia="宋体"/>
                <w:sz w:val="16"/>
              </w:rPr>
              <w:t>其他资金（万元）</w:t>
            </w:r>
          </w:p>
        </w:tc>
        <w:tc>
          <w:tcPr>
            <w:tcW w:w="1240" w:type="dxa"/>
            <w:tcBorders>
              <w:top w:val="single" w:color="auto" w:sz="10" w:space="0"/>
              <w:left w:val="single" w:color="auto" w:sz="10" w:space="0"/>
              <w:bottom w:val="single" w:color="auto" w:sz="10" w:space="0"/>
              <w:right w:val="single" w:color="auto" w:sz="10" w:space="0"/>
              <w:insideV w:val="single" w:sz="10" w:space="0"/>
            </w:tcBorders>
            <w:vAlign w:val="center"/>
          </w:tcPr>
          <w:p w14:paraId="35DB8579">
            <w:pPr>
              <w:jc w:val="center"/>
            </w:pPr>
            <w:r>
              <w:rPr>
                <w:rFonts w:ascii="宋体" w:hAnsi="宋体" w:eastAsia="宋体"/>
                <w:sz w:val="16"/>
              </w:rPr>
              <w:t>0.00</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595494A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028F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2308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E583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711CD4">
            <w:pPr>
              <w:jc w:val="center"/>
            </w:pPr>
            <w:r>
              <w:rPr>
                <w:rFonts w:ascii="宋体" w:hAnsi="宋体" w:eastAsia="宋体"/>
                <w:sz w:val="16"/>
              </w:rPr>
              <w:t>-</w:t>
            </w:r>
          </w:p>
        </w:tc>
      </w:tr>
      <w:tr w14:paraId="0203088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37FDE">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45A4C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E83536">
            <w:pPr>
              <w:jc w:val="center"/>
            </w:pPr>
            <w:r>
              <w:rPr>
                <w:rFonts w:ascii="宋体" w:hAnsi="宋体" w:eastAsia="宋体"/>
                <w:sz w:val="16"/>
              </w:rPr>
              <w:t>实际完成情况</w:t>
            </w:r>
          </w:p>
        </w:tc>
      </w:tr>
      <w:tr w14:paraId="256EE7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F264E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A690F9">
            <w:pPr>
              <w:jc w:val="both"/>
            </w:pPr>
            <w:r>
              <w:rPr>
                <w:rFonts w:ascii="宋体" w:hAnsi="宋体" w:eastAsia="宋体"/>
                <w:sz w:val="16"/>
              </w:rPr>
              <w:t>（1）主要负责辖区内民兵、预备役工作，</w:t>
            </w:r>
            <w:r>
              <w:rPr>
                <w:rFonts w:hint="eastAsia" w:ascii="宋体" w:hAnsi="宋体"/>
                <w:sz w:val="16"/>
                <w:lang w:eastAsia="zh-CN"/>
              </w:rPr>
              <w:t>领导</w:t>
            </w:r>
            <w:r>
              <w:rPr>
                <w:rFonts w:ascii="宋体" w:hAnsi="宋体" w:eastAsia="宋体"/>
                <w:sz w:val="16"/>
              </w:rPr>
              <w:t>我县人民武装工作；</w:t>
            </w:r>
            <w:r>
              <w:rPr>
                <w:rFonts w:ascii="宋体" w:hAnsi="宋体" w:eastAsia="宋体"/>
                <w:sz w:val="16"/>
              </w:rPr>
              <w:br w:type="textWrapping"/>
            </w:r>
            <w:r>
              <w:rPr>
                <w:rFonts w:ascii="宋体" w:hAnsi="宋体" w:eastAsia="宋体"/>
                <w:sz w:val="16"/>
              </w:rPr>
              <w:t>（2）领导本县民兵组织建设、政治教育、军事训练和武器装备管理工作；</w:t>
            </w:r>
            <w:r>
              <w:rPr>
                <w:rFonts w:ascii="宋体" w:hAnsi="宋体" w:eastAsia="宋体"/>
                <w:sz w:val="16"/>
              </w:rPr>
              <w:br w:type="textWrapping"/>
            </w:r>
            <w:r>
              <w:rPr>
                <w:rFonts w:ascii="宋体" w:hAnsi="宋体" w:eastAsia="宋体"/>
                <w:sz w:val="16"/>
              </w:rPr>
              <w:t>（3）开展全民国防教育，做好拥军优属爱民的工作；</w:t>
            </w:r>
            <w:r>
              <w:rPr>
                <w:rFonts w:ascii="宋体" w:hAnsi="宋体" w:eastAsia="宋体"/>
                <w:sz w:val="16"/>
              </w:rPr>
              <w:br w:type="textWrapping"/>
            </w:r>
            <w:r>
              <w:rPr>
                <w:rFonts w:ascii="宋体" w:hAnsi="宋体" w:eastAsia="宋体"/>
                <w:sz w:val="16"/>
              </w:rPr>
              <w:t>（4）组织带领民兵完成战备执勤、防汛、抢险、救灾等任务，配合公安部门维护社会治安；</w:t>
            </w:r>
            <w:r>
              <w:rPr>
                <w:rFonts w:ascii="宋体" w:hAnsi="宋体" w:eastAsia="宋体"/>
                <w:sz w:val="16"/>
              </w:rPr>
              <w:br w:type="textWrapping"/>
            </w:r>
            <w:r>
              <w:rPr>
                <w:rFonts w:ascii="宋体" w:hAnsi="宋体" w:eastAsia="宋体"/>
                <w:sz w:val="16"/>
              </w:rPr>
              <w:t>（5）负责民兵和预备役人员登记、统计工作，保质保量完成了新兵征集任务；</w:t>
            </w:r>
            <w:r>
              <w:rPr>
                <w:rFonts w:ascii="宋体" w:hAnsi="宋体" w:eastAsia="宋体"/>
                <w:sz w:val="16"/>
              </w:rPr>
              <w:br w:type="textWrapping"/>
            </w:r>
            <w:r>
              <w:rPr>
                <w:rFonts w:ascii="宋体" w:hAnsi="宋体" w:eastAsia="宋体"/>
                <w:sz w:val="16"/>
              </w:rPr>
              <w:t>（6）负责国防动员工作，战时负责动员民兵参军参战、支援前线、保卫后方和协助组织人口疏散工作。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1451EC">
            <w:pPr>
              <w:jc w:val="both"/>
            </w:pPr>
            <w:r>
              <w:rPr>
                <w:rFonts w:hint="eastAsia" w:ascii="宋体" w:hAnsi="宋体"/>
                <w:sz w:val="16"/>
                <w:lang w:eastAsia="zh-CN"/>
              </w:rPr>
              <w:t>1.</w:t>
            </w:r>
            <w:r>
              <w:rPr>
                <w:rFonts w:ascii="宋体" w:hAnsi="宋体" w:eastAsia="宋体"/>
                <w:sz w:val="16"/>
              </w:rPr>
              <w:t>保障了单位6人的工资、社保及公积金等的正常发放，促进了托里县人民武装事业的发展。2、保障了单位1101.9平方米办公室的冬季供暖和正常运转，提高托里县人民武装部的运转效能。3、兵役征集项目资金10万元，保障了新兵征集，营造参军光荣的良好氛围，增强公民依法服兵役的观念，完成塔城地区、塔城军分区赋予我县的新兵征集任务。4、单位职能有开展全民国防教育，做好拥军优属爱民的工作。5、组织带领民兵完成战备执勤、防汛、抢险、救灾等任务，配合公安部门维护社会治安。6、</w:t>
            </w:r>
            <w:r>
              <w:rPr>
                <w:rFonts w:hint="eastAsia" w:ascii="宋体" w:hAnsi="宋体"/>
                <w:sz w:val="16"/>
                <w:lang w:eastAsia="zh-CN"/>
              </w:rPr>
              <w:t>本单位</w:t>
            </w:r>
            <w:r>
              <w:rPr>
                <w:rFonts w:ascii="宋体" w:hAnsi="宋体" w:eastAsia="宋体"/>
                <w:sz w:val="16"/>
              </w:rPr>
              <w:t>将加强对民兵队伍的建设力度，提高民兵队伍能力素质。7、</w:t>
            </w:r>
            <w:r>
              <w:rPr>
                <w:rFonts w:hint="eastAsia" w:ascii="宋体" w:hAnsi="宋体"/>
                <w:sz w:val="16"/>
                <w:lang w:eastAsia="zh-CN"/>
              </w:rPr>
              <w:t>本单位</w:t>
            </w:r>
            <w:r>
              <w:rPr>
                <w:rFonts w:ascii="宋体" w:hAnsi="宋体" w:eastAsia="宋体"/>
                <w:sz w:val="16"/>
              </w:rPr>
              <w:t>将加强对新兵征集工作的力度，确保高质量完成上级征兵任务。</w:t>
            </w:r>
          </w:p>
        </w:tc>
      </w:tr>
      <w:tr w14:paraId="271339F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2217E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A11F58">
            <w:pPr>
              <w:jc w:val="center"/>
            </w:pPr>
            <w:r>
              <w:rPr>
                <w:rFonts w:ascii="宋体" w:hAnsi="宋体" w:eastAsia="宋体"/>
                <w:sz w:val="16"/>
              </w:rPr>
              <w:t>二级指标</w:t>
            </w:r>
          </w:p>
        </w:tc>
        <w:tc>
          <w:tcPr>
            <w:tcW w:w="1240" w:type="dxa"/>
            <w:tcBorders>
              <w:top w:val="single" w:color="auto" w:sz="10" w:space="0"/>
              <w:left w:val="single" w:color="auto" w:sz="10" w:space="0"/>
              <w:bottom w:val="single" w:color="auto" w:sz="10" w:space="0"/>
              <w:right w:val="single" w:color="auto" w:sz="10" w:space="0"/>
              <w:insideV w:val="single" w:sz="10" w:space="0"/>
            </w:tcBorders>
            <w:vAlign w:val="center"/>
          </w:tcPr>
          <w:p w14:paraId="63A0C4D3">
            <w:pPr>
              <w:jc w:val="center"/>
            </w:pPr>
            <w:r>
              <w:rPr>
                <w:rFonts w:ascii="宋体" w:hAnsi="宋体" w:eastAsia="宋体"/>
                <w:sz w:val="16"/>
              </w:rPr>
              <w:t>三级指标</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115E23F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19CAB">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24A29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C5F88">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6E220">
            <w:pPr>
              <w:jc w:val="center"/>
            </w:pPr>
            <w:r>
              <w:rPr>
                <w:rFonts w:ascii="宋体" w:hAnsi="宋体" w:eastAsia="宋体"/>
                <w:sz w:val="16"/>
              </w:rPr>
              <w:t>得分</w:t>
            </w:r>
          </w:p>
        </w:tc>
      </w:tr>
      <w:tr w14:paraId="7129EE4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FA1B7">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464863">
            <w:pPr>
              <w:jc w:val="center"/>
            </w:pPr>
            <w:r>
              <w:rPr>
                <w:rFonts w:ascii="宋体" w:hAnsi="宋体" w:eastAsia="宋体"/>
                <w:sz w:val="16"/>
              </w:rPr>
              <w:t>质量指标</w:t>
            </w:r>
          </w:p>
        </w:tc>
        <w:tc>
          <w:tcPr>
            <w:tcW w:w="1240" w:type="dxa"/>
            <w:tcBorders>
              <w:top w:val="single" w:color="auto" w:sz="10" w:space="0"/>
              <w:left w:val="single" w:color="auto" w:sz="10" w:space="0"/>
              <w:bottom w:val="single" w:color="auto" w:sz="10" w:space="0"/>
              <w:right w:val="single" w:color="auto" w:sz="10" w:space="0"/>
              <w:insideV w:val="single" w:sz="10" w:space="0"/>
            </w:tcBorders>
            <w:vAlign w:val="center"/>
          </w:tcPr>
          <w:p w14:paraId="102ECDC1">
            <w:pPr>
              <w:jc w:val="center"/>
            </w:pPr>
            <w:r>
              <w:rPr>
                <w:rFonts w:ascii="宋体" w:hAnsi="宋体" w:eastAsia="宋体"/>
                <w:sz w:val="16"/>
              </w:rPr>
              <w:t>预备役人员统计率</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61DE87C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FAB1D">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9C4AF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CB85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94394">
            <w:pPr>
              <w:jc w:val="center"/>
            </w:pPr>
            <w:r>
              <w:rPr>
                <w:rFonts w:ascii="宋体" w:hAnsi="宋体" w:eastAsia="宋体"/>
                <w:sz w:val="16"/>
              </w:rPr>
              <w:t>10</w:t>
            </w:r>
          </w:p>
        </w:tc>
      </w:tr>
      <w:tr w14:paraId="3DFC64D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50001">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2E440">
            <w:pPr>
              <w:jc w:val="center"/>
            </w:pPr>
            <w:r>
              <w:rPr>
                <w:rFonts w:ascii="宋体" w:hAnsi="宋体" w:eastAsia="宋体"/>
                <w:sz w:val="16"/>
              </w:rPr>
              <w:t>数量指标</w:t>
            </w:r>
          </w:p>
        </w:tc>
        <w:tc>
          <w:tcPr>
            <w:tcW w:w="1240" w:type="dxa"/>
            <w:tcBorders>
              <w:top w:val="single" w:color="auto" w:sz="10" w:space="0"/>
              <w:left w:val="single" w:color="auto" w:sz="10" w:space="0"/>
              <w:bottom w:val="single" w:color="auto" w:sz="10" w:space="0"/>
              <w:right w:val="single" w:color="auto" w:sz="10" w:space="0"/>
              <w:insideV w:val="single" w:sz="10" w:space="0"/>
            </w:tcBorders>
            <w:vAlign w:val="center"/>
          </w:tcPr>
          <w:p w14:paraId="6C24CE29">
            <w:pPr>
              <w:jc w:val="center"/>
            </w:pPr>
            <w:r>
              <w:rPr>
                <w:rFonts w:ascii="宋体" w:hAnsi="宋体" w:eastAsia="宋体"/>
                <w:sz w:val="16"/>
              </w:rPr>
              <w:t>预备役人员登记</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423CECFA">
            <w:pPr>
              <w:jc w:val="center"/>
            </w:pPr>
            <w:r>
              <w:rPr>
                <w:rFonts w:ascii="宋体" w:hAnsi="宋体" w:eastAsia="宋体"/>
                <w:sz w:val="16"/>
              </w:rPr>
              <w:t>&gt;=36人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D5A3BD">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DE2A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C03FF3">
            <w:pPr>
              <w:jc w:val="center"/>
            </w:pPr>
            <w:r>
              <w:rPr>
                <w:rFonts w:ascii="宋体" w:hAnsi="宋体" w:eastAsia="宋体"/>
                <w:sz w:val="16"/>
              </w:rPr>
              <w:t>36人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B088D">
            <w:pPr>
              <w:jc w:val="center"/>
            </w:pPr>
            <w:r>
              <w:rPr>
                <w:rFonts w:ascii="宋体" w:hAnsi="宋体" w:eastAsia="宋体"/>
                <w:sz w:val="16"/>
              </w:rPr>
              <w:t>15</w:t>
            </w:r>
          </w:p>
        </w:tc>
      </w:tr>
      <w:tr w14:paraId="0F4AF7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44FE9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72638D"/>
        </w:tc>
        <w:tc>
          <w:tcPr>
            <w:tcW w:w="1240" w:type="dxa"/>
            <w:tcBorders>
              <w:top w:val="single" w:color="auto" w:sz="10" w:space="0"/>
              <w:left w:val="single" w:color="auto" w:sz="10" w:space="0"/>
              <w:bottom w:val="single" w:color="auto" w:sz="10" w:space="0"/>
              <w:right w:val="single" w:color="auto" w:sz="10" w:space="0"/>
              <w:insideV w:val="single" w:sz="10" w:space="0"/>
            </w:tcBorders>
            <w:vAlign w:val="center"/>
          </w:tcPr>
          <w:p w14:paraId="1CE9D502">
            <w:pPr>
              <w:jc w:val="center"/>
            </w:pPr>
            <w:r>
              <w:rPr>
                <w:rFonts w:ascii="宋体" w:hAnsi="宋体" w:eastAsia="宋体"/>
                <w:sz w:val="16"/>
              </w:rPr>
              <w:t>民兵队伍训练次数</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36662482">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923910">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1E681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13F5A">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8B31C">
            <w:pPr>
              <w:jc w:val="center"/>
            </w:pPr>
            <w:r>
              <w:rPr>
                <w:rFonts w:ascii="宋体" w:hAnsi="宋体" w:eastAsia="宋体"/>
                <w:sz w:val="16"/>
              </w:rPr>
              <w:t>15</w:t>
            </w:r>
          </w:p>
        </w:tc>
      </w:tr>
      <w:tr w14:paraId="040E48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24160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1A2D2D"/>
        </w:tc>
        <w:tc>
          <w:tcPr>
            <w:tcW w:w="1240" w:type="dxa"/>
            <w:tcBorders>
              <w:top w:val="single" w:color="auto" w:sz="10" w:space="0"/>
              <w:left w:val="single" w:color="auto" w:sz="10" w:space="0"/>
              <w:bottom w:val="single" w:color="auto" w:sz="10" w:space="0"/>
              <w:right w:val="single" w:color="auto" w:sz="10" w:space="0"/>
              <w:insideV w:val="single" w:sz="10" w:space="0"/>
            </w:tcBorders>
            <w:vAlign w:val="center"/>
          </w:tcPr>
          <w:p w14:paraId="0BE54F55">
            <w:pPr>
              <w:jc w:val="center"/>
            </w:pPr>
            <w:r>
              <w:rPr>
                <w:rFonts w:ascii="宋体" w:hAnsi="宋体" w:eastAsia="宋体"/>
                <w:sz w:val="16"/>
              </w:rPr>
              <w:t>新兵征集任务次数</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10B7AC79">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425D1">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77F4F4">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03145F">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55647">
            <w:pPr>
              <w:jc w:val="center"/>
            </w:pPr>
            <w:r>
              <w:rPr>
                <w:rFonts w:ascii="宋体" w:hAnsi="宋体" w:eastAsia="宋体"/>
                <w:sz w:val="16"/>
              </w:rPr>
              <w:t>30</w:t>
            </w:r>
          </w:p>
        </w:tc>
      </w:tr>
      <w:tr w14:paraId="1E57E1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95F37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C72C95"/>
        </w:tc>
        <w:tc>
          <w:tcPr>
            <w:tcW w:w="1240" w:type="dxa"/>
            <w:tcBorders>
              <w:top w:val="single" w:color="auto" w:sz="10" w:space="0"/>
              <w:left w:val="single" w:color="auto" w:sz="10" w:space="0"/>
              <w:bottom w:val="single" w:color="auto" w:sz="10" w:space="0"/>
              <w:right w:val="single" w:color="auto" w:sz="10" w:space="0"/>
              <w:insideV w:val="single" w:sz="10" w:space="0"/>
            </w:tcBorders>
            <w:vAlign w:val="center"/>
          </w:tcPr>
          <w:p w14:paraId="654CE64F">
            <w:pPr>
              <w:jc w:val="center"/>
            </w:pPr>
            <w:r>
              <w:rPr>
                <w:rFonts w:ascii="宋体" w:hAnsi="宋体" w:eastAsia="宋体"/>
                <w:sz w:val="16"/>
              </w:rPr>
              <w:t>新兵征集宣传次数</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69EBBBE8">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107D3F">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35EE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0BA57">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3C641">
            <w:pPr>
              <w:jc w:val="center"/>
            </w:pPr>
            <w:r>
              <w:rPr>
                <w:rFonts w:ascii="宋体" w:hAnsi="宋体" w:eastAsia="宋体"/>
                <w:sz w:val="16"/>
              </w:rPr>
              <w:t>10</w:t>
            </w:r>
          </w:p>
        </w:tc>
      </w:tr>
      <w:tr w14:paraId="154510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4C3BA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5EEF4F"/>
        </w:tc>
        <w:tc>
          <w:tcPr>
            <w:tcW w:w="1240" w:type="dxa"/>
            <w:tcBorders>
              <w:top w:val="single" w:color="auto" w:sz="10" w:space="0"/>
              <w:left w:val="single" w:color="auto" w:sz="10" w:space="0"/>
              <w:bottom w:val="single" w:color="auto" w:sz="10" w:space="0"/>
              <w:right w:val="single" w:color="auto" w:sz="10" w:space="0"/>
              <w:insideV w:val="single" w:sz="10" w:space="0"/>
            </w:tcBorders>
            <w:vAlign w:val="center"/>
          </w:tcPr>
          <w:p w14:paraId="578FD15F">
            <w:pPr>
              <w:jc w:val="center"/>
            </w:pPr>
            <w:r>
              <w:rPr>
                <w:rFonts w:ascii="宋体" w:hAnsi="宋体" w:eastAsia="宋体"/>
                <w:sz w:val="16"/>
              </w:rPr>
              <w:t>国防教育培训</w:t>
            </w:r>
          </w:p>
        </w:tc>
        <w:tc>
          <w:tcPr>
            <w:tcW w:w="970" w:type="dxa"/>
            <w:tcBorders>
              <w:top w:val="single" w:color="auto" w:sz="10" w:space="0"/>
              <w:left w:val="single" w:color="auto" w:sz="10" w:space="0"/>
              <w:bottom w:val="single" w:color="auto" w:sz="10" w:space="0"/>
              <w:right w:val="single" w:color="auto" w:sz="10" w:space="0"/>
              <w:insideV w:val="single" w:sz="10" w:space="0"/>
            </w:tcBorders>
            <w:vAlign w:val="center"/>
          </w:tcPr>
          <w:p w14:paraId="4B0BAA6F">
            <w:pPr>
              <w:jc w:val="center"/>
            </w:pPr>
            <w:r>
              <w:rPr>
                <w:rFonts w:ascii="宋体" w:hAnsi="宋体" w:eastAsia="宋体"/>
                <w:sz w:val="16"/>
              </w:rPr>
              <w:t>&gt;=1次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308A1">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464E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A5402">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C5C12">
            <w:pPr>
              <w:jc w:val="center"/>
            </w:pPr>
            <w:r>
              <w:rPr>
                <w:rFonts w:ascii="宋体" w:hAnsi="宋体" w:eastAsia="宋体"/>
                <w:sz w:val="16"/>
              </w:rPr>
              <w:t>10</w:t>
            </w:r>
          </w:p>
        </w:tc>
      </w:tr>
    </w:tbl>
    <w:p w14:paraId="714A6BDD">
      <w:r>
        <w:br w:type="page"/>
      </w:r>
    </w:p>
    <w:p w14:paraId="7764272F">
      <w:pPr>
        <w:spacing w:line="640" w:lineRule="exact"/>
        <w:ind w:firstLine="640"/>
        <w:jc w:val="both"/>
        <w:outlineLvl w:val="2"/>
      </w:pPr>
      <w:r>
        <w:rPr>
          <w:rFonts w:ascii="黑体" w:hAnsi="黑体" w:eastAsia="黑体"/>
          <w:sz w:val="32"/>
        </w:rPr>
        <w:t>十二、其他需说明的事项</w:t>
      </w:r>
    </w:p>
    <w:p w14:paraId="4A67C12D">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10802D8A">
      <w:pPr>
        <w:spacing w:line="580" w:lineRule="exact"/>
        <w:ind w:firstLine="640"/>
        <w:jc w:val="both"/>
      </w:pPr>
      <w:r>
        <w:rPr>
          <w:rFonts w:ascii="仿宋_GB2312" w:hAnsi="仿宋_GB2312" w:eastAsia="仿宋_GB2312"/>
          <w:b w:val="0"/>
          <w:sz w:val="32"/>
        </w:rPr>
        <w:t>本年本单位不予公开项目2个，全年预算数16</w:t>
      </w:r>
      <w:r>
        <w:rPr>
          <w:rFonts w:hint="eastAsia" w:ascii="仿宋_GB2312" w:hAnsi="仿宋_GB2312" w:eastAsia="仿宋_GB2312"/>
          <w:b w:val="0"/>
          <w:sz w:val="32"/>
          <w:lang w:val="en-US" w:eastAsia="zh-CN"/>
        </w:rPr>
        <w:t>.00</w:t>
      </w:r>
      <w:r>
        <w:rPr>
          <w:rFonts w:ascii="仿宋_GB2312" w:hAnsi="仿宋_GB2312" w:eastAsia="仿宋_GB2312"/>
          <w:b w:val="0"/>
          <w:sz w:val="32"/>
        </w:rPr>
        <w:t>万元，全年执行数16</w:t>
      </w:r>
      <w:r>
        <w:rPr>
          <w:rFonts w:hint="eastAsia" w:ascii="仿宋_GB2312" w:hAnsi="仿宋_GB2312" w:eastAsia="仿宋_GB2312"/>
          <w:b w:val="0"/>
          <w:sz w:val="32"/>
          <w:lang w:val="en-US" w:eastAsia="zh-CN"/>
        </w:rPr>
        <w:t>.00</w:t>
      </w:r>
      <w:r>
        <w:rPr>
          <w:rFonts w:ascii="仿宋_GB2312" w:hAnsi="仿宋_GB2312" w:eastAsia="仿宋_GB2312"/>
          <w:b w:val="0"/>
          <w:sz w:val="32"/>
        </w:rPr>
        <w:t>万元。</w:t>
      </w:r>
    </w:p>
    <w:p w14:paraId="70D8B2C1">
      <w:r>
        <w:br w:type="page"/>
      </w:r>
      <w:bookmarkStart w:id="0" w:name="_GoBack"/>
      <w:bookmarkEnd w:id="0"/>
    </w:p>
    <w:p w14:paraId="68E733AC">
      <w:pPr>
        <w:spacing w:line="240" w:lineRule="auto"/>
        <w:jc w:val="center"/>
        <w:outlineLvl w:val="1"/>
      </w:pPr>
      <w:r>
        <w:rPr>
          <w:rFonts w:ascii="黑体" w:hAnsi="黑体" w:eastAsia="黑体"/>
          <w:sz w:val="32"/>
        </w:rPr>
        <w:t>第三部分 专业名词解释</w:t>
      </w:r>
    </w:p>
    <w:p w14:paraId="5313E6C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AC02EF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95E94D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66D685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A5E5D3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E18088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2F8FA1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8671DC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5C1A8C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DB19CB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F3AC5C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04153C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509F12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6C7203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93D05D3">
      <w:r>
        <w:br w:type="page"/>
      </w:r>
    </w:p>
    <w:p w14:paraId="0ADCCCB5">
      <w:pPr>
        <w:spacing w:line="240" w:lineRule="auto"/>
        <w:jc w:val="center"/>
        <w:outlineLvl w:val="1"/>
      </w:pPr>
      <w:r>
        <w:rPr>
          <w:rFonts w:ascii="黑体" w:hAnsi="黑体" w:eastAsia="黑体"/>
          <w:sz w:val="32"/>
        </w:rPr>
        <w:t>第四部分 部门决算报表（见附表）</w:t>
      </w:r>
    </w:p>
    <w:p w14:paraId="2872B2A9">
      <w:pPr>
        <w:spacing w:line="240" w:lineRule="auto"/>
        <w:ind w:firstLine="640"/>
        <w:jc w:val="both"/>
      </w:pPr>
      <w:r>
        <w:rPr>
          <w:rFonts w:ascii="仿宋_GB2312" w:hAnsi="仿宋_GB2312" w:eastAsia="仿宋_GB2312"/>
          <w:b w:val="0"/>
          <w:sz w:val="32"/>
        </w:rPr>
        <w:t>一、《收入支出决算总表》</w:t>
      </w:r>
    </w:p>
    <w:p w14:paraId="32A7C375">
      <w:pPr>
        <w:spacing w:line="240" w:lineRule="auto"/>
        <w:ind w:firstLine="640"/>
        <w:jc w:val="both"/>
      </w:pPr>
      <w:r>
        <w:rPr>
          <w:rFonts w:ascii="仿宋_GB2312" w:hAnsi="仿宋_GB2312" w:eastAsia="仿宋_GB2312"/>
          <w:b w:val="0"/>
          <w:sz w:val="32"/>
        </w:rPr>
        <w:t>二、《收入决算表》</w:t>
      </w:r>
    </w:p>
    <w:p w14:paraId="463125FA">
      <w:pPr>
        <w:spacing w:line="240" w:lineRule="auto"/>
        <w:ind w:firstLine="640"/>
        <w:jc w:val="both"/>
      </w:pPr>
      <w:r>
        <w:rPr>
          <w:rFonts w:ascii="仿宋_GB2312" w:hAnsi="仿宋_GB2312" w:eastAsia="仿宋_GB2312"/>
          <w:b w:val="0"/>
          <w:sz w:val="32"/>
        </w:rPr>
        <w:t>三、《支出决算表》</w:t>
      </w:r>
    </w:p>
    <w:p w14:paraId="1D973C38">
      <w:pPr>
        <w:spacing w:line="240" w:lineRule="auto"/>
        <w:ind w:firstLine="640"/>
        <w:jc w:val="both"/>
      </w:pPr>
      <w:r>
        <w:rPr>
          <w:rFonts w:ascii="仿宋_GB2312" w:hAnsi="仿宋_GB2312" w:eastAsia="仿宋_GB2312"/>
          <w:b w:val="0"/>
          <w:sz w:val="32"/>
        </w:rPr>
        <w:t>四、《财政拨款收入支出决算总表》</w:t>
      </w:r>
    </w:p>
    <w:p w14:paraId="5107CDDA">
      <w:pPr>
        <w:spacing w:line="240" w:lineRule="auto"/>
        <w:ind w:firstLine="640"/>
        <w:jc w:val="both"/>
      </w:pPr>
      <w:r>
        <w:rPr>
          <w:rFonts w:ascii="仿宋_GB2312" w:hAnsi="仿宋_GB2312" w:eastAsia="仿宋_GB2312"/>
          <w:b w:val="0"/>
          <w:sz w:val="32"/>
        </w:rPr>
        <w:t>五、《一般公共预算财政拨款支出决算表》</w:t>
      </w:r>
    </w:p>
    <w:p w14:paraId="28ABC04A">
      <w:pPr>
        <w:spacing w:line="240" w:lineRule="auto"/>
        <w:ind w:firstLine="640"/>
        <w:jc w:val="both"/>
      </w:pPr>
      <w:r>
        <w:rPr>
          <w:rFonts w:ascii="仿宋_GB2312" w:hAnsi="仿宋_GB2312" w:eastAsia="仿宋_GB2312"/>
          <w:b w:val="0"/>
          <w:sz w:val="32"/>
        </w:rPr>
        <w:t>六、《一般公共预算财政拨款基本支出决算表》</w:t>
      </w:r>
    </w:p>
    <w:p w14:paraId="4C11E57C">
      <w:pPr>
        <w:spacing w:line="240" w:lineRule="auto"/>
        <w:ind w:firstLine="640"/>
        <w:jc w:val="both"/>
      </w:pPr>
      <w:r>
        <w:rPr>
          <w:rFonts w:ascii="仿宋_GB2312" w:hAnsi="仿宋_GB2312" w:eastAsia="仿宋_GB2312"/>
          <w:b w:val="0"/>
          <w:sz w:val="32"/>
        </w:rPr>
        <w:t>七、《政府性基金预算财政拨款收入支出决算表》</w:t>
      </w:r>
    </w:p>
    <w:p w14:paraId="1AC40BC0">
      <w:pPr>
        <w:spacing w:line="240" w:lineRule="auto"/>
        <w:ind w:firstLine="640"/>
        <w:jc w:val="both"/>
      </w:pPr>
      <w:r>
        <w:rPr>
          <w:rFonts w:ascii="仿宋_GB2312" w:hAnsi="仿宋_GB2312" w:eastAsia="仿宋_GB2312"/>
          <w:b w:val="0"/>
          <w:sz w:val="32"/>
        </w:rPr>
        <w:t>八、《国有资本经营预算财政拨款收入支出决算表》</w:t>
      </w:r>
    </w:p>
    <w:p w14:paraId="64B55D72">
      <w:pPr>
        <w:spacing w:line="240" w:lineRule="auto"/>
        <w:ind w:firstLine="640"/>
        <w:jc w:val="both"/>
      </w:pPr>
      <w:r>
        <w:rPr>
          <w:rFonts w:ascii="仿宋_GB2312" w:hAnsi="仿宋_GB2312" w:eastAsia="仿宋_GB2312"/>
          <w:b w:val="0"/>
          <w:sz w:val="32"/>
        </w:rPr>
        <w:t>九、《财政拨款“三公”经费支出决算表》</w:t>
      </w:r>
    </w:p>
    <w:p w14:paraId="66681DE3">
      <w:pPr>
        <w:spacing w:line="240" w:lineRule="auto"/>
        <w:ind w:firstLine="640"/>
        <w:jc w:val="both"/>
      </w:pPr>
    </w:p>
    <w:p w14:paraId="48B61EBB">
      <w:pPr>
        <w:spacing w:line="240" w:lineRule="auto"/>
        <w:ind w:firstLine="640"/>
        <w:jc w:val="both"/>
      </w:pPr>
    </w:p>
    <w:p w14:paraId="0407C566">
      <w:pPr>
        <w:spacing w:line="240" w:lineRule="auto"/>
        <w:ind w:firstLine="640"/>
        <w:jc w:val="both"/>
      </w:pPr>
    </w:p>
    <w:p w14:paraId="41462D45">
      <w:pPr>
        <w:spacing w:line="240" w:lineRule="auto"/>
        <w:ind w:firstLine="640"/>
        <w:jc w:val="both"/>
      </w:pPr>
    </w:p>
    <w:p w14:paraId="1B1A14C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D30222C-472B-48C3-824F-D86E929558F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C38050A-6810-4533-B771-397C969DF39E}"/>
  </w:font>
  <w:font w:name="仿宋_GB2312">
    <w:panose1 w:val="02010609030101010101"/>
    <w:charset w:val="86"/>
    <w:family w:val="modern"/>
    <w:pitch w:val="default"/>
    <w:sig w:usb0="00000001" w:usb1="080E0000" w:usb2="00000000" w:usb3="00000000" w:csb0="00040000" w:csb1="00000000"/>
    <w:embedRegular r:id="rId3" w:fontKey="{5E1B328A-1B74-49F7-8B31-D3DA06FD20CB}"/>
  </w:font>
  <w:font w:name="楷体_GB2312">
    <w:panose1 w:val="02010609030101010101"/>
    <w:charset w:val="86"/>
    <w:family w:val="auto"/>
    <w:pitch w:val="default"/>
    <w:sig w:usb0="00000001" w:usb1="080E0000" w:usb2="00000000" w:usb3="00000000" w:csb0="00040000" w:csb1="00000000"/>
    <w:embedRegular r:id="rId4" w:fontKey="{1289A9F7-334A-4795-988E-852BEB522BF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84464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6939D1"/>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B7B6A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68d336d3-573f-4d6c-ad56-b9712357a02b</errorID>
      <errorWord>单位无</errorWord>
      <group>L1_Grammar</group>
      <groupName>语法问题</groupName>
      <ability>L2_Illogical</ability>
      <abilityName>不合逻辑</abilityName>
      <candidateList>
        <item>单位</item>
      </candidateList>
      <explain>句子中可能存在因果关系错误、自相矛盾、概念误用、主客倒置、否定不当、前后缺乏呼应等问题。</explain>
      <paraID>53330281</paraID>
      <start>68</start>
      <end>71</end>
      <status>unmodified</status>
      <modifiedWord/>
      <trackRevisions>false</trackRevisions>
    </reviewItem>
    <reviewItem>
      <errorID>159a5e1b-ad22-46b2-8a3c-d03f54e7115f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6A1451EC</paraID>
      <start>0</start>
      <end>2</end>
      <status>modified</status>
      <modifiedWord>1.</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aff34f-6531-4b90-bd86-2321e3c7864c}">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6008</Words>
  <Characters>6735</Characters>
  <Lines>0</Lines>
  <Paragraphs>0</Paragraphs>
  <TotalTime>27</TotalTime>
  <ScaleCrop>false</ScaleCrop>
  <LinksUpToDate>false</LinksUpToDate>
  <CharactersWithSpaces>6745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2025-11-26T10:55:19Z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