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中国人民政治协商会议托里县委员会办公室2024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198A6B6">
      <w:r>
        <w:br w:type="page"/>
      </w:r>
    </w:p>
    <w:p w14:paraId="02A0E3D0">
      <w:pPr>
        <w:spacing w:line="640" w:lineRule="exact"/>
        <w:jc w:val="center"/>
        <w:outlineLvl w:val="1"/>
      </w:pPr>
      <w:r>
        <w:rPr>
          <w:rFonts w:ascii="黑体" w:hAnsi="黑体" w:eastAsia="黑体"/>
          <w:sz w:val="32"/>
        </w:rPr>
        <w:t>第一部分 单位概况</w:t>
      </w:r>
    </w:p>
    <w:p w14:paraId="11C34AAF">
      <w:pPr>
        <w:spacing w:line="640" w:lineRule="exact"/>
        <w:ind w:firstLine="640"/>
        <w:jc w:val="both"/>
        <w:outlineLvl w:val="2"/>
      </w:pPr>
      <w:r>
        <w:rPr>
          <w:rFonts w:ascii="黑体" w:hAnsi="黑体" w:eastAsia="黑体"/>
          <w:sz w:val="32"/>
        </w:rPr>
        <w:t>一、主要职能</w:t>
      </w:r>
    </w:p>
    <w:p w14:paraId="5835700A">
      <w:pPr>
        <w:spacing w:line="580" w:lineRule="exact"/>
        <w:ind w:firstLine="640"/>
        <w:jc w:val="both"/>
      </w:pPr>
      <w:r>
        <w:rPr>
          <w:rFonts w:ascii="仿宋_GB2312" w:hAnsi="仿宋_GB2312" w:eastAsia="仿宋_GB2312"/>
          <w:sz w:val="32"/>
        </w:rPr>
        <w:t>（1）负责政协委员会内外的联系和综合协调工作，保证机构业务和行政工作的正常运转。</w:t>
      </w:r>
    </w:p>
    <w:p w14:paraId="3C949836">
      <w:pPr>
        <w:spacing w:line="580" w:lineRule="exact"/>
        <w:ind w:firstLine="640"/>
        <w:jc w:val="both"/>
      </w:pPr>
      <w:r>
        <w:rPr>
          <w:rFonts w:ascii="仿宋_GB2312" w:hAnsi="仿宋_GB2312" w:eastAsia="仿宋_GB2312"/>
          <w:sz w:val="32"/>
        </w:rPr>
        <w:t>（2）负责文书处理、党组会议、主席会议的会务和记录。</w:t>
      </w:r>
    </w:p>
    <w:p w14:paraId="3552F5E8">
      <w:pPr>
        <w:spacing w:line="580" w:lineRule="exact"/>
        <w:ind w:firstLine="640"/>
        <w:jc w:val="both"/>
      </w:pPr>
      <w:r>
        <w:rPr>
          <w:rFonts w:ascii="仿宋_GB2312" w:hAnsi="仿宋_GB2312" w:eastAsia="仿宋_GB2312"/>
          <w:sz w:val="32"/>
        </w:rPr>
        <w:t>（3）负责档案、财务、固定资产管理、信访、接待、车辆管理等工作。</w:t>
      </w:r>
    </w:p>
    <w:p w14:paraId="3991CCE4">
      <w:pPr>
        <w:spacing w:line="580" w:lineRule="exact"/>
        <w:ind w:firstLine="640"/>
        <w:jc w:val="both"/>
      </w:pPr>
      <w:r>
        <w:rPr>
          <w:rFonts w:ascii="仿宋_GB2312" w:hAnsi="仿宋_GB2312" w:eastAsia="仿宋_GB2312"/>
          <w:sz w:val="32"/>
        </w:rPr>
        <w:t>（4）负责</w:t>
      </w:r>
      <w:r>
        <w:rPr>
          <w:rFonts w:hint="eastAsia" w:ascii="仿宋_GB2312" w:hAnsi="仿宋_GB2312" w:eastAsia="仿宋_GB2312"/>
          <w:sz w:val="32"/>
          <w:lang w:eastAsia="zh-CN"/>
        </w:rPr>
        <w:t>政协委员提案</w:t>
      </w:r>
      <w:r>
        <w:rPr>
          <w:rFonts w:ascii="仿宋_GB2312" w:hAnsi="仿宋_GB2312" w:eastAsia="仿宋_GB2312"/>
          <w:sz w:val="32"/>
        </w:rPr>
        <w:t>工作，加强与承办单位的联系。</w:t>
      </w:r>
    </w:p>
    <w:p w14:paraId="15D992E9">
      <w:pPr>
        <w:spacing w:line="580" w:lineRule="exact"/>
        <w:ind w:firstLine="640"/>
        <w:jc w:val="both"/>
      </w:pPr>
      <w:r>
        <w:rPr>
          <w:rFonts w:ascii="仿宋_GB2312" w:hAnsi="仿宋_GB2312" w:eastAsia="仿宋_GB2312"/>
          <w:sz w:val="32"/>
        </w:rPr>
        <w:t>（5）负责监督贯彻实施国家及县委的各项方针政策，调查研究各方面出现的新问题，提出政策性建议。</w:t>
      </w:r>
    </w:p>
    <w:p w14:paraId="63B2A541">
      <w:pPr>
        <w:spacing w:line="580" w:lineRule="exact"/>
        <w:ind w:firstLine="640"/>
        <w:jc w:val="both"/>
      </w:pPr>
      <w:r>
        <w:rPr>
          <w:rFonts w:ascii="仿宋_GB2312" w:hAnsi="仿宋_GB2312" w:eastAsia="仿宋_GB2312"/>
          <w:sz w:val="32"/>
        </w:rPr>
        <w:t>（6）负责组织政协委员开展学习活动，熟悉各项方针政策，提高参政议政水平。</w:t>
      </w:r>
    </w:p>
    <w:p w14:paraId="2E78604F">
      <w:pPr>
        <w:spacing w:line="580" w:lineRule="exact"/>
        <w:ind w:firstLine="640"/>
        <w:jc w:val="both"/>
      </w:pPr>
      <w:r>
        <w:rPr>
          <w:rFonts w:ascii="仿宋_GB2312" w:hAnsi="仿宋_GB2312" w:eastAsia="仿宋_GB2312"/>
          <w:sz w:val="32"/>
        </w:rPr>
        <w:t>（7）密切联系有影</w:t>
      </w:r>
      <w:r>
        <w:rPr>
          <w:rFonts w:hint="eastAsia" w:ascii="仿宋_GB2312" w:hAnsi="仿宋_GB2312" w:eastAsia="仿宋_GB2312"/>
          <w:sz w:val="32"/>
          <w:lang w:eastAsia="zh-CN"/>
        </w:rPr>
        <w:t>响力</w:t>
      </w:r>
      <w:r>
        <w:rPr>
          <w:rFonts w:ascii="仿宋_GB2312" w:hAnsi="仿宋_GB2312" w:eastAsia="仿宋_GB2312"/>
          <w:sz w:val="32"/>
        </w:rPr>
        <w:t>、有代表性的少数民族代表人士，掌握思想动态、反映意见建议。</w:t>
      </w:r>
    </w:p>
    <w:p w14:paraId="295F63B6">
      <w:pPr>
        <w:spacing w:line="640" w:lineRule="exact"/>
        <w:ind w:firstLine="640"/>
        <w:jc w:val="both"/>
        <w:outlineLvl w:val="2"/>
      </w:pPr>
      <w:r>
        <w:rPr>
          <w:rFonts w:ascii="黑体" w:hAnsi="黑体" w:eastAsia="黑体"/>
          <w:sz w:val="32"/>
        </w:rPr>
        <w:t>二、机构设置及人员情况</w:t>
      </w:r>
    </w:p>
    <w:p w14:paraId="673F2D47">
      <w:pPr>
        <w:spacing w:line="580" w:lineRule="exact"/>
        <w:ind w:firstLine="640"/>
        <w:jc w:val="both"/>
      </w:pPr>
      <w:r>
        <w:rPr>
          <w:rFonts w:ascii="仿宋_GB2312" w:hAnsi="仿宋_GB2312" w:eastAsia="仿宋_GB2312"/>
          <w:sz w:val="32"/>
        </w:rPr>
        <w:t>中国人民政治协商会议托里县委员会办公室2024年度，实有人数52人，其中：在职人员18人，增加2人；离休人员0人，增加0人；退休人员34人,减少1人。</w:t>
      </w:r>
    </w:p>
    <w:p w14:paraId="39ED39AB">
      <w:pPr>
        <w:spacing w:line="580" w:lineRule="exact"/>
        <w:ind w:firstLine="640"/>
        <w:jc w:val="both"/>
      </w:pPr>
      <w:r>
        <w:rPr>
          <w:rFonts w:ascii="仿宋_GB2312" w:hAnsi="仿宋_GB2312" w:eastAsia="仿宋_GB2312"/>
          <w:sz w:val="32"/>
        </w:rPr>
        <w:t>中国人民政治协商会议托里县委员会办公室无下属预算单位，下设2个科室，分别是：办公室、文史资料中心。</w:t>
      </w:r>
    </w:p>
    <w:p w14:paraId="1DA0940C">
      <w:r>
        <w:br w:type="page"/>
      </w:r>
    </w:p>
    <w:p w14:paraId="2B0DAD6F">
      <w:pPr>
        <w:spacing w:line="240" w:lineRule="auto"/>
        <w:jc w:val="center"/>
        <w:outlineLvl w:val="1"/>
      </w:pPr>
      <w:r>
        <w:rPr>
          <w:rFonts w:ascii="黑体" w:hAnsi="黑体" w:eastAsia="黑体"/>
          <w:sz w:val="32"/>
        </w:rPr>
        <w:t>第二部分 部门决算情况说明</w:t>
      </w:r>
    </w:p>
    <w:p w14:paraId="5BD0DB7F">
      <w:pPr>
        <w:spacing w:line="640" w:lineRule="exact"/>
        <w:ind w:firstLine="640"/>
        <w:jc w:val="both"/>
        <w:outlineLvl w:val="2"/>
      </w:pPr>
      <w:r>
        <w:rPr>
          <w:rFonts w:ascii="黑体" w:hAnsi="黑体" w:eastAsia="黑体"/>
          <w:sz w:val="32"/>
        </w:rPr>
        <w:t>一、收入支出决算总体情况说明</w:t>
      </w:r>
    </w:p>
    <w:p w14:paraId="50057F02">
      <w:pPr>
        <w:spacing w:line="580" w:lineRule="exact"/>
        <w:ind w:firstLine="640"/>
        <w:jc w:val="both"/>
      </w:pPr>
      <w:r>
        <w:rPr>
          <w:rFonts w:ascii="仿宋_GB2312" w:hAnsi="仿宋_GB2312" w:eastAsia="仿宋_GB2312"/>
          <w:b/>
          <w:sz w:val="32"/>
        </w:rPr>
        <w:t>2024年度收入总计435.77万元，</w:t>
      </w:r>
      <w:r>
        <w:rPr>
          <w:rFonts w:ascii="仿宋_GB2312" w:hAnsi="仿宋_GB2312" w:eastAsia="仿宋_GB2312"/>
          <w:b w:val="0"/>
          <w:sz w:val="32"/>
        </w:rPr>
        <w:t>其中：本年收入合计435.77万元，使用非财政拨款结余（含专用结余）0.00万元，年初结转和结余0.00万元。</w:t>
      </w:r>
    </w:p>
    <w:p w14:paraId="7218CF80">
      <w:pPr>
        <w:spacing w:line="580" w:lineRule="exact"/>
        <w:ind w:firstLine="640"/>
        <w:jc w:val="both"/>
      </w:pPr>
      <w:r>
        <w:rPr>
          <w:rFonts w:ascii="仿宋_GB2312" w:hAnsi="仿宋_GB2312" w:eastAsia="仿宋_GB2312"/>
          <w:b/>
          <w:sz w:val="32"/>
        </w:rPr>
        <w:t>2024年度支出总计435.77万元，</w:t>
      </w:r>
      <w:r>
        <w:rPr>
          <w:rFonts w:ascii="仿宋_GB2312" w:hAnsi="仿宋_GB2312" w:eastAsia="仿宋_GB2312"/>
          <w:b w:val="0"/>
          <w:sz w:val="32"/>
        </w:rPr>
        <w:t>其中：本年支出合计435.76万元，结余分配0.00万元，年末结转和结余0.01万元。</w:t>
      </w:r>
    </w:p>
    <w:p w14:paraId="1D76DE83">
      <w:pPr>
        <w:spacing w:line="580" w:lineRule="exact"/>
        <w:ind w:firstLine="640"/>
        <w:jc w:val="both"/>
      </w:pPr>
      <w:r>
        <w:rPr>
          <w:rFonts w:ascii="仿宋_GB2312" w:hAnsi="仿宋_GB2312" w:eastAsia="仿宋_GB2312"/>
          <w:b w:val="0"/>
          <w:sz w:val="32"/>
        </w:rPr>
        <w:t>收入支出总体与上年相比，增加63.54万元，增长17.07%，主要原因是：本年在职人员增加，在职人员工资调增、社保、公积金基数调增，人员经费增加。本年新增政协委员活动经费，导致经费较上年增加。</w:t>
      </w:r>
    </w:p>
    <w:p w14:paraId="24474053">
      <w:pPr>
        <w:spacing w:line="640" w:lineRule="exact"/>
        <w:ind w:firstLine="640"/>
        <w:jc w:val="both"/>
        <w:outlineLvl w:val="2"/>
      </w:pPr>
      <w:r>
        <w:rPr>
          <w:rFonts w:ascii="黑体" w:hAnsi="黑体" w:eastAsia="黑体"/>
          <w:sz w:val="32"/>
        </w:rPr>
        <w:t>二、收入决算情况说明</w:t>
      </w:r>
    </w:p>
    <w:p w14:paraId="3FDAA308">
      <w:pPr>
        <w:spacing w:line="580" w:lineRule="exact"/>
        <w:ind w:firstLine="640"/>
        <w:jc w:val="both"/>
      </w:pPr>
      <w:r>
        <w:rPr>
          <w:rFonts w:ascii="仿宋_GB2312" w:hAnsi="仿宋_GB2312" w:eastAsia="仿宋_GB2312"/>
          <w:b/>
          <w:sz w:val="32"/>
        </w:rPr>
        <w:t>本年收入435.77万元，</w:t>
      </w:r>
      <w:r>
        <w:rPr>
          <w:rFonts w:ascii="仿宋_GB2312" w:hAnsi="仿宋_GB2312" w:eastAsia="仿宋_GB2312"/>
          <w:b w:val="0"/>
          <w:sz w:val="32"/>
        </w:rPr>
        <w:t>其中：财政拨款收入435.76万元，占100.00%；上级补助收入0.00万元，占0.00%；事业收入0.00万元，占0.00%；经营收入0.00万元，占0.00%；附属单位上缴收入0.00万元，占0.00%；其他收入0.01万元，占0.002%。</w:t>
      </w:r>
    </w:p>
    <w:p w14:paraId="13221C4A">
      <w:pPr>
        <w:spacing w:line="640" w:lineRule="exact"/>
        <w:ind w:firstLine="640"/>
        <w:jc w:val="both"/>
        <w:outlineLvl w:val="2"/>
      </w:pPr>
      <w:r>
        <w:rPr>
          <w:rFonts w:ascii="黑体" w:hAnsi="黑体" w:eastAsia="黑体"/>
          <w:sz w:val="32"/>
        </w:rPr>
        <w:t>三、支出决算情况说明</w:t>
      </w:r>
    </w:p>
    <w:p w14:paraId="01558025">
      <w:pPr>
        <w:spacing w:line="580" w:lineRule="exact"/>
        <w:ind w:firstLine="640"/>
        <w:jc w:val="both"/>
      </w:pPr>
      <w:r>
        <w:rPr>
          <w:rFonts w:ascii="仿宋_GB2312" w:hAnsi="仿宋_GB2312" w:eastAsia="仿宋_GB2312"/>
          <w:b/>
          <w:sz w:val="32"/>
        </w:rPr>
        <w:t>本年支出435.76万元，</w:t>
      </w:r>
      <w:r>
        <w:rPr>
          <w:rFonts w:ascii="仿宋_GB2312" w:hAnsi="仿宋_GB2312" w:eastAsia="仿宋_GB2312"/>
          <w:b w:val="0"/>
          <w:sz w:val="32"/>
        </w:rPr>
        <w:t>其中：基本支出418.52万元，占96.04%；项目支出17.24万元，占3.96%；上缴上级支出0.00万元，占0.00%；经营支出0.00万元，占0.00%；对附属单位补助支出0.00万元，占0.00%。</w:t>
      </w:r>
    </w:p>
    <w:p w14:paraId="4E887063">
      <w:pPr>
        <w:spacing w:line="640" w:lineRule="exact"/>
        <w:ind w:firstLine="640"/>
        <w:jc w:val="both"/>
        <w:outlineLvl w:val="2"/>
      </w:pPr>
      <w:r>
        <w:rPr>
          <w:rFonts w:ascii="黑体" w:hAnsi="黑体" w:eastAsia="黑体"/>
          <w:sz w:val="32"/>
        </w:rPr>
        <w:t>四、财政拨款收入支出决算总体情况说明</w:t>
      </w:r>
    </w:p>
    <w:p w14:paraId="5FC7A67F">
      <w:pPr>
        <w:spacing w:line="580" w:lineRule="exact"/>
        <w:ind w:firstLine="640"/>
        <w:jc w:val="both"/>
      </w:pPr>
      <w:r>
        <w:rPr>
          <w:rFonts w:ascii="仿宋_GB2312" w:hAnsi="仿宋_GB2312" w:eastAsia="仿宋_GB2312"/>
          <w:b/>
          <w:sz w:val="32"/>
        </w:rPr>
        <w:t>2024年度财政拨款收入总计435.76万元，</w:t>
      </w:r>
      <w:r>
        <w:rPr>
          <w:rFonts w:ascii="仿宋_GB2312" w:hAnsi="仿宋_GB2312" w:eastAsia="仿宋_GB2312"/>
          <w:b w:val="0"/>
          <w:sz w:val="32"/>
        </w:rPr>
        <w:t>其中：年初财政拨款结转和结余0.00万元，本年财政拨款收入435.76万元。</w:t>
      </w:r>
      <w:r>
        <w:rPr>
          <w:rFonts w:ascii="仿宋_GB2312" w:hAnsi="仿宋_GB2312" w:eastAsia="仿宋_GB2312"/>
          <w:b/>
          <w:sz w:val="32"/>
        </w:rPr>
        <w:t>财政拨款支出总计435.76万元，</w:t>
      </w:r>
      <w:r>
        <w:rPr>
          <w:rFonts w:ascii="仿宋_GB2312" w:hAnsi="仿宋_GB2312" w:eastAsia="仿宋_GB2312"/>
          <w:b w:val="0"/>
          <w:sz w:val="32"/>
        </w:rPr>
        <w:t>其中：年末财政拨款结转和结余0.00万元，本年财政拨款支出435.76万元。</w:t>
      </w:r>
    </w:p>
    <w:p w14:paraId="41ABD46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增加63.53万元，增长17.07%，主要原因是：本年在职人员增加，在职人员工资调增、社保、公积金基数调增，人员经费增加。本年新增政协委员活动经费，导致经费较上年增加。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年初预算数407.13万元，决算数435.76万元，预决算差异率7.03%，主要原因是：年中追加人员工资、社保、公积金基数调增部分资金，年中追加政协委员活动经费，导致预决算存在差异。</w:t>
      </w:r>
    </w:p>
    <w:p w14:paraId="6C8B90C7">
      <w:pPr>
        <w:spacing w:line="640" w:lineRule="exact"/>
        <w:ind w:firstLine="640"/>
        <w:jc w:val="both"/>
        <w:outlineLvl w:val="2"/>
      </w:pPr>
      <w:r>
        <w:rPr>
          <w:rFonts w:ascii="黑体" w:hAnsi="黑体" w:eastAsia="黑体"/>
          <w:sz w:val="32"/>
        </w:rPr>
        <w:t>五、一般公共预算财政拨款支出决算情况说明</w:t>
      </w:r>
    </w:p>
    <w:p w14:paraId="6EBAEA20">
      <w:pPr>
        <w:spacing w:line="640" w:lineRule="exact"/>
        <w:ind w:firstLine="640"/>
        <w:jc w:val="both"/>
        <w:outlineLvl w:val="3"/>
      </w:pPr>
      <w:r>
        <w:rPr>
          <w:rFonts w:ascii="楷体_GB2312" w:hAnsi="楷体_GB2312" w:eastAsia="楷体_GB2312"/>
          <w:b/>
          <w:sz w:val="32"/>
        </w:rPr>
        <w:t>（一）一般公共预算财政拨款支出决算总体情况</w:t>
      </w:r>
    </w:p>
    <w:p w14:paraId="6D859F53">
      <w:pPr>
        <w:spacing w:line="580" w:lineRule="exact"/>
        <w:ind w:firstLine="640"/>
        <w:jc w:val="both"/>
      </w:pPr>
      <w:r>
        <w:rPr>
          <w:rFonts w:ascii="仿宋_GB2312" w:hAnsi="仿宋_GB2312" w:eastAsia="仿宋_GB2312"/>
          <w:b/>
          <w:sz w:val="32"/>
        </w:rPr>
        <w:t>2024年度一般公共预算财政拨款支出435.76万元，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增加63.53万元，增长17.07%，主要原因是：本年在职人员增加，在职人员工资调增、社保、公积金基数调增，人员经费增加。本年新增政协委员活动经费，导致经费较上年增加。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年初预算数407.13万元，决算数435.76万元，预决算差异率7.03%，主要原因是：年中追加人员工资、社保、公积金基数调增部分资金，年中追加政协委员活动经费，导致预决算存在差异。</w:t>
      </w:r>
    </w:p>
    <w:p w14:paraId="5B0C0531">
      <w:pPr>
        <w:spacing w:line="640" w:lineRule="exact"/>
        <w:ind w:firstLine="640"/>
        <w:jc w:val="both"/>
        <w:outlineLvl w:val="3"/>
      </w:pPr>
      <w:r>
        <w:rPr>
          <w:rFonts w:ascii="楷体_GB2312" w:hAnsi="楷体_GB2312" w:eastAsia="楷体_GB2312"/>
          <w:b/>
          <w:sz w:val="32"/>
        </w:rPr>
        <w:t>（二）一般公共预算财政拨款支出决算结构情况</w:t>
      </w:r>
    </w:p>
    <w:p w14:paraId="1317D1AD">
      <w:pPr>
        <w:spacing w:line="580" w:lineRule="exact"/>
        <w:ind w:firstLine="640"/>
        <w:jc w:val="both"/>
      </w:pPr>
      <w:r>
        <w:rPr>
          <w:rFonts w:ascii="仿宋_GB2312" w:hAnsi="仿宋_GB2312" w:eastAsia="仿宋_GB2312"/>
          <w:b w:val="0"/>
          <w:sz w:val="32"/>
        </w:rPr>
        <w:t>1.一般公共服务支出(类)307.29万元,占70.52%。</w:t>
      </w:r>
    </w:p>
    <w:p w14:paraId="35ED6B3B">
      <w:pPr>
        <w:spacing w:line="580" w:lineRule="exact"/>
        <w:ind w:firstLine="640"/>
        <w:jc w:val="both"/>
      </w:pPr>
      <w:r>
        <w:rPr>
          <w:rFonts w:ascii="仿宋_GB2312" w:hAnsi="仿宋_GB2312" w:eastAsia="仿宋_GB2312"/>
          <w:b w:val="0"/>
          <w:sz w:val="32"/>
        </w:rPr>
        <w:t>2.社会保障和就业支出(类)86.94万元,占19.95%。</w:t>
      </w:r>
    </w:p>
    <w:p w14:paraId="5F30207B">
      <w:pPr>
        <w:spacing w:line="580" w:lineRule="exact"/>
        <w:ind w:firstLine="640"/>
        <w:jc w:val="both"/>
      </w:pPr>
      <w:r>
        <w:rPr>
          <w:rFonts w:ascii="仿宋_GB2312" w:hAnsi="仿宋_GB2312" w:eastAsia="仿宋_GB2312"/>
          <w:b w:val="0"/>
          <w:sz w:val="32"/>
        </w:rPr>
        <w:t>3.卫生健康支出(类)17.12万元,占3.93%。</w:t>
      </w:r>
    </w:p>
    <w:p w14:paraId="572C573F">
      <w:pPr>
        <w:spacing w:line="580" w:lineRule="exact"/>
        <w:ind w:firstLine="640"/>
        <w:jc w:val="both"/>
      </w:pPr>
      <w:r>
        <w:rPr>
          <w:rFonts w:ascii="仿宋_GB2312" w:hAnsi="仿宋_GB2312" w:eastAsia="仿宋_GB2312"/>
          <w:b w:val="0"/>
          <w:sz w:val="32"/>
        </w:rPr>
        <w:t>4.住房保障支出(类)24.40万元,占5.60%。</w:t>
      </w:r>
    </w:p>
    <w:p w14:paraId="1F6CF965">
      <w:pPr>
        <w:spacing w:line="640" w:lineRule="exact"/>
        <w:ind w:firstLine="640"/>
        <w:jc w:val="both"/>
        <w:outlineLvl w:val="3"/>
      </w:pPr>
      <w:r>
        <w:rPr>
          <w:rFonts w:ascii="楷体_GB2312" w:hAnsi="楷体_GB2312" w:eastAsia="楷体_GB2312"/>
          <w:b/>
          <w:sz w:val="32"/>
        </w:rPr>
        <w:t>（三）一般公共预算财政拨款支出决算具体情况</w:t>
      </w:r>
    </w:p>
    <w:p w14:paraId="25485BB9">
      <w:pPr>
        <w:spacing w:line="580" w:lineRule="exact"/>
        <w:ind w:firstLine="640"/>
        <w:jc w:val="both"/>
      </w:pPr>
      <w:r>
        <w:rPr>
          <w:rFonts w:ascii="仿宋_GB2312" w:hAnsi="仿宋_GB2312" w:eastAsia="仿宋_GB2312"/>
          <w:b w:val="0"/>
          <w:sz w:val="32"/>
        </w:rPr>
        <w:t>1.一般公共服务支出(类)政协事务(款)行政运行(项):支出决算数为290.05万元，比上年决算增加65.05万元，增长28.91%,主要原因是：本年新增在职人员，补发人员绩效工资，人员经费增加，导致经费较上年有所增加。</w:t>
      </w:r>
    </w:p>
    <w:p w14:paraId="7459E270">
      <w:pPr>
        <w:spacing w:line="580" w:lineRule="exact"/>
        <w:ind w:firstLine="640"/>
        <w:jc w:val="both"/>
      </w:pPr>
      <w:r>
        <w:rPr>
          <w:rFonts w:ascii="仿宋_GB2312" w:hAnsi="仿宋_GB2312" w:eastAsia="仿宋_GB2312"/>
          <w:b w:val="0"/>
          <w:sz w:val="32"/>
        </w:rPr>
        <w:t>2.一般公共服务支出(类)政协事务(款)参政议政(项):支出决算数为2.55万元，比上年决算增加2.55万元，增长100.00%,主要原因是：本年新增项目资金政协委员活动经费。</w:t>
      </w:r>
    </w:p>
    <w:p w14:paraId="1CFF43B3">
      <w:pPr>
        <w:spacing w:line="580" w:lineRule="exact"/>
        <w:ind w:firstLine="640"/>
        <w:jc w:val="both"/>
      </w:pPr>
      <w:r>
        <w:rPr>
          <w:rFonts w:ascii="仿宋_GB2312" w:hAnsi="仿宋_GB2312" w:eastAsia="仿宋_GB2312"/>
          <w:b w:val="0"/>
          <w:sz w:val="32"/>
        </w:rPr>
        <w:t>3.一般公共服务支出(类)政协事务(款)其他政协事务支出(项):支出决算数为14.69万元，比上年决算增加9.69万元，增长193.80%,主要原因是：本年支付2021年基本政协补助项目，导致经费增加。</w:t>
      </w:r>
    </w:p>
    <w:p w14:paraId="078146E1">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4.社会保障和就业支出(类)行政事业单位养老支出(款)行政单位离退休(项):支出决算数为55.60万元，比上年决算减少21.70万元，下降28.07%,主要原因是：</w:t>
      </w:r>
      <w:r>
        <w:rPr>
          <w:rFonts w:hint="eastAsia" w:ascii="仿宋_GB2312" w:hAnsi="仿宋_GB2312" w:eastAsia="仿宋_GB2312"/>
          <w:b w:val="0"/>
          <w:sz w:val="32"/>
          <w:lang w:val="en-US" w:eastAsia="zh-CN"/>
        </w:rPr>
        <w:t>上年发放退休人员绩效奖，本年无此经费</w:t>
      </w:r>
      <w:r>
        <w:rPr>
          <w:rFonts w:ascii="仿宋_GB2312" w:hAnsi="仿宋_GB2312" w:eastAsia="仿宋_GB2312"/>
          <w:b w:val="0"/>
          <w:sz w:val="32"/>
        </w:rPr>
        <w:t>。</w:t>
      </w:r>
    </w:p>
    <w:p w14:paraId="3BEE5071">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30.76万元，比上年决算增加6.94万元，增长29.14%,主要原因是：本年在职人员增加，人员工资调增，养老保险缴费较上年增加。</w:t>
      </w:r>
    </w:p>
    <w:p w14:paraId="1872FBB8">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0.59万元，比上年决算减少7.18万元，下降92.41%,主要原因是：本年新增退休人员较上年减少，职业年金缴费较上年减少。</w:t>
      </w:r>
    </w:p>
    <w:p w14:paraId="43E1A4E4">
      <w:pPr>
        <w:spacing w:line="580" w:lineRule="exact"/>
        <w:ind w:firstLine="640"/>
        <w:jc w:val="both"/>
      </w:pPr>
      <w:r>
        <w:rPr>
          <w:rFonts w:ascii="仿宋_GB2312" w:hAnsi="仿宋_GB2312" w:eastAsia="仿宋_GB2312"/>
          <w:b w:val="0"/>
          <w:sz w:val="32"/>
        </w:rPr>
        <w:t>7.卫生健康支出(类)行政事业单位医疗(款)行政单位医疗(项):支出决算数为12.84万元，比上年决算增加2.07万元，增长19.22%,主要原因是：本年在职人员增加，在职人员工资调增，行政单位医疗支出较上年增加。</w:t>
      </w:r>
    </w:p>
    <w:p w14:paraId="28DA29F9">
      <w:pPr>
        <w:spacing w:line="580" w:lineRule="exact"/>
        <w:ind w:firstLine="640"/>
        <w:jc w:val="both"/>
      </w:pPr>
      <w:r>
        <w:rPr>
          <w:rFonts w:ascii="仿宋_GB2312" w:hAnsi="仿宋_GB2312" w:eastAsia="仿宋_GB2312"/>
          <w:b w:val="0"/>
          <w:sz w:val="32"/>
        </w:rPr>
        <w:t>8.卫生健康支出(类)行政事业单位医疗(款)公务员医疗补助(项):支出决算数为4.28万元，比上年决算增加0.60万元，增长16.30%,主要原因是：本年在职人员增加，在职人员工资调增，公务员医疗补助较上年增加。</w:t>
      </w:r>
    </w:p>
    <w:p w14:paraId="3DEB8716">
      <w:pPr>
        <w:spacing w:line="580" w:lineRule="exact"/>
        <w:ind w:firstLine="640"/>
        <w:jc w:val="both"/>
      </w:pPr>
      <w:r>
        <w:rPr>
          <w:rFonts w:ascii="仿宋_GB2312" w:hAnsi="仿宋_GB2312" w:eastAsia="仿宋_GB2312"/>
          <w:b w:val="0"/>
          <w:sz w:val="32"/>
        </w:rPr>
        <w:t>9.住房保障支出(类)住房改革支出(款)住房公积金(项):支出决算数为24.40万元，比上年决算增加5.52万元，增长29.24%,主要原因是：本年在职人员增加，在职人员工资调增，住房公积金支出较上年增加。</w:t>
      </w:r>
    </w:p>
    <w:p w14:paraId="1E4F1660">
      <w:pPr>
        <w:spacing w:line="640" w:lineRule="exact"/>
        <w:ind w:firstLine="640"/>
        <w:jc w:val="both"/>
        <w:outlineLvl w:val="2"/>
      </w:pPr>
      <w:r>
        <w:rPr>
          <w:rFonts w:ascii="黑体" w:hAnsi="黑体" w:eastAsia="黑体"/>
          <w:sz w:val="32"/>
        </w:rPr>
        <w:t>六、一般公共预算财政拨款基本支出决算情况说明</w:t>
      </w:r>
    </w:p>
    <w:p w14:paraId="4AE8F5EF">
      <w:pPr>
        <w:spacing w:line="580" w:lineRule="exact"/>
        <w:ind w:firstLine="640"/>
        <w:jc w:val="both"/>
      </w:pPr>
      <w:r>
        <w:rPr>
          <w:rFonts w:ascii="仿宋_GB2312" w:hAnsi="仿宋_GB2312" w:eastAsia="仿宋_GB2312"/>
          <w:b w:val="0"/>
          <w:sz w:val="32"/>
        </w:rPr>
        <w:t>2024年度一般公共预算财政拨款基本支出418.52万元，其中：</w:t>
      </w:r>
      <w:r>
        <w:rPr>
          <w:rFonts w:ascii="仿宋_GB2312" w:hAnsi="仿宋_GB2312" w:eastAsia="仿宋_GB2312"/>
          <w:b/>
          <w:sz w:val="32"/>
        </w:rPr>
        <w:t>人员经费376.00万元，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医疗费补助、奖励金。</w:t>
      </w:r>
    </w:p>
    <w:p w14:paraId="7779C546">
      <w:pPr>
        <w:spacing w:line="580" w:lineRule="exact"/>
        <w:ind w:firstLine="640"/>
        <w:jc w:val="both"/>
      </w:pPr>
      <w:r>
        <w:rPr>
          <w:rFonts w:ascii="仿宋_GB2312" w:hAnsi="仿宋_GB2312" w:eastAsia="仿宋_GB2312"/>
          <w:b/>
          <w:sz w:val="32"/>
        </w:rPr>
        <w:t>公用经费42.51万元，</w:t>
      </w:r>
      <w:r>
        <w:rPr>
          <w:rFonts w:ascii="仿宋_GB2312" w:hAnsi="仿宋_GB2312" w:eastAsia="仿宋_GB2312"/>
          <w:b w:val="0"/>
          <w:sz w:val="32"/>
        </w:rPr>
        <w:t>包括：办公费、印刷费、水费、邮电费、取暖费、差旅费、维修（护）费、培训费、公务接待费、劳务费、工会经费、公务用车运行维护费、办公设备购置。</w:t>
      </w:r>
    </w:p>
    <w:p w14:paraId="1C07EBAC">
      <w:pPr>
        <w:spacing w:line="640" w:lineRule="exact"/>
        <w:ind w:firstLine="640"/>
        <w:jc w:val="both"/>
        <w:outlineLvl w:val="2"/>
      </w:pPr>
      <w:r>
        <w:rPr>
          <w:rFonts w:ascii="黑体" w:hAnsi="黑体" w:eastAsia="黑体"/>
          <w:sz w:val="32"/>
        </w:rPr>
        <w:t>七、政府性基金预算财政拨款收入支出决算情况说明</w:t>
      </w:r>
    </w:p>
    <w:p w14:paraId="0C82FC0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A798DF0">
      <w:pPr>
        <w:spacing w:line="640" w:lineRule="exact"/>
        <w:ind w:firstLine="640"/>
        <w:jc w:val="both"/>
        <w:outlineLvl w:val="2"/>
      </w:pPr>
      <w:r>
        <w:rPr>
          <w:rFonts w:ascii="黑体" w:hAnsi="黑体" w:eastAsia="黑体"/>
          <w:sz w:val="32"/>
        </w:rPr>
        <w:t>八、国有资本经营预算财政拨款收入支出决算情况说明</w:t>
      </w:r>
    </w:p>
    <w:p w14:paraId="44D5E71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07164A">
      <w:pPr>
        <w:spacing w:line="640" w:lineRule="exact"/>
        <w:ind w:firstLine="640"/>
        <w:jc w:val="both"/>
        <w:outlineLvl w:val="2"/>
      </w:pPr>
      <w:r>
        <w:rPr>
          <w:rFonts w:ascii="黑体" w:hAnsi="黑体" w:eastAsia="黑体"/>
          <w:sz w:val="32"/>
        </w:rPr>
        <w:t>九、财政拨款“三公”经费支出决算情况说明</w:t>
      </w:r>
    </w:p>
    <w:p w14:paraId="1BE8E444">
      <w:pPr>
        <w:spacing w:line="580" w:lineRule="exact"/>
        <w:ind w:firstLine="640"/>
        <w:jc w:val="both"/>
      </w:pPr>
      <w:r>
        <w:rPr>
          <w:rFonts w:ascii="仿宋_GB2312" w:hAnsi="仿宋_GB2312" w:eastAsia="仿宋_GB2312"/>
          <w:b/>
          <w:sz w:val="32"/>
        </w:rPr>
        <w:t>2024年度财政拨款“三公”经费支出18.91万元，</w:t>
      </w:r>
      <w:r>
        <w:rPr>
          <w:rFonts w:ascii="仿宋_GB2312" w:hAnsi="仿宋_GB2312" w:eastAsia="仿宋_GB2312"/>
          <w:b w:val="0"/>
          <w:sz w:val="32"/>
        </w:rPr>
        <w:t>比上年减少7.10万元，下降27.30%，主要原因是：严格落实中央八项规定精神，厉行节约，减少公务用车运行维护费。本年安排公务接待工作减少，导致公务接待费较上年减少。其中：因公出国（境）费支出0.00万元，占0.00%，比上年增加0.00万元，增长0.00%，主要原因是：2023年与2024年均未安排因公出国（境）费支出。公务用车购置及运行维护费支出17.36万元，占91.80%，比上年减少1.72万元，下降9.01%，主要原因是：严格落实中央八项规定精神，厉行节约，减少公务用车运行维护费。公务接待费支出1.55万元，占8.20%，比上年减少5.38万元，下降77.63%，主要原因是：本年安排公务接待工作减少，导致公务接待费较上年减少。</w:t>
      </w:r>
    </w:p>
    <w:p w14:paraId="5915C964">
      <w:pPr>
        <w:spacing w:line="580" w:lineRule="exact"/>
        <w:ind w:firstLine="640"/>
        <w:jc w:val="both"/>
      </w:pPr>
      <w:r>
        <w:rPr>
          <w:rFonts w:ascii="仿宋_GB2312" w:hAnsi="仿宋_GB2312" w:eastAsia="仿宋_GB2312"/>
          <w:b/>
          <w:sz w:val="32"/>
        </w:rPr>
        <w:t>具体情况如下：</w:t>
      </w:r>
    </w:p>
    <w:p w14:paraId="5A4D125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6F9545B">
      <w:pPr>
        <w:spacing w:line="580" w:lineRule="exact"/>
        <w:ind w:firstLine="640"/>
        <w:jc w:val="both"/>
      </w:pPr>
      <w:r>
        <w:rPr>
          <w:rFonts w:ascii="仿宋_GB2312" w:hAnsi="仿宋_GB2312" w:eastAsia="仿宋_GB2312"/>
          <w:b w:val="0"/>
          <w:sz w:val="32"/>
        </w:rPr>
        <w:t>公务用车购置及运行维护费17.36万元，其中：公务用车购置费0.00万元，公务用车运行维护费17.36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78A0CD19">
      <w:pPr>
        <w:spacing w:line="580" w:lineRule="exact"/>
        <w:ind w:firstLine="640"/>
        <w:jc w:val="both"/>
      </w:pPr>
      <w:r>
        <w:rPr>
          <w:rFonts w:ascii="仿宋_GB2312" w:hAnsi="仿宋_GB2312" w:eastAsia="仿宋_GB2312"/>
          <w:b w:val="0"/>
          <w:sz w:val="32"/>
        </w:rPr>
        <w:t>公务接待费1.55万元，开支内容包括因上级领导检查工作，接待上级领导检查产生的就餐费。单位全年安排的国内公务接待13批次，149人次。</w:t>
      </w:r>
    </w:p>
    <w:p w14:paraId="7D48C88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18.91万元，决算数18.91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17.36万元，决算数17.36万元，预决算差异率0.00%，主要原因是：严格按照预算执行，预决算无差异。公务接待费全年预算数1.55万元，决算数1.55万元，预决算差异率0.00%，主要原因是：严格按照预算执行，预决算无差异。</w:t>
      </w:r>
    </w:p>
    <w:p w14:paraId="7D44B768">
      <w:pPr>
        <w:spacing w:line="640" w:lineRule="exact"/>
        <w:ind w:firstLine="640"/>
        <w:jc w:val="both"/>
        <w:outlineLvl w:val="2"/>
      </w:pPr>
      <w:r>
        <w:rPr>
          <w:rFonts w:ascii="黑体" w:hAnsi="黑体" w:eastAsia="黑体"/>
          <w:sz w:val="32"/>
        </w:rPr>
        <w:t>十、其他重要事项的情况说明</w:t>
      </w:r>
    </w:p>
    <w:p w14:paraId="12FBE341">
      <w:pPr>
        <w:spacing w:line="640" w:lineRule="exact"/>
        <w:ind w:firstLine="640"/>
        <w:jc w:val="both"/>
        <w:outlineLvl w:val="3"/>
      </w:pPr>
      <w:r>
        <w:rPr>
          <w:rFonts w:ascii="楷体_GB2312" w:hAnsi="楷体_GB2312" w:eastAsia="楷体_GB2312"/>
          <w:b/>
          <w:sz w:val="32"/>
        </w:rPr>
        <w:t>（一）机关运行经费及公用经费支出情况</w:t>
      </w:r>
    </w:p>
    <w:p w14:paraId="756C47ED">
      <w:pPr>
        <w:spacing w:line="580" w:lineRule="exact"/>
        <w:ind w:firstLine="640"/>
        <w:jc w:val="both"/>
      </w:pPr>
      <w:r>
        <w:rPr>
          <w:rFonts w:ascii="仿宋_GB2312" w:hAnsi="仿宋_GB2312" w:eastAsia="仿宋_GB2312"/>
          <w:b w:val="0"/>
          <w:sz w:val="32"/>
        </w:rPr>
        <w:t>2024年度中国人民政治协商会议托里县委员会办公室（行政单位和参照公务员法管理事业单位）机关运行经费支出42.51万元，比上年增加0.19万元，增长0.45%，主要原因是：本年更新、维护补充办公用品，导致机关运行经费较上年增加。</w:t>
      </w:r>
    </w:p>
    <w:p w14:paraId="4C9D016D">
      <w:pPr>
        <w:spacing w:line="640" w:lineRule="exact"/>
        <w:ind w:firstLine="640"/>
        <w:jc w:val="both"/>
        <w:outlineLvl w:val="3"/>
      </w:pPr>
      <w:r>
        <w:rPr>
          <w:rFonts w:ascii="楷体_GB2312" w:hAnsi="楷体_GB2312" w:eastAsia="楷体_GB2312"/>
          <w:b/>
          <w:sz w:val="32"/>
        </w:rPr>
        <w:t>（二）政府采购情况</w:t>
      </w:r>
    </w:p>
    <w:p w14:paraId="079BEA67">
      <w:pPr>
        <w:spacing w:line="580" w:lineRule="exact"/>
        <w:ind w:firstLine="640"/>
        <w:jc w:val="both"/>
      </w:pPr>
      <w:r>
        <w:rPr>
          <w:rFonts w:ascii="仿宋_GB2312" w:hAnsi="仿宋_GB2312" w:eastAsia="仿宋_GB2312"/>
          <w:b w:val="0"/>
          <w:sz w:val="32"/>
        </w:rPr>
        <w:t>2024年度政府采购支出总额34.49万元，其中：政府采购货物支出5.14万元、政府采购工程支出0.96万元、政府采购服务支出28.40万元。</w:t>
      </w:r>
    </w:p>
    <w:p w14:paraId="7E541A2B">
      <w:pPr>
        <w:spacing w:line="580" w:lineRule="exact"/>
        <w:ind w:firstLine="640"/>
        <w:jc w:val="both"/>
      </w:pPr>
      <w:r>
        <w:rPr>
          <w:rFonts w:ascii="仿宋_GB2312" w:hAnsi="仿宋_GB2312" w:eastAsia="仿宋_GB2312"/>
          <w:b w:val="0"/>
          <w:sz w:val="32"/>
        </w:rPr>
        <w:t>授予中小企业合同金额32.26万元，占政府采购支出总额的93.53%，其中：授予小微企业合同金额32.26万元，占政府采购支出总额的93.53%。</w:t>
      </w:r>
    </w:p>
    <w:p w14:paraId="481BCD0E">
      <w:pPr>
        <w:spacing w:line="640" w:lineRule="exact"/>
        <w:ind w:firstLine="640"/>
        <w:jc w:val="both"/>
        <w:outlineLvl w:val="3"/>
      </w:pPr>
      <w:r>
        <w:rPr>
          <w:rFonts w:ascii="楷体_GB2312" w:hAnsi="楷体_GB2312" w:eastAsia="楷体_GB2312"/>
          <w:b/>
          <w:sz w:val="32"/>
        </w:rPr>
        <w:t>（三）国有资产占用情况说明</w:t>
      </w:r>
    </w:p>
    <w:p w14:paraId="02D64FDE">
      <w:pPr>
        <w:spacing w:line="580" w:lineRule="exact"/>
        <w:ind w:firstLine="640"/>
        <w:jc w:val="both"/>
      </w:pPr>
      <w:r>
        <w:rPr>
          <w:rFonts w:ascii="仿宋_GB2312" w:hAnsi="仿宋_GB2312" w:eastAsia="仿宋_GB2312"/>
          <w:b w:val="0"/>
          <w:sz w:val="32"/>
        </w:rPr>
        <w:t>截至2024年12月31日，房屋0.00平方米，价值0.00万元。车辆5辆，价值59.60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6C228FD8">
      <w:pPr>
        <w:spacing w:line="640" w:lineRule="exact"/>
        <w:ind w:firstLine="640"/>
        <w:jc w:val="both"/>
        <w:outlineLvl w:val="2"/>
      </w:pPr>
      <w:r>
        <w:rPr>
          <w:rFonts w:ascii="黑体" w:hAnsi="黑体" w:eastAsia="黑体"/>
          <w:sz w:val="32"/>
        </w:rPr>
        <w:t>十一、预算绩效的情况说明</w:t>
      </w:r>
    </w:p>
    <w:p w14:paraId="1A59C7B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435.77万元，实际执行总额435.76万元；预算绩效评价项目2个，全年预算数17.24万元，全年执行数17.24万元。预算绩效管理取得的成效：完整准确全面贯彻新时代党的治疆方略，提升服务协商能力、履职能力、为建设美好托里贡献政协力量。发现的问题及原因：一是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设置的科学性、合理性有待进一步提高。二是绩效管理专业人员匮乏。绩效管理是一项系统工作，需要专业人才，单位大多是财务人员兼任绩效管理人员，工作难以深入推进。下一步改进措施：一是加强宣传引导，强化绩效观念。加强学习培训，提高单位领导及工作人员的绩效观念。二是加强队伍建设，提高管理水平。积极选派单位分管领导及工作人员参加绩效工作相关培训，不断提高绩效管理水平。具体附整体支出绩效自评表，项目支出绩效自评表和评价报告。</w:t>
      </w:r>
    </w:p>
    <w:p w14:paraId="57C470F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6AFFC56">
        <w:tblPrEx>
          <w:tblCellMar>
            <w:top w:w="0" w:type="dxa"/>
            <w:left w:w="108" w:type="dxa"/>
            <w:bottom w:w="0" w:type="dxa"/>
            <w:right w:w="108" w:type="dxa"/>
          </w:tblCellMar>
        </w:tblPrEx>
        <w:tc>
          <w:tcPr>
            <w:tcW w:w="8840" w:type="dxa"/>
            <w:gridSpan w:val="8"/>
            <w:vAlign w:val="center"/>
          </w:tcPr>
          <w:p w14:paraId="0854FBD3">
            <w:pPr>
              <w:jc w:val="center"/>
            </w:pPr>
            <w:r>
              <w:rPr>
                <w:rFonts w:ascii="宋体" w:hAnsi="宋体" w:eastAsia="宋体"/>
                <w:sz w:val="24"/>
              </w:rPr>
              <w:t>单位整体支出绩效自评表</w:t>
            </w:r>
          </w:p>
        </w:tc>
      </w:tr>
      <w:tr w14:paraId="2A2B8F2C">
        <w:tblPrEx>
          <w:tblCellMar>
            <w:top w:w="0" w:type="dxa"/>
            <w:left w:w="108" w:type="dxa"/>
            <w:bottom w:w="0" w:type="dxa"/>
            <w:right w:w="108" w:type="dxa"/>
          </w:tblCellMar>
        </w:tblPrEx>
        <w:tc>
          <w:tcPr>
            <w:tcW w:w="8840" w:type="dxa"/>
            <w:gridSpan w:val="8"/>
            <w:vAlign w:val="center"/>
          </w:tcPr>
          <w:p w14:paraId="0134ACA2">
            <w:pPr>
              <w:jc w:val="center"/>
            </w:pPr>
            <w:r>
              <w:rPr>
                <w:rFonts w:ascii="宋体" w:hAnsi="宋体" w:eastAsia="宋体"/>
                <w:sz w:val="24"/>
              </w:rPr>
              <w:t>（2024年度）</w:t>
            </w:r>
          </w:p>
        </w:tc>
      </w:tr>
      <w:tr w14:paraId="78EDF41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B45B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775C8">
            <w:pPr>
              <w:jc w:val="center"/>
            </w:pPr>
            <w:r>
              <w:rPr>
                <w:rFonts w:ascii="宋体" w:hAnsi="宋体" w:eastAsia="宋体"/>
                <w:sz w:val="16"/>
              </w:rPr>
              <w:t>中国人民政治协商会议托里县委员会办公室</w:t>
            </w:r>
          </w:p>
        </w:tc>
      </w:tr>
      <w:tr w14:paraId="7805638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9293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091F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2118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9C1A4">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E8B5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EC83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3402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F9E3E">
            <w:pPr>
              <w:jc w:val="center"/>
            </w:pPr>
            <w:r>
              <w:rPr>
                <w:rFonts w:ascii="宋体" w:hAnsi="宋体" w:eastAsia="宋体"/>
                <w:sz w:val="16"/>
              </w:rPr>
              <w:t>得分</w:t>
            </w:r>
          </w:p>
        </w:tc>
      </w:tr>
      <w:tr w14:paraId="34229D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1678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49E2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7ED02">
            <w:pPr>
              <w:jc w:val="center"/>
            </w:pPr>
            <w:r>
              <w:rPr>
                <w:rFonts w:ascii="宋体" w:hAnsi="宋体" w:eastAsia="宋体"/>
                <w:sz w:val="16"/>
              </w:rPr>
              <w:t>407.13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1E2E4">
            <w:pPr>
              <w:jc w:val="center"/>
            </w:pPr>
            <w:r>
              <w:rPr>
                <w:rFonts w:ascii="宋体" w:hAnsi="宋体" w:eastAsia="宋体"/>
                <w:sz w:val="16"/>
              </w:rPr>
              <w:t>435.77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615A3">
            <w:pPr>
              <w:jc w:val="center"/>
            </w:pPr>
            <w:r>
              <w:rPr>
                <w:rFonts w:ascii="宋体" w:hAnsi="宋体" w:eastAsia="宋体"/>
                <w:sz w:val="16"/>
              </w:rPr>
              <w:t>435.76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11F5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C246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921CE">
            <w:pPr>
              <w:jc w:val="center"/>
            </w:pPr>
            <w:r>
              <w:rPr>
                <w:rFonts w:ascii="宋体" w:hAnsi="宋体" w:eastAsia="宋体"/>
                <w:sz w:val="16"/>
              </w:rPr>
              <w:t>10</w:t>
            </w:r>
          </w:p>
        </w:tc>
      </w:tr>
      <w:tr w14:paraId="5617A3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D061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363D3">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B0944">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86E1E">
            <w:pPr>
              <w:jc w:val="center"/>
            </w:pPr>
            <w:r>
              <w:rPr>
                <w:rFonts w:ascii="宋体" w:hAnsi="宋体" w:eastAsia="宋体"/>
                <w:sz w:val="16"/>
              </w:rPr>
              <w:t>14.69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CB6BA">
            <w:pPr>
              <w:jc w:val="center"/>
            </w:pPr>
            <w:r>
              <w:rPr>
                <w:rFonts w:ascii="宋体" w:hAnsi="宋体" w:eastAsia="宋体"/>
                <w:sz w:val="16"/>
              </w:rPr>
              <w:t>14.69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831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5CD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1B1D8">
            <w:pPr>
              <w:jc w:val="center"/>
            </w:pPr>
            <w:r>
              <w:rPr>
                <w:rFonts w:ascii="宋体" w:hAnsi="宋体" w:eastAsia="宋体"/>
                <w:sz w:val="16"/>
              </w:rPr>
              <w:t>-</w:t>
            </w:r>
          </w:p>
        </w:tc>
      </w:tr>
      <w:tr w14:paraId="7768BC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FD03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FC205">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B71F1">
            <w:pPr>
              <w:jc w:val="center"/>
            </w:pPr>
            <w:r>
              <w:rPr>
                <w:rFonts w:ascii="宋体" w:hAnsi="宋体" w:eastAsia="宋体"/>
                <w:sz w:val="16"/>
              </w:rPr>
              <w:t>402.13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D8539">
            <w:pPr>
              <w:jc w:val="center"/>
            </w:pPr>
            <w:r>
              <w:rPr>
                <w:rFonts w:ascii="宋体" w:hAnsi="宋体" w:eastAsia="宋体"/>
                <w:sz w:val="16"/>
              </w:rPr>
              <w:t>421.08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77FBC">
            <w:pPr>
              <w:jc w:val="center"/>
            </w:pPr>
            <w:r>
              <w:rPr>
                <w:rFonts w:ascii="宋体" w:hAnsi="宋体" w:eastAsia="宋体"/>
                <w:sz w:val="16"/>
              </w:rPr>
              <w:t>421.07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1DE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EE00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4C1EF">
            <w:pPr>
              <w:jc w:val="center"/>
            </w:pPr>
            <w:r>
              <w:rPr>
                <w:rFonts w:ascii="宋体" w:hAnsi="宋体" w:eastAsia="宋体"/>
                <w:sz w:val="16"/>
              </w:rPr>
              <w:t>-</w:t>
            </w:r>
          </w:p>
        </w:tc>
      </w:tr>
      <w:tr w14:paraId="64DFBF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70B2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CA07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591E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3343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AACB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6ED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EBC2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FBA37">
            <w:pPr>
              <w:jc w:val="center"/>
            </w:pPr>
            <w:r>
              <w:rPr>
                <w:rFonts w:ascii="宋体" w:hAnsi="宋体" w:eastAsia="宋体"/>
                <w:sz w:val="16"/>
              </w:rPr>
              <w:t>-</w:t>
            </w:r>
          </w:p>
        </w:tc>
      </w:tr>
      <w:tr w14:paraId="7DC5579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19548">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BC333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D20C72">
            <w:pPr>
              <w:jc w:val="center"/>
            </w:pPr>
            <w:r>
              <w:rPr>
                <w:rFonts w:ascii="宋体" w:hAnsi="宋体" w:eastAsia="宋体"/>
                <w:sz w:val="16"/>
              </w:rPr>
              <w:t>实际完成情况</w:t>
            </w:r>
          </w:p>
        </w:tc>
      </w:tr>
      <w:tr w14:paraId="01C86A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055E0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E84186">
            <w:pPr>
              <w:jc w:val="both"/>
            </w:pPr>
            <w:r>
              <w:rPr>
                <w:rFonts w:ascii="宋体" w:hAnsi="宋体" w:eastAsia="宋体"/>
                <w:sz w:val="16"/>
              </w:rPr>
              <w:t>完整准确全面贯彻新时代党的治疆方略，提升服务协商能力，履职能力。召开中国人民政治协商会议托里县第十六届委员会第四次会议、召开托里县政协季度协商会议4次、托里县政协常委会会议4次、政协党组会议召开12次等重大活动的协调保障工作；每季度按照协商计划围绕县委中心工作开展协商，持续做好社情民意信息工作保障一年10篇以上，加强政协机关建设，开展政协委员培训一年6次，发挥政协委员工作站作用，为建设更加美好的新托里贡献政协力量。</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20C986">
            <w:pPr>
              <w:jc w:val="both"/>
            </w:pPr>
            <w:r>
              <w:rPr>
                <w:rFonts w:ascii="宋体" w:hAnsi="宋体" w:eastAsia="宋体"/>
                <w:sz w:val="16"/>
              </w:rPr>
              <w:t>完整准确全面贯彻新时代党的治疆方略，提升服务协商能力、履职能力。已完成召开中国人民政治协商会议托里县第十六届委员会第四次会议、召开托里县政协季度协商会议4次、托里县政协常委会会议4次、发挥政协委员工作作用托里县工作委员会党组会议12次、每季度按照协商计划围绕县委中心工作开展协商，持续做好社情民意信息工作保障一年11篇、配合地区政协开展委员集中培训6次、为建设美好托里贡献政协力量。</w:t>
            </w:r>
          </w:p>
        </w:tc>
      </w:tr>
      <w:tr w14:paraId="1CDF339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8DBC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671F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4C53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F85B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1BEF1">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4850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2735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8B0EA">
            <w:pPr>
              <w:jc w:val="center"/>
            </w:pPr>
            <w:r>
              <w:rPr>
                <w:rFonts w:ascii="宋体" w:hAnsi="宋体" w:eastAsia="宋体"/>
                <w:sz w:val="16"/>
              </w:rPr>
              <w:t>得分</w:t>
            </w:r>
          </w:p>
        </w:tc>
      </w:tr>
      <w:tr w14:paraId="724E6EC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EA35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7D7E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F5A85">
            <w:pPr>
              <w:jc w:val="center"/>
            </w:pPr>
            <w:r>
              <w:rPr>
                <w:rFonts w:ascii="宋体" w:hAnsi="宋体" w:eastAsia="宋体"/>
                <w:sz w:val="16"/>
              </w:rPr>
              <w:t>召开中国人民政治协商会议托里县第十六届委员会第四次会议次数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83562">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1D998">
            <w:pPr>
              <w:jc w:val="center"/>
            </w:pPr>
            <w:r>
              <w:rPr>
                <w:rFonts w:ascii="宋体" w:hAnsi="宋体" w:eastAsia="宋体"/>
                <w:sz w:val="16"/>
              </w:rPr>
              <w:t>中国人民政治协商会议托里县委员会办公室工作总结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1EF0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BB221">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76D56">
            <w:pPr>
              <w:jc w:val="center"/>
            </w:pPr>
            <w:r>
              <w:rPr>
                <w:rFonts w:ascii="宋体" w:hAnsi="宋体" w:eastAsia="宋体"/>
                <w:sz w:val="16"/>
              </w:rPr>
              <w:t>15</w:t>
            </w:r>
          </w:p>
        </w:tc>
      </w:tr>
      <w:tr w14:paraId="560A26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C28CA6">
            <w:bookmarkStart w:id="0" w:name="_GoBack" w:colFirst="4" w:colLast="4"/>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6D3F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D8C6A">
            <w:pPr>
              <w:jc w:val="center"/>
            </w:pPr>
            <w:r>
              <w:rPr>
                <w:rFonts w:ascii="宋体" w:hAnsi="宋体" w:eastAsia="宋体"/>
                <w:sz w:val="16"/>
              </w:rPr>
              <w:t>召开托里县政协</w:t>
            </w:r>
            <w:r>
              <w:rPr>
                <w:rFonts w:hint="eastAsia" w:ascii="宋体" w:hAnsi="宋体"/>
                <w:sz w:val="16"/>
                <w:lang w:eastAsia="zh-CN"/>
              </w:rPr>
              <w:t>常委会会议</w:t>
            </w:r>
            <w:r>
              <w:rPr>
                <w:rFonts w:ascii="宋体" w:hAnsi="宋体" w:eastAsia="宋体"/>
                <w:sz w:val="16"/>
              </w:rPr>
              <w:t>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A6068">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4D866">
            <w:pPr>
              <w:jc w:val="center"/>
            </w:pPr>
            <w:r>
              <w:rPr>
                <w:rFonts w:ascii="宋体" w:hAnsi="宋体" w:eastAsia="宋体"/>
                <w:sz w:val="16"/>
              </w:rPr>
              <w:t>中国人民政治协商会议托里县委员会办公室工作总结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FA84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C4CAF">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44850">
            <w:pPr>
              <w:jc w:val="center"/>
            </w:pPr>
            <w:r>
              <w:rPr>
                <w:rFonts w:ascii="宋体" w:hAnsi="宋体" w:eastAsia="宋体"/>
                <w:sz w:val="16"/>
              </w:rPr>
              <w:t>15</w:t>
            </w:r>
          </w:p>
        </w:tc>
      </w:tr>
      <w:tr w14:paraId="349D0A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9EB16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7924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F304A">
            <w:pPr>
              <w:jc w:val="center"/>
            </w:pPr>
            <w:r>
              <w:rPr>
                <w:rFonts w:ascii="宋体" w:hAnsi="宋体" w:eastAsia="宋体"/>
                <w:sz w:val="16"/>
              </w:rPr>
              <w:t>召开托里县政协季度协商会议次数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780BA">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B7D1C">
            <w:pPr>
              <w:jc w:val="center"/>
            </w:pPr>
            <w:r>
              <w:rPr>
                <w:rFonts w:ascii="宋体" w:hAnsi="宋体" w:eastAsia="宋体"/>
                <w:sz w:val="16"/>
              </w:rPr>
              <w:t>中国人民政治协商会议托里县委员会办公室工作总结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D135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9C298">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C14CC">
            <w:pPr>
              <w:jc w:val="center"/>
            </w:pPr>
            <w:r>
              <w:rPr>
                <w:rFonts w:ascii="宋体" w:hAnsi="宋体" w:eastAsia="宋体"/>
                <w:sz w:val="16"/>
              </w:rPr>
              <w:t>15</w:t>
            </w:r>
          </w:p>
        </w:tc>
      </w:tr>
      <w:tr w14:paraId="0DCB34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6C0B5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DB8A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F5EA4">
            <w:pPr>
              <w:jc w:val="center"/>
            </w:pPr>
            <w:r>
              <w:rPr>
                <w:rFonts w:ascii="宋体" w:hAnsi="宋体" w:eastAsia="宋体"/>
                <w:sz w:val="16"/>
              </w:rPr>
              <w:t>召开托里县政协工作委员会党组会议次数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B8B1D">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1D8A2">
            <w:pPr>
              <w:jc w:val="center"/>
            </w:pPr>
            <w:r>
              <w:rPr>
                <w:rFonts w:ascii="宋体" w:hAnsi="宋体" w:eastAsia="宋体"/>
                <w:sz w:val="16"/>
              </w:rPr>
              <w:t>中国人民政治协商会议托里县委员会办公室工作总结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7E32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5655B">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A9074">
            <w:pPr>
              <w:jc w:val="center"/>
            </w:pPr>
            <w:r>
              <w:rPr>
                <w:rFonts w:ascii="宋体" w:hAnsi="宋体" w:eastAsia="宋体"/>
                <w:sz w:val="16"/>
              </w:rPr>
              <w:t>15</w:t>
            </w:r>
          </w:p>
        </w:tc>
      </w:tr>
      <w:tr w14:paraId="09583A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AD5F3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68C2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15199">
            <w:pPr>
              <w:jc w:val="center"/>
            </w:pPr>
            <w:r>
              <w:rPr>
                <w:rFonts w:ascii="宋体" w:hAnsi="宋体" w:eastAsia="宋体"/>
                <w:sz w:val="16"/>
              </w:rPr>
              <w:t>托里县政协开展委员集中培训次数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BD6AE">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95386">
            <w:pPr>
              <w:jc w:val="center"/>
            </w:pPr>
            <w:r>
              <w:rPr>
                <w:rFonts w:ascii="宋体" w:hAnsi="宋体" w:eastAsia="宋体"/>
                <w:sz w:val="16"/>
              </w:rPr>
              <w:t>中国人民政治协商会议托里县委员会办公室工作总结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49FF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559A3">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7167E">
            <w:pPr>
              <w:jc w:val="center"/>
            </w:pPr>
            <w:r>
              <w:rPr>
                <w:rFonts w:ascii="宋体" w:hAnsi="宋体" w:eastAsia="宋体"/>
                <w:sz w:val="16"/>
              </w:rPr>
              <w:t>15</w:t>
            </w:r>
          </w:p>
        </w:tc>
      </w:tr>
      <w:tr w14:paraId="1DED9A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30847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7AA2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CEAF4">
            <w:pPr>
              <w:jc w:val="center"/>
            </w:pPr>
            <w:r>
              <w:rPr>
                <w:rFonts w:ascii="宋体" w:hAnsi="宋体" w:eastAsia="宋体"/>
                <w:sz w:val="16"/>
              </w:rPr>
              <w:t>收集社情民意数量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D51F0">
            <w:pPr>
              <w:jc w:val="center"/>
            </w:pPr>
            <w:r>
              <w:rPr>
                <w:rFonts w:ascii="宋体" w:hAnsi="宋体" w:eastAsia="宋体"/>
                <w:sz w:val="16"/>
              </w:rPr>
              <w:t>&gt;=10篇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A4067">
            <w:pPr>
              <w:jc w:val="center"/>
            </w:pPr>
            <w:r>
              <w:rPr>
                <w:rFonts w:ascii="宋体" w:hAnsi="宋体" w:eastAsia="宋体"/>
                <w:sz w:val="16"/>
              </w:rPr>
              <w:t>中国人民政治协商会议托里县委员会办公室工作总结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C5E4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69A2E">
            <w:pPr>
              <w:jc w:val="center"/>
            </w:pPr>
            <w:r>
              <w:rPr>
                <w:rFonts w:ascii="宋体" w:hAnsi="宋体" w:eastAsia="宋体"/>
                <w:sz w:val="16"/>
              </w:rPr>
              <w:t>&gt;=11篇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7A624">
            <w:pPr>
              <w:jc w:val="center"/>
            </w:pPr>
            <w:r>
              <w:rPr>
                <w:rFonts w:ascii="宋体" w:hAnsi="宋体" w:eastAsia="宋体"/>
                <w:sz w:val="16"/>
              </w:rPr>
              <w:t>15</w:t>
            </w:r>
          </w:p>
        </w:tc>
      </w:tr>
      <w:bookmarkEnd w:id="0"/>
    </w:tbl>
    <w:p w14:paraId="3F1716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770"/>
      </w:tblGrid>
      <w:tr w14:paraId="13DEE001">
        <w:tblPrEx>
          <w:tblCellMar>
            <w:top w:w="0" w:type="dxa"/>
            <w:left w:w="108" w:type="dxa"/>
            <w:bottom w:w="0" w:type="dxa"/>
            <w:right w:w="108" w:type="dxa"/>
          </w:tblCellMar>
        </w:tblPrEx>
        <w:tc>
          <w:tcPr>
            <w:tcW w:w="9050" w:type="dxa"/>
            <w:gridSpan w:val="14"/>
            <w:vAlign w:val="center"/>
          </w:tcPr>
          <w:p w14:paraId="352D1A98">
            <w:pPr>
              <w:jc w:val="center"/>
            </w:pPr>
            <w:r>
              <w:rPr>
                <w:rFonts w:ascii="宋体" w:hAnsi="宋体" w:eastAsia="宋体"/>
                <w:sz w:val="24"/>
              </w:rPr>
              <w:t>项目支出绩效自评表</w:t>
            </w:r>
          </w:p>
        </w:tc>
      </w:tr>
      <w:tr w14:paraId="37E8E2FC">
        <w:tblPrEx>
          <w:tblCellMar>
            <w:top w:w="0" w:type="dxa"/>
            <w:left w:w="108" w:type="dxa"/>
            <w:bottom w:w="0" w:type="dxa"/>
            <w:right w:w="108" w:type="dxa"/>
          </w:tblCellMar>
        </w:tblPrEx>
        <w:tc>
          <w:tcPr>
            <w:tcW w:w="9050" w:type="dxa"/>
            <w:gridSpan w:val="14"/>
            <w:vAlign w:val="center"/>
          </w:tcPr>
          <w:p w14:paraId="4CF2B795">
            <w:pPr>
              <w:jc w:val="center"/>
            </w:pPr>
            <w:r>
              <w:rPr>
                <w:rFonts w:ascii="宋体" w:hAnsi="宋体" w:eastAsia="宋体"/>
                <w:sz w:val="24"/>
              </w:rPr>
              <w:t>(2024年度)</w:t>
            </w:r>
          </w:p>
        </w:tc>
      </w:tr>
      <w:tr w14:paraId="6EBBC2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F9CF">
            <w:pPr>
              <w:jc w:val="center"/>
            </w:pPr>
            <w:r>
              <w:rPr>
                <w:rFonts w:ascii="宋体" w:hAnsi="宋体" w:eastAsia="宋体"/>
                <w:sz w:val="16"/>
              </w:rPr>
              <w:t>项目名称</w:t>
            </w:r>
          </w:p>
        </w:tc>
        <w:tc>
          <w:tcPr>
            <w:tcW w:w="841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D03736">
            <w:pPr>
              <w:jc w:val="center"/>
            </w:pPr>
            <w:r>
              <w:rPr>
                <w:rFonts w:ascii="宋体" w:hAnsi="宋体" w:eastAsia="宋体"/>
                <w:sz w:val="16"/>
              </w:rPr>
              <w:t>2024年度基层政协补助经费</w:t>
            </w:r>
          </w:p>
        </w:tc>
      </w:tr>
      <w:tr w14:paraId="7CA374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36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593935">
            <w:pPr>
              <w:jc w:val="center"/>
            </w:pPr>
            <w:r>
              <w:rPr>
                <w:rFonts w:ascii="宋体" w:hAnsi="宋体" w:eastAsia="宋体"/>
                <w:sz w:val="16"/>
              </w:rPr>
              <w:t>中国人民政治协商会议托里县委员会办公室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9264">
            <w:pPr>
              <w:jc w:val="center"/>
            </w:pPr>
            <w:r>
              <w:rPr>
                <w:rFonts w:ascii="宋体" w:hAnsi="宋体" w:eastAsia="宋体"/>
                <w:sz w:val="16"/>
              </w:rPr>
              <w:t>实施单位</w:t>
            </w:r>
          </w:p>
        </w:tc>
        <w:tc>
          <w:tcPr>
            <w:tcW w:w="336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0CB44E">
            <w:pPr>
              <w:jc w:val="center"/>
            </w:pPr>
            <w:r>
              <w:rPr>
                <w:rFonts w:ascii="宋体" w:hAnsi="宋体" w:eastAsia="宋体"/>
                <w:sz w:val="16"/>
              </w:rPr>
              <w:t>中国人民政治协商会议托里县委员会办公室</w:t>
            </w:r>
          </w:p>
        </w:tc>
      </w:tr>
      <w:tr w14:paraId="40048C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BAFA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FAD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E16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1D4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ACC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EFF49">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75228">
            <w:pPr>
              <w:jc w:val="center"/>
            </w:pPr>
            <w:r>
              <w:rPr>
                <w:rFonts w:ascii="宋体" w:hAnsi="宋体" w:eastAsia="宋体"/>
                <w:sz w:val="16"/>
              </w:rPr>
              <w:t>执行率</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789A71D1">
            <w:pPr>
              <w:jc w:val="center"/>
            </w:pPr>
            <w:r>
              <w:rPr>
                <w:rFonts w:ascii="宋体" w:hAnsi="宋体" w:eastAsia="宋体"/>
                <w:sz w:val="16"/>
              </w:rPr>
              <w:t>得分</w:t>
            </w:r>
          </w:p>
        </w:tc>
      </w:tr>
      <w:tr w14:paraId="64DFF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EE7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DAF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65AB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DD75C">
            <w:pPr>
              <w:jc w:val="center"/>
            </w:pPr>
            <w:r>
              <w:rPr>
                <w:rFonts w:ascii="宋体" w:hAnsi="宋体" w:eastAsia="宋体"/>
                <w:sz w:val="16"/>
              </w:rPr>
              <w:t>14.69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D09AE">
            <w:pPr>
              <w:jc w:val="center"/>
            </w:pPr>
            <w:r>
              <w:rPr>
                <w:rFonts w:ascii="宋体" w:hAnsi="宋体" w:eastAsia="宋体"/>
                <w:sz w:val="16"/>
              </w:rPr>
              <w:t>14.69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7CDE6">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371B5">
            <w:pPr>
              <w:jc w:val="center"/>
            </w:pPr>
            <w:r>
              <w:rPr>
                <w:rFonts w:ascii="宋体" w:hAnsi="宋体" w:eastAsia="宋体"/>
                <w:sz w:val="16"/>
              </w:rPr>
              <w:t>100.00%</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054900B2">
            <w:pPr>
              <w:jc w:val="center"/>
            </w:pPr>
            <w:r>
              <w:rPr>
                <w:rFonts w:ascii="宋体" w:hAnsi="宋体" w:eastAsia="宋体"/>
                <w:sz w:val="16"/>
              </w:rPr>
              <w:t>10.00</w:t>
            </w:r>
          </w:p>
        </w:tc>
      </w:tr>
      <w:tr w14:paraId="07AA4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505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D27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ECAD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F81F3">
            <w:pPr>
              <w:jc w:val="center"/>
            </w:pPr>
            <w:r>
              <w:rPr>
                <w:rFonts w:ascii="宋体" w:hAnsi="宋体" w:eastAsia="宋体"/>
                <w:sz w:val="16"/>
              </w:rPr>
              <w:t>14.69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E2DC9">
            <w:pPr>
              <w:jc w:val="center"/>
            </w:pPr>
            <w:r>
              <w:rPr>
                <w:rFonts w:ascii="宋体" w:hAnsi="宋体" w:eastAsia="宋体"/>
                <w:sz w:val="16"/>
              </w:rPr>
              <w:t>14.69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3D63D">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C2B97">
            <w:pPr>
              <w:jc w:val="center"/>
            </w:pPr>
            <w:r>
              <w:rPr>
                <w:rFonts w:ascii="宋体" w:hAnsi="宋体" w:eastAsia="宋体"/>
                <w:sz w:val="16"/>
              </w:rPr>
              <w:t>—</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5D53BD2B">
            <w:pPr>
              <w:jc w:val="center"/>
            </w:pPr>
            <w:r>
              <w:rPr>
                <w:rFonts w:ascii="宋体" w:hAnsi="宋体" w:eastAsia="宋体"/>
                <w:sz w:val="16"/>
              </w:rPr>
              <w:t>—</w:t>
            </w:r>
          </w:p>
        </w:tc>
      </w:tr>
      <w:tr w14:paraId="7B812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395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D4C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F27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BB3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46C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AC6ED">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81DB4">
            <w:pPr>
              <w:jc w:val="center"/>
            </w:pPr>
            <w:r>
              <w:rPr>
                <w:rFonts w:ascii="宋体" w:hAnsi="宋体" w:eastAsia="宋体"/>
                <w:sz w:val="16"/>
              </w:rPr>
              <w:t>—</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733F6B9B">
            <w:pPr>
              <w:jc w:val="center"/>
            </w:pPr>
            <w:r>
              <w:rPr>
                <w:rFonts w:ascii="宋体" w:hAnsi="宋体" w:eastAsia="宋体"/>
                <w:sz w:val="16"/>
              </w:rPr>
              <w:t>—</w:t>
            </w:r>
          </w:p>
        </w:tc>
      </w:tr>
      <w:tr w14:paraId="0CB1C4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DB78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4FAA8">
            <w:pPr>
              <w:jc w:val="center"/>
            </w:pPr>
            <w:r>
              <w:rPr>
                <w:rFonts w:ascii="宋体" w:hAnsi="宋体" w:eastAsia="宋体"/>
                <w:sz w:val="16"/>
              </w:rPr>
              <w:t>预期目标</w:t>
            </w:r>
          </w:p>
        </w:tc>
        <w:tc>
          <w:tcPr>
            <w:tcW w:w="39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9E4F39">
            <w:pPr>
              <w:jc w:val="center"/>
            </w:pPr>
            <w:r>
              <w:rPr>
                <w:rFonts w:ascii="宋体" w:hAnsi="宋体" w:eastAsia="宋体"/>
                <w:sz w:val="16"/>
              </w:rPr>
              <w:t>实际完成情况</w:t>
            </w:r>
          </w:p>
        </w:tc>
      </w:tr>
      <w:tr w14:paraId="3FDD6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E8F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FFA55">
            <w:pPr>
              <w:jc w:val="both"/>
            </w:pPr>
            <w:r>
              <w:rPr>
                <w:rFonts w:ascii="宋体" w:hAnsi="宋体" w:eastAsia="宋体"/>
                <w:sz w:val="16"/>
              </w:rPr>
              <w:t>2024年基层政协补助经费项目资金14.69万元，用于保障委员活动开展5次，保障委员参加69人，提高政治协商能力有效提高、进一步补充基层政协经费不足，基层政协补助经费主要用于组织政协委员开展调研视察、参政议政等活动，加强基层政协工作，积极开展政协委员的各项活动，进一步激励政协委员担当作为，为更好地开展政协工作奠定了良好的基础、加强基层政协工作，政协委员满意度95%。</w:t>
            </w:r>
          </w:p>
        </w:tc>
        <w:tc>
          <w:tcPr>
            <w:tcW w:w="39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CFCEAF">
            <w:pPr>
              <w:jc w:val="both"/>
            </w:pPr>
            <w:r>
              <w:rPr>
                <w:rFonts w:ascii="宋体" w:hAnsi="宋体" w:eastAsia="宋体"/>
                <w:sz w:val="16"/>
              </w:rPr>
              <w:t>2024年基层政协补助经费项目资金14.69万元，用于保障委员活动开展5次，采购办公用品、办公耗材，政协委员远程视频会议维护费、政协委员工作站建设费，提高政治协商能力有效提高、进一步补充基层政协经费不足，基层政协补助经费主要用于组织政协委员开展调研视察、参政议政等活动，加强基层政协工作，积极开展政协委员的各项活动，进一步激励政协委员担当作为，为更好地开展政协工作奠定了良好的基础、加强基层政协工作。</w:t>
            </w:r>
          </w:p>
        </w:tc>
      </w:tr>
      <w:tr w14:paraId="15EC59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916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FD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8F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36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FB8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01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3E0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96B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387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54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FD5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860B">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3667B5">
            <w:pPr>
              <w:jc w:val="center"/>
            </w:pPr>
            <w:r>
              <w:rPr>
                <w:rFonts w:ascii="宋体" w:hAnsi="宋体" w:eastAsia="宋体"/>
                <w:sz w:val="16"/>
              </w:rPr>
              <w:t>指标得分</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79879603">
            <w:pPr>
              <w:jc w:val="center"/>
            </w:pPr>
            <w:r>
              <w:rPr>
                <w:rFonts w:ascii="宋体" w:hAnsi="宋体" w:eastAsia="宋体"/>
                <w:sz w:val="16"/>
              </w:rPr>
              <w:t>偏差原因分析及改进措施</w:t>
            </w:r>
          </w:p>
        </w:tc>
      </w:tr>
      <w:tr w14:paraId="190556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D50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DEA4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087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2906">
            <w:pPr>
              <w:jc w:val="center"/>
            </w:pPr>
            <w:r>
              <w:rPr>
                <w:rFonts w:ascii="宋体" w:hAnsi="宋体" w:eastAsia="宋体"/>
                <w:sz w:val="16"/>
              </w:rPr>
              <w:t>保障委员活动开展次数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7794">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E3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C8D2">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AB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A5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910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BFE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DC8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A03301">
            <w:pPr>
              <w:jc w:val="center"/>
            </w:pPr>
            <w:r>
              <w:rPr>
                <w:rFonts w:ascii="宋体" w:hAnsi="宋体" w:eastAsia="宋体"/>
                <w:sz w:val="16"/>
              </w:rPr>
              <w:t>8</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0424F352">
            <w:pPr>
              <w:jc w:val="center"/>
            </w:pPr>
          </w:p>
        </w:tc>
      </w:tr>
      <w:tr w14:paraId="72512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97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181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58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556C">
            <w:pPr>
              <w:jc w:val="center"/>
            </w:pPr>
            <w:r>
              <w:rPr>
                <w:rFonts w:ascii="宋体" w:hAnsi="宋体" w:eastAsia="宋体"/>
                <w:sz w:val="16"/>
              </w:rPr>
              <w:t>保障委员参加人数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84AD">
            <w:pPr>
              <w:jc w:val="center"/>
            </w:pPr>
            <w:r>
              <w:rPr>
                <w:rFonts w:ascii="宋体" w:hAnsi="宋体" w:eastAsia="宋体"/>
                <w:sz w:val="16"/>
              </w:rPr>
              <w:t>&gt;=69人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11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5145">
            <w:pPr>
              <w:jc w:val="center"/>
            </w:pPr>
            <w:r>
              <w:rPr>
                <w:rFonts w:ascii="宋体" w:hAnsi="宋体" w:eastAsia="宋体"/>
                <w:sz w:val="16"/>
              </w:rPr>
              <w: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372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1E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3979">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3957">
            <w:pPr>
              <w:jc w:val="center"/>
            </w:pPr>
            <w:r>
              <w:rPr>
                <w:rFonts w:ascii="宋体" w:hAnsi="宋体" w:eastAsia="宋体"/>
                <w:sz w:val="16"/>
              </w:rPr>
              <w: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ACF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66DD3C">
            <w:pPr>
              <w:jc w:val="center"/>
            </w:pPr>
            <w:r>
              <w:rPr>
                <w:rFonts w:ascii="宋体" w:hAnsi="宋体" w:eastAsia="宋体"/>
                <w:sz w:val="16"/>
              </w:rPr>
              <w:t>8</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44259792">
            <w:pPr>
              <w:jc w:val="center"/>
            </w:pPr>
          </w:p>
        </w:tc>
      </w:tr>
      <w:tr w14:paraId="33739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BF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582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58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9CFC">
            <w:pPr>
              <w:jc w:val="center"/>
            </w:pPr>
            <w:r>
              <w:rPr>
                <w:rFonts w:ascii="宋体" w:hAnsi="宋体" w:eastAsia="宋体"/>
                <w:sz w:val="16"/>
              </w:rPr>
              <w:t>活动举办成功率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82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2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BF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60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5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88B8">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35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7F0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17157F">
            <w:pPr>
              <w:jc w:val="center"/>
            </w:pPr>
            <w:r>
              <w:rPr>
                <w:rFonts w:ascii="宋体" w:hAnsi="宋体" w:eastAsia="宋体"/>
                <w:sz w:val="16"/>
              </w:rPr>
              <w:t>8</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46C7AD0C">
            <w:pPr>
              <w:jc w:val="center"/>
            </w:pPr>
          </w:p>
        </w:tc>
      </w:tr>
      <w:tr w14:paraId="37B5B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718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345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3A3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F7777">
            <w:pPr>
              <w:jc w:val="center"/>
            </w:pPr>
            <w:r>
              <w:rPr>
                <w:rFonts w:ascii="宋体" w:hAnsi="宋体" w:eastAsia="宋体"/>
                <w:sz w:val="16"/>
              </w:rPr>
              <w:t>经费使用及时率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0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36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FD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95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1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88546">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2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24C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F31FD6">
            <w:pPr>
              <w:jc w:val="center"/>
            </w:pPr>
            <w:r>
              <w:rPr>
                <w:rFonts w:ascii="宋体" w:hAnsi="宋体" w:eastAsia="宋体"/>
                <w:sz w:val="16"/>
              </w:rPr>
              <w:t>8</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0D31ACBF">
            <w:pPr>
              <w:jc w:val="center"/>
            </w:pPr>
          </w:p>
        </w:tc>
      </w:tr>
      <w:tr w14:paraId="109956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CD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B0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A0F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113A">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BB96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19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650A">
            <w:pPr>
              <w:jc w:val="center"/>
            </w:pPr>
            <w:r>
              <w:rPr>
                <w:rFonts w:ascii="宋体" w:hAnsi="宋体" w:eastAsia="宋体"/>
                <w:sz w:val="16"/>
              </w:rPr>
              <w:t>2023年3月31日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7D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34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90C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A96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1E9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8D1E23">
            <w:pPr>
              <w:jc w:val="center"/>
            </w:pPr>
            <w:r>
              <w:rPr>
                <w:rFonts w:ascii="宋体" w:hAnsi="宋体" w:eastAsia="宋体"/>
                <w:sz w:val="16"/>
              </w:rPr>
              <w:t>8</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2CB1A71E">
            <w:pPr>
              <w:jc w:val="center"/>
            </w:pPr>
          </w:p>
        </w:tc>
      </w:tr>
      <w:tr w14:paraId="77603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F87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02D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0AC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151D">
            <w:pPr>
              <w:jc w:val="center"/>
            </w:pPr>
            <w:r>
              <w:rPr>
                <w:rFonts w:ascii="宋体" w:hAnsi="宋体" w:eastAsia="宋体"/>
                <w:sz w:val="16"/>
              </w:rPr>
              <w:t>活动经费平均标准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9469">
            <w:pPr>
              <w:jc w:val="center"/>
            </w:pPr>
            <w:r>
              <w:rPr>
                <w:rFonts w:ascii="宋体" w:hAnsi="宋体" w:eastAsia="宋体"/>
                <w:sz w:val="16"/>
              </w:rPr>
              <w:t>&lt;=1万元/次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8D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5B2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AE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3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5251">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7D9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8AC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0EC90F">
            <w:pPr>
              <w:jc w:val="center"/>
            </w:pPr>
            <w:r>
              <w:rPr>
                <w:rFonts w:ascii="宋体" w:hAnsi="宋体" w:eastAsia="宋体"/>
                <w:sz w:val="16"/>
              </w:rPr>
              <w:t>7</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4355176D">
            <w:pPr>
              <w:jc w:val="center"/>
            </w:pPr>
          </w:p>
        </w:tc>
      </w:tr>
      <w:tr w14:paraId="59B63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8D1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FC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A3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F34D">
            <w:pPr>
              <w:jc w:val="center"/>
            </w:pPr>
            <w:r>
              <w:rPr>
                <w:rFonts w:ascii="宋体" w:hAnsi="宋体" w:eastAsia="宋体"/>
                <w:sz w:val="16"/>
              </w:rPr>
              <w:t>政协视联网维护费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75D4">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D6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64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0A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D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B42C">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207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017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D8BC87">
            <w:pPr>
              <w:jc w:val="center"/>
            </w:pPr>
            <w:r>
              <w:rPr>
                <w:rFonts w:ascii="宋体" w:hAnsi="宋体" w:eastAsia="宋体"/>
                <w:sz w:val="16"/>
              </w:rPr>
              <w:t>7</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6801F7C9">
            <w:pPr>
              <w:jc w:val="center"/>
            </w:pPr>
          </w:p>
        </w:tc>
      </w:tr>
      <w:tr w14:paraId="0A0B3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A1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1B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728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E979">
            <w:pPr>
              <w:jc w:val="center"/>
            </w:pPr>
            <w:r>
              <w:rPr>
                <w:rFonts w:ascii="宋体" w:hAnsi="宋体" w:eastAsia="宋体"/>
                <w:sz w:val="16"/>
              </w:rPr>
              <w:t>工作站建设费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7AD0">
            <w:pPr>
              <w:jc w:val="center"/>
            </w:pPr>
            <w:r>
              <w:rPr>
                <w:rFonts w:ascii="宋体" w:hAnsi="宋体" w:eastAsia="宋体"/>
                <w:sz w:val="16"/>
              </w:rPr>
              <w:t>=4.69万元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7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C0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64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4C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BC3B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AB47">
            <w:pPr>
              <w:jc w:val="center"/>
            </w:pPr>
            <w:r>
              <w:rPr>
                <w:rFonts w:ascii="宋体" w:hAnsi="宋体" w:eastAsia="宋体"/>
                <w:sz w:val="16"/>
              </w:rPr>
              <w:t>=4.69万元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707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AF4471">
            <w:pPr>
              <w:jc w:val="center"/>
            </w:pPr>
            <w:r>
              <w:rPr>
                <w:rFonts w:ascii="宋体" w:hAnsi="宋体" w:eastAsia="宋体"/>
                <w:sz w:val="16"/>
              </w:rPr>
              <w:t>6</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1228F8AE">
            <w:pPr>
              <w:jc w:val="center"/>
            </w:pPr>
          </w:p>
        </w:tc>
      </w:tr>
      <w:tr w14:paraId="1C500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F12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76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B9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E040">
            <w:pPr>
              <w:jc w:val="center"/>
            </w:pPr>
            <w:r>
              <w:rPr>
                <w:rFonts w:ascii="宋体" w:hAnsi="宋体" w:eastAsia="宋体"/>
                <w:sz w:val="16"/>
              </w:rPr>
              <w:t>提高政治协商能力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7DF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4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F57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81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11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740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F7BA">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762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AC932C">
            <w:pPr>
              <w:jc w:val="center"/>
            </w:pPr>
            <w:r>
              <w:rPr>
                <w:rFonts w:ascii="宋体" w:hAnsi="宋体" w:eastAsia="宋体"/>
                <w:sz w:val="16"/>
              </w:rPr>
              <w:t>20</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48089658">
            <w:pPr>
              <w:jc w:val="center"/>
            </w:pPr>
          </w:p>
        </w:tc>
      </w:tr>
      <w:tr w14:paraId="6A436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F5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A5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92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FD96">
            <w:pPr>
              <w:jc w:val="center"/>
            </w:pPr>
            <w:r>
              <w:rPr>
                <w:rFonts w:ascii="宋体" w:hAnsi="宋体" w:eastAsia="宋体"/>
                <w:sz w:val="16"/>
              </w:rPr>
              <w:t>政协委员满意度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97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F46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90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83E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14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B9C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C3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8AA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8F0F0B">
            <w:pPr>
              <w:jc w:val="center"/>
            </w:pPr>
            <w:r>
              <w:rPr>
                <w:rFonts w:ascii="宋体" w:hAnsi="宋体" w:eastAsia="宋体"/>
                <w:sz w:val="16"/>
              </w:rPr>
              <w:t>10</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20FE2F88">
            <w:pPr>
              <w:jc w:val="center"/>
            </w:pPr>
          </w:p>
        </w:tc>
      </w:tr>
      <w:tr w14:paraId="1AB55C4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2D1C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1246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6499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094D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F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85F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9550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A611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E56DF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A98783">
            <w:pPr>
              <w:jc w:val="center"/>
            </w:pPr>
            <w:r>
              <w:rPr>
                <w:rFonts w:ascii="宋体" w:hAnsi="宋体" w:eastAsia="宋体"/>
                <w:sz w:val="16"/>
              </w:rPr>
              <w:t>100.00分</w:t>
            </w:r>
          </w:p>
        </w:tc>
        <w:tc>
          <w:tcPr>
            <w:tcW w:w="770" w:type="dxa"/>
            <w:tcBorders>
              <w:top w:val="single" w:color="auto" w:sz="10" w:space="0"/>
              <w:left w:val="single" w:color="auto" w:sz="10" w:space="0"/>
              <w:bottom w:val="single" w:color="auto" w:sz="10" w:space="0"/>
              <w:right w:val="single" w:color="auto" w:sz="10" w:space="0"/>
              <w:insideV w:val="single" w:sz="10" w:space="0"/>
            </w:tcBorders>
          </w:tcPr>
          <w:p w14:paraId="052CE030"/>
        </w:tc>
      </w:tr>
    </w:tbl>
    <w:p w14:paraId="5049DBD0">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21"/>
        <w:gridCol w:w="856"/>
        <w:gridCol w:w="603"/>
        <w:gridCol w:w="603"/>
        <w:gridCol w:w="612"/>
        <w:gridCol w:w="603"/>
        <w:gridCol w:w="612"/>
        <w:gridCol w:w="776"/>
        <w:gridCol w:w="621"/>
        <w:gridCol w:w="696"/>
        <w:gridCol w:w="630"/>
      </w:tblGrid>
      <w:tr w14:paraId="53C8B4DC">
        <w:tblPrEx>
          <w:tblCellMar>
            <w:top w:w="0" w:type="dxa"/>
            <w:left w:w="108" w:type="dxa"/>
            <w:bottom w:w="0" w:type="dxa"/>
            <w:right w:w="108" w:type="dxa"/>
          </w:tblCellMar>
        </w:tblPrEx>
        <w:tc>
          <w:tcPr>
            <w:tcW w:w="8848" w:type="dxa"/>
            <w:gridSpan w:val="14"/>
            <w:vAlign w:val="center"/>
          </w:tcPr>
          <w:p w14:paraId="349F3784">
            <w:pPr>
              <w:jc w:val="center"/>
            </w:pPr>
            <w:r>
              <w:rPr>
                <w:rFonts w:ascii="宋体" w:hAnsi="宋体" w:eastAsia="宋体"/>
                <w:sz w:val="24"/>
              </w:rPr>
              <w:t>项目支出绩效自评表</w:t>
            </w:r>
          </w:p>
        </w:tc>
      </w:tr>
      <w:tr w14:paraId="1F2FC85E">
        <w:tblPrEx>
          <w:tblCellMar>
            <w:top w:w="0" w:type="dxa"/>
            <w:left w:w="108" w:type="dxa"/>
            <w:bottom w:w="0" w:type="dxa"/>
            <w:right w:w="108" w:type="dxa"/>
          </w:tblCellMar>
        </w:tblPrEx>
        <w:tc>
          <w:tcPr>
            <w:tcW w:w="8848" w:type="dxa"/>
            <w:gridSpan w:val="14"/>
            <w:vAlign w:val="center"/>
          </w:tcPr>
          <w:p w14:paraId="1F8773F3">
            <w:pPr>
              <w:jc w:val="center"/>
            </w:pPr>
            <w:r>
              <w:rPr>
                <w:rFonts w:ascii="宋体" w:hAnsi="宋体" w:eastAsia="宋体"/>
                <w:sz w:val="24"/>
              </w:rPr>
              <w:t>(2024年度)</w:t>
            </w:r>
          </w:p>
        </w:tc>
      </w:tr>
      <w:tr w14:paraId="0AE15E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E3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4113AA">
            <w:pPr>
              <w:jc w:val="center"/>
            </w:pPr>
            <w:r>
              <w:rPr>
                <w:rFonts w:ascii="宋体" w:hAnsi="宋体" w:eastAsia="宋体"/>
                <w:sz w:val="16"/>
              </w:rPr>
              <w:t>2024年</w:t>
            </w:r>
            <w:r>
              <w:rPr>
                <w:rFonts w:hint="eastAsia" w:ascii="宋体" w:hAnsi="宋体"/>
                <w:sz w:val="16"/>
                <w:lang w:eastAsia="zh-CN"/>
              </w:rPr>
              <w:t>其他项目</w:t>
            </w:r>
            <w:r>
              <w:rPr>
                <w:rFonts w:ascii="宋体" w:hAnsi="宋体" w:eastAsia="宋体"/>
                <w:sz w:val="16"/>
              </w:rPr>
              <w:t>类—2024年政协委员活动经费</w:t>
            </w:r>
          </w:p>
        </w:tc>
      </w:tr>
      <w:tr w14:paraId="789FB7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31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473FA5">
            <w:pPr>
              <w:jc w:val="center"/>
            </w:pPr>
            <w:r>
              <w:rPr>
                <w:rFonts w:ascii="宋体" w:hAnsi="宋体" w:eastAsia="宋体"/>
                <w:sz w:val="16"/>
              </w:rPr>
              <w:t>中国人民政治协商会议托里县委员会办公室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D7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31CE09">
            <w:pPr>
              <w:jc w:val="center"/>
            </w:pPr>
            <w:r>
              <w:rPr>
                <w:rFonts w:ascii="宋体" w:hAnsi="宋体" w:eastAsia="宋体"/>
                <w:sz w:val="16"/>
              </w:rPr>
              <w:t>中国人民政治协商会议托里县委员会办公室</w:t>
            </w:r>
          </w:p>
        </w:tc>
      </w:tr>
      <w:tr w14:paraId="5652D3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0E4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0F8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A4B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3CA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F3D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4B8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A0B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9AD1">
            <w:pPr>
              <w:jc w:val="center"/>
            </w:pPr>
            <w:r>
              <w:rPr>
                <w:rFonts w:ascii="宋体" w:hAnsi="宋体" w:eastAsia="宋体"/>
                <w:sz w:val="16"/>
              </w:rPr>
              <w:t>得分</w:t>
            </w:r>
          </w:p>
        </w:tc>
      </w:tr>
      <w:tr w14:paraId="20346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592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D39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BCFA9">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89E8D">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7C030">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91C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537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FA1A">
            <w:pPr>
              <w:jc w:val="center"/>
            </w:pPr>
            <w:r>
              <w:rPr>
                <w:rFonts w:ascii="宋体" w:hAnsi="宋体" w:eastAsia="宋体"/>
                <w:sz w:val="16"/>
              </w:rPr>
              <w:t>10.00</w:t>
            </w:r>
          </w:p>
        </w:tc>
      </w:tr>
      <w:tr w14:paraId="3B725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E5D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D4B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B2CED">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0AADE">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18925">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EB3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EF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6F5E">
            <w:pPr>
              <w:jc w:val="center"/>
            </w:pPr>
            <w:r>
              <w:rPr>
                <w:rFonts w:ascii="宋体" w:hAnsi="宋体" w:eastAsia="宋体"/>
                <w:sz w:val="16"/>
              </w:rPr>
              <w:t>—</w:t>
            </w:r>
          </w:p>
        </w:tc>
      </w:tr>
      <w:tr w14:paraId="7509B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E9D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329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537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909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38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8D7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AF0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FF48">
            <w:pPr>
              <w:jc w:val="center"/>
            </w:pPr>
            <w:r>
              <w:rPr>
                <w:rFonts w:ascii="宋体" w:hAnsi="宋体" w:eastAsia="宋体"/>
                <w:sz w:val="16"/>
              </w:rPr>
              <w:t>—</w:t>
            </w:r>
          </w:p>
        </w:tc>
      </w:tr>
      <w:tr w14:paraId="1BE470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334C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88B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9A6D0E">
            <w:pPr>
              <w:jc w:val="center"/>
            </w:pPr>
            <w:r>
              <w:rPr>
                <w:rFonts w:ascii="宋体" w:hAnsi="宋体" w:eastAsia="宋体"/>
                <w:sz w:val="16"/>
              </w:rPr>
              <w:t>实际完成情况</w:t>
            </w:r>
          </w:p>
        </w:tc>
      </w:tr>
      <w:tr w14:paraId="78918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927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A35358">
            <w:pPr>
              <w:jc w:val="both"/>
            </w:pPr>
            <w:r>
              <w:rPr>
                <w:rFonts w:ascii="宋体" w:hAnsi="宋体" w:eastAsia="宋体"/>
                <w:sz w:val="16"/>
              </w:rPr>
              <w:t>项目资金2.5461万元，用于保障72名政协委员参观、考察、学习、调研、会议等产生的相关费用。  通过为政协委员提供必要的合理的活动经费与服务，提高政协委员政治能力，履职能力， 围绕县委中心工作建言献策，助推县委重点工作落实。政协委员满意度达到95%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AD33FC">
            <w:pPr>
              <w:jc w:val="both"/>
            </w:pPr>
            <w:r>
              <w:rPr>
                <w:rFonts w:ascii="宋体" w:hAnsi="宋体" w:eastAsia="宋体"/>
                <w:sz w:val="16"/>
              </w:rPr>
              <w:t>项目资金2.5461万元，用于保障72名政协委员参观、考察、学习、调研、会议等产生的相关费用。 通过为政协委员提供必要的合理的活动经费与服务，提高政协委员政治能力，履职能力， 围绕县委中心工作建言献策，助推县委重点工作落实。</w:t>
            </w:r>
          </w:p>
        </w:tc>
      </w:tr>
      <w:tr w14:paraId="2D985E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E7D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FC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C3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87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5B7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94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C5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91C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A62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BA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73C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A09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59B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7827">
            <w:pPr>
              <w:jc w:val="center"/>
            </w:pPr>
            <w:r>
              <w:rPr>
                <w:rFonts w:ascii="宋体" w:hAnsi="宋体" w:eastAsia="宋体"/>
                <w:sz w:val="16"/>
              </w:rPr>
              <w:t>偏差原因分析及改进措施</w:t>
            </w:r>
          </w:p>
        </w:tc>
      </w:tr>
      <w:tr w14:paraId="5148DC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FC0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0010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274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2199">
            <w:pPr>
              <w:jc w:val="center"/>
            </w:pPr>
            <w:r>
              <w:rPr>
                <w:rFonts w:ascii="宋体" w:hAnsi="宋体" w:eastAsia="宋体"/>
                <w:sz w:val="16"/>
              </w:rPr>
              <w:t>保障委员活动开展次数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66FE">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A7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CEB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20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C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C67E">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29F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3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05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3F7A">
            <w:pPr>
              <w:jc w:val="center"/>
            </w:pPr>
          </w:p>
        </w:tc>
      </w:tr>
      <w:tr w14:paraId="4F1A5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43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6C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4A1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3D97">
            <w:pPr>
              <w:jc w:val="center"/>
            </w:pPr>
            <w:r>
              <w:rPr>
                <w:rFonts w:ascii="宋体" w:hAnsi="宋体" w:eastAsia="宋体"/>
                <w:sz w:val="16"/>
              </w:rPr>
              <w:t>委员考察学习（参观、调研）次数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C49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21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D7F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05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73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ED09">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0CB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7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BB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2EA9">
            <w:pPr>
              <w:jc w:val="center"/>
            </w:pPr>
          </w:p>
        </w:tc>
      </w:tr>
      <w:tr w14:paraId="5D7F5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77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A72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62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34B4">
            <w:pPr>
              <w:jc w:val="center"/>
            </w:pPr>
            <w:r>
              <w:rPr>
                <w:rFonts w:ascii="宋体" w:hAnsi="宋体" w:eastAsia="宋体"/>
                <w:sz w:val="16"/>
              </w:rPr>
              <w:t>组织政协委员开展培训率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E0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34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78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0E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E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3521">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4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52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83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2C9F">
            <w:pPr>
              <w:jc w:val="center"/>
            </w:pPr>
          </w:p>
        </w:tc>
      </w:tr>
      <w:tr w14:paraId="22EAE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7D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9A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21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6C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975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DD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5F5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EE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8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170E">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889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ED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75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B53F">
            <w:pPr>
              <w:jc w:val="center"/>
            </w:pPr>
          </w:p>
        </w:tc>
      </w:tr>
      <w:tr w14:paraId="573E26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5B3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0CA5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176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4261">
            <w:pPr>
              <w:jc w:val="center"/>
            </w:pPr>
            <w:r>
              <w:rPr>
                <w:rFonts w:ascii="宋体" w:hAnsi="宋体" w:eastAsia="宋体"/>
                <w:sz w:val="16"/>
              </w:rPr>
              <w:t>委员活动执行率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3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75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005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5D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75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3BB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09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1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40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DA27">
            <w:pPr>
              <w:jc w:val="center"/>
            </w:pPr>
          </w:p>
        </w:tc>
      </w:tr>
      <w:tr w14:paraId="37530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83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9A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71D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3B98">
            <w:pPr>
              <w:jc w:val="center"/>
            </w:pPr>
            <w:r>
              <w:rPr>
                <w:rFonts w:ascii="宋体" w:hAnsi="宋体" w:eastAsia="宋体"/>
                <w:sz w:val="16"/>
              </w:rPr>
              <w:t>委员考察、学习（参观、调研）成本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162B">
            <w:pPr>
              <w:jc w:val="center"/>
            </w:pPr>
            <w:r>
              <w:rPr>
                <w:rFonts w:ascii="宋体" w:hAnsi="宋体" w:eastAsia="宋体"/>
                <w:sz w:val="16"/>
              </w:rPr>
              <w:t>&lt;=2.5461万元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6C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306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9F4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24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E2F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7688">
            <w:pPr>
              <w:jc w:val="center"/>
            </w:pPr>
            <w:r>
              <w:rPr>
                <w:rFonts w:ascii="宋体" w:hAnsi="宋体" w:eastAsia="宋体"/>
                <w:sz w:val="16"/>
              </w:rPr>
              <w:t>=2.5461万元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6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B17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E2CD">
            <w:pPr>
              <w:jc w:val="center"/>
            </w:pPr>
          </w:p>
        </w:tc>
      </w:tr>
      <w:tr w14:paraId="5CCB2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71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CF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FD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7CED">
            <w:pPr>
              <w:jc w:val="center"/>
            </w:pPr>
            <w:r>
              <w:rPr>
                <w:rFonts w:ascii="宋体" w:hAnsi="宋体" w:eastAsia="宋体"/>
                <w:sz w:val="16"/>
              </w:rPr>
              <w:t>提高政协委员政治协商能力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546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D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EECA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21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F8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3FB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971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3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1F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74B8A">
            <w:pPr>
              <w:jc w:val="center"/>
            </w:pPr>
          </w:p>
        </w:tc>
      </w:tr>
      <w:tr w14:paraId="66148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81C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B2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1C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1CFA">
            <w:pPr>
              <w:jc w:val="center"/>
            </w:pPr>
            <w:r>
              <w:rPr>
                <w:rFonts w:ascii="宋体" w:hAnsi="宋体" w:eastAsia="宋体"/>
                <w:sz w:val="16"/>
              </w:rPr>
              <w:t>政协委员满意度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61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FD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8BA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C3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86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AD5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4C4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BE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74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98C5">
            <w:pPr>
              <w:jc w:val="center"/>
            </w:pPr>
          </w:p>
        </w:tc>
      </w:tr>
      <w:tr w14:paraId="62D3D39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799B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3CB7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14A9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5303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B7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88EF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0DE8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EED3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BD6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D72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1F693E"/>
        </w:tc>
      </w:tr>
    </w:tbl>
    <w:p w14:paraId="1EBD67F4">
      <w:r>
        <w:br w:type="page"/>
      </w:r>
    </w:p>
    <w:p w14:paraId="208FBE63">
      <w:pPr>
        <w:spacing w:line="640" w:lineRule="exact"/>
        <w:ind w:firstLine="640"/>
        <w:jc w:val="both"/>
        <w:outlineLvl w:val="2"/>
      </w:pPr>
      <w:r>
        <w:rPr>
          <w:rFonts w:ascii="黑体" w:hAnsi="黑体" w:eastAsia="黑体"/>
          <w:sz w:val="32"/>
        </w:rPr>
        <w:t>十二、其他需说明的事项</w:t>
      </w:r>
    </w:p>
    <w:p w14:paraId="7779FEAE">
      <w:pPr>
        <w:spacing w:line="580" w:lineRule="exact"/>
        <w:ind w:firstLine="640"/>
        <w:jc w:val="both"/>
      </w:pPr>
      <w:r>
        <w:rPr>
          <w:rFonts w:ascii="仿宋_GB2312" w:hAnsi="仿宋_GB2312" w:eastAsia="仿宋_GB2312"/>
          <w:b w:val="0"/>
          <w:sz w:val="32"/>
        </w:rPr>
        <w:t>本单位没有其他需说明的事项。</w:t>
      </w:r>
    </w:p>
    <w:p w14:paraId="4E043FBF">
      <w:r>
        <w:br w:type="page"/>
      </w:r>
    </w:p>
    <w:p w14:paraId="0E8C13A9">
      <w:pPr>
        <w:spacing w:line="240" w:lineRule="auto"/>
        <w:jc w:val="center"/>
        <w:outlineLvl w:val="1"/>
      </w:pPr>
      <w:r>
        <w:rPr>
          <w:rFonts w:ascii="黑体" w:hAnsi="黑体" w:eastAsia="黑体"/>
          <w:sz w:val="32"/>
        </w:rPr>
        <w:t>第三部分 专业名词解释</w:t>
      </w:r>
    </w:p>
    <w:p w14:paraId="0BC42D3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C22F70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31BFAE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E76167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462FD5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16E43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61290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072C1D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3E7EC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B1B8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B1C1D6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C38A4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5089A9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303F0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64654D9">
      <w:r>
        <w:br w:type="page"/>
      </w:r>
    </w:p>
    <w:p w14:paraId="1C283843">
      <w:pPr>
        <w:spacing w:line="240" w:lineRule="auto"/>
        <w:jc w:val="center"/>
        <w:outlineLvl w:val="1"/>
      </w:pPr>
      <w:r>
        <w:rPr>
          <w:rFonts w:ascii="黑体" w:hAnsi="黑体" w:eastAsia="黑体"/>
          <w:sz w:val="32"/>
        </w:rPr>
        <w:t>第四部分 部门决算报表（见附表）</w:t>
      </w:r>
    </w:p>
    <w:p w14:paraId="01EF6B06">
      <w:pPr>
        <w:spacing w:line="240" w:lineRule="auto"/>
        <w:ind w:firstLine="640"/>
        <w:jc w:val="both"/>
      </w:pPr>
      <w:r>
        <w:rPr>
          <w:rFonts w:ascii="仿宋_GB2312" w:hAnsi="仿宋_GB2312" w:eastAsia="仿宋_GB2312"/>
          <w:b w:val="0"/>
          <w:sz w:val="32"/>
        </w:rPr>
        <w:t>一、《收入支出决算总表》</w:t>
      </w:r>
    </w:p>
    <w:p w14:paraId="6C8EC009">
      <w:pPr>
        <w:spacing w:line="240" w:lineRule="auto"/>
        <w:ind w:firstLine="640"/>
        <w:jc w:val="both"/>
      </w:pPr>
      <w:r>
        <w:rPr>
          <w:rFonts w:ascii="仿宋_GB2312" w:hAnsi="仿宋_GB2312" w:eastAsia="仿宋_GB2312"/>
          <w:b w:val="0"/>
          <w:sz w:val="32"/>
        </w:rPr>
        <w:t>二、《收入决算表》</w:t>
      </w:r>
    </w:p>
    <w:p w14:paraId="5751007C">
      <w:pPr>
        <w:spacing w:line="240" w:lineRule="auto"/>
        <w:ind w:firstLine="640"/>
        <w:jc w:val="both"/>
      </w:pPr>
      <w:r>
        <w:rPr>
          <w:rFonts w:ascii="仿宋_GB2312" w:hAnsi="仿宋_GB2312" w:eastAsia="仿宋_GB2312"/>
          <w:b w:val="0"/>
          <w:sz w:val="32"/>
        </w:rPr>
        <w:t>三、《支出决算表》</w:t>
      </w:r>
    </w:p>
    <w:p w14:paraId="0EAF313E">
      <w:pPr>
        <w:spacing w:line="240" w:lineRule="auto"/>
        <w:ind w:firstLine="640"/>
        <w:jc w:val="both"/>
      </w:pPr>
      <w:r>
        <w:rPr>
          <w:rFonts w:ascii="仿宋_GB2312" w:hAnsi="仿宋_GB2312" w:eastAsia="仿宋_GB2312"/>
          <w:b w:val="0"/>
          <w:sz w:val="32"/>
        </w:rPr>
        <w:t>四、《财政拨款收入支出决算总表》</w:t>
      </w:r>
    </w:p>
    <w:p w14:paraId="25A21B60">
      <w:pPr>
        <w:spacing w:line="240" w:lineRule="auto"/>
        <w:ind w:firstLine="640"/>
        <w:jc w:val="both"/>
      </w:pPr>
      <w:r>
        <w:rPr>
          <w:rFonts w:ascii="仿宋_GB2312" w:hAnsi="仿宋_GB2312" w:eastAsia="仿宋_GB2312"/>
          <w:b w:val="0"/>
          <w:sz w:val="32"/>
        </w:rPr>
        <w:t>五、《一般公共预算财政拨款支出决算表》</w:t>
      </w:r>
    </w:p>
    <w:p w14:paraId="796E28E5">
      <w:pPr>
        <w:spacing w:line="240" w:lineRule="auto"/>
        <w:ind w:firstLine="640"/>
        <w:jc w:val="both"/>
      </w:pPr>
      <w:r>
        <w:rPr>
          <w:rFonts w:ascii="仿宋_GB2312" w:hAnsi="仿宋_GB2312" w:eastAsia="仿宋_GB2312"/>
          <w:b w:val="0"/>
          <w:sz w:val="32"/>
        </w:rPr>
        <w:t>六、《一般公共预算财政拨款基本支出决算表》</w:t>
      </w:r>
    </w:p>
    <w:p w14:paraId="1FDC68B6">
      <w:pPr>
        <w:spacing w:line="240" w:lineRule="auto"/>
        <w:ind w:firstLine="640"/>
        <w:jc w:val="both"/>
      </w:pPr>
      <w:r>
        <w:rPr>
          <w:rFonts w:ascii="仿宋_GB2312" w:hAnsi="仿宋_GB2312" w:eastAsia="仿宋_GB2312"/>
          <w:b w:val="0"/>
          <w:sz w:val="32"/>
        </w:rPr>
        <w:t>七、《政府性基金预算财政拨款收入支出决算表》</w:t>
      </w:r>
    </w:p>
    <w:p w14:paraId="3F93EE40">
      <w:pPr>
        <w:spacing w:line="240" w:lineRule="auto"/>
        <w:ind w:firstLine="640"/>
        <w:jc w:val="both"/>
      </w:pPr>
      <w:r>
        <w:rPr>
          <w:rFonts w:ascii="仿宋_GB2312" w:hAnsi="仿宋_GB2312" w:eastAsia="仿宋_GB2312"/>
          <w:b w:val="0"/>
          <w:sz w:val="32"/>
        </w:rPr>
        <w:t>八、《国有资本经营预算财政拨款收入支出决算表》</w:t>
      </w:r>
    </w:p>
    <w:p w14:paraId="2A289CDF">
      <w:pPr>
        <w:spacing w:line="240" w:lineRule="auto"/>
        <w:ind w:firstLine="640"/>
        <w:jc w:val="both"/>
      </w:pPr>
      <w:r>
        <w:rPr>
          <w:rFonts w:ascii="仿宋_GB2312" w:hAnsi="仿宋_GB2312" w:eastAsia="仿宋_GB2312"/>
          <w:b w:val="0"/>
          <w:sz w:val="32"/>
        </w:rPr>
        <w:t>九、《财政拨款“三公”经费支出决算表》</w:t>
      </w:r>
    </w:p>
    <w:p w14:paraId="22D6108C">
      <w:pPr>
        <w:spacing w:line="240" w:lineRule="auto"/>
        <w:ind w:firstLine="640"/>
        <w:jc w:val="both"/>
      </w:pPr>
    </w:p>
    <w:p w14:paraId="12A6873E">
      <w:pPr>
        <w:spacing w:line="240" w:lineRule="auto"/>
        <w:ind w:firstLine="640"/>
        <w:jc w:val="both"/>
      </w:pPr>
    </w:p>
    <w:p w14:paraId="65B1AFDB">
      <w:pPr>
        <w:spacing w:line="240" w:lineRule="auto"/>
        <w:ind w:firstLine="640"/>
        <w:jc w:val="both"/>
      </w:pPr>
    </w:p>
    <w:p w14:paraId="30C69538">
      <w:pPr>
        <w:spacing w:line="240" w:lineRule="auto"/>
        <w:ind w:firstLine="640"/>
        <w:jc w:val="both"/>
      </w:pPr>
    </w:p>
    <w:p w14:paraId="2D14107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A00002BF" w:usb1="38CF7CFA" w:usb2="00082016" w:usb3="00000000" w:csb0="00040001"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013A6C"/>
    <w:rsid w:val="2FD27414"/>
    <w:rsid w:val="313F1D52"/>
    <w:rsid w:val="318029AB"/>
    <w:rsid w:val="31C63837"/>
    <w:rsid w:val="326F0A17"/>
    <w:rsid w:val="3277581B"/>
    <w:rsid w:val="38006E2C"/>
    <w:rsid w:val="3914510A"/>
    <w:rsid w:val="3B1220C9"/>
    <w:rsid w:val="3BBE498C"/>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8B5512"/>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5710</Words>
  <Characters>6500</Characters>
  <Lines>0</Lines>
  <Paragraphs>0</Paragraphs>
  <TotalTime>0</TotalTime>
  <ScaleCrop>false</ScaleCrop>
  <LinksUpToDate>false</LinksUpToDate>
  <CharactersWithSpaces>6508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2025-11-05T01:53:06Z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