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C1B958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中共托里县纪律检查委员会2024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0C69563">
      <w:r>
        <w:br w:type="page"/>
      </w:r>
    </w:p>
    <w:p w14:paraId="4DF340C6">
      <w:pPr>
        <w:spacing w:line="640" w:lineRule="exact"/>
        <w:jc w:val="center"/>
        <w:outlineLvl w:val="1"/>
      </w:pPr>
      <w:r>
        <w:rPr>
          <w:rFonts w:ascii="黑体" w:hAnsi="黑体" w:eastAsia="黑体"/>
          <w:sz w:val="32"/>
        </w:rPr>
        <w:t>第一部分 单位概况</w:t>
      </w:r>
    </w:p>
    <w:p w14:paraId="123E8856">
      <w:pPr>
        <w:spacing w:line="640" w:lineRule="exact"/>
        <w:ind w:firstLine="640"/>
        <w:jc w:val="both"/>
        <w:outlineLvl w:val="2"/>
      </w:pPr>
      <w:r>
        <w:rPr>
          <w:rFonts w:ascii="黑体" w:hAnsi="黑体" w:eastAsia="黑体"/>
          <w:sz w:val="32"/>
        </w:rPr>
        <w:t>一、主要职能</w:t>
      </w:r>
    </w:p>
    <w:p w14:paraId="5DA28E63">
      <w:pPr>
        <w:spacing w:line="580" w:lineRule="exact"/>
        <w:ind w:firstLine="640"/>
        <w:jc w:val="both"/>
      </w:pPr>
      <w:r>
        <w:rPr>
          <w:rFonts w:ascii="仿宋_GB2312" w:hAnsi="仿宋_GB2312" w:eastAsia="仿宋_GB2312"/>
          <w:sz w:val="32"/>
        </w:rPr>
        <w:t>中共托里县纪律检查委员会与托里县监察委员会合署办公，实行一套工作机构，两个机关名称，履行纪检、监察两项职能。主要职责：一是负责党的纪律检查工作；二是依照党的章程和其他党内法规履行监督、执纪、问责职责；三是在县委领导下组织开展巡察工作；四是负责全县监察工作；五是依照法律规定履行监督、调查、处置职责；六是负责组织协</w:t>
      </w:r>
      <w:r>
        <w:rPr>
          <w:rFonts w:hint="eastAsia" w:ascii="仿宋_GB2312" w:hAnsi="仿宋_GB2312" w:eastAsia="仿宋_GB2312"/>
          <w:sz w:val="32"/>
          <w:lang w:eastAsia="zh-CN"/>
        </w:rPr>
        <w:t>调全</w:t>
      </w:r>
      <w:r>
        <w:rPr>
          <w:rFonts w:ascii="仿宋_GB2312" w:hAnsi="仿宋_GB2312" w:eastAsia="仿宋_GB2312"/>
          <w:sz w:val="32"/>
        </w:rPr>
        <w:t>县全面从严治党、党风廉政建设和反腐败宣传教育工作；七是负责综合分</w:t>
      </w:r>
      <w:r>
        <w:rPr>
          <w:rFonts w:hint="eastAsia" w:ascii="仿宋_GB2312" w:hAnsi="仿宋_GB2312" w:eastAsia="仿宋_GB2312"/>
          <w:sz w:val="32"/>
          <w:lang w:eastAsia="zh-CN"/>
        </w:rPr>
        <w:t>析全</w:t>
      </w:r>
      <w:r>
        <w:rPr>
          <w:rFonts w:ascii="仿宋_GB2312" w:hAnsi="仿宋_GB2312" w:eastAsia="仿宋_GB2312"/>
          <w:sz w:val="32"/>
        </w:rPr>
        <w:t>县全面从严治党、党风廉政建设和反腐败工作情况，对纪检监察工作重要理论及实践问题进行调查研究；八是负责配合地区纪委、地区监委做好与其他国家、地区、国际组织的反腐败国际交流、合作，加强对</w:t>
      </w:r>
      <w:r>
        <w:rPr>
          <w:rFonts w:hint="eastAsia" w:ascii="仿宋_GB2312" w:hAnsi="仿宋_GB2312" w:eastAsia="仿宋_GB2312"/>
          <w:sz w:val="32"/>
          <w:lang w:eastAsia="zh-CN"/>
        </w:rPr>
        <w:t>反腐败国际追逃追赃</w:t>
      </w:r>
      <w:r>
        <w:rPr>
          <w:rFonts w:ascii="仿宋_GB2312" w:hAnsi="仿宋_GB2312" w:eastAsia="仿宋_GB2312"/>
          <w:sz w:val="32"/>
        </w:rPr>
        <w:t>和防逃工作的组织协调，督促有关单位做好相关工作；九是根据干部管理权限，负责县纪检监察系统领导班子建设、干部队伍建设和组织建设的综合规划、政策研究、制度建设和业务指导，会同有关方面做好县纪委监委派驻（派出）机构、各乡（镇）纪检监察机关、县委管理事业单位、国有企业纪检监察机构领导班子建设有关工作，组织和指导县纪检监察系统干部教育培训工作等；十是完成地区纪委监委和县委交办的其他任务。</w:t>
      </w:r>
    </w:p>
    <w:p w14:paraId="15C5DABB">
      <w:pPr>
        <w:spacing w:line="640" w:lineRule="exact"/>
        <w:ind w:firstLine="640"/>
        <w:jc w:val="both"/>
        <w:outlineLvl w:val="2"/>
      </w:pPr>
      <w:r>
        <w:rPr>
          <w:rFonts w:ascii="黑体" w:hAnsi="黑体" w:eastAsia="黑体"/>
          <w:sz w:val="32"/>
        </w:rPr>
        <w:t>二、机构设置及人员情况</w:t>
      </w:r>
    </w:p>
    <w:p w14:paraId="7307FE44">
      <w:pPr>
        <w:spacing w:line="580" w:lineRule="exact"/>
        <w:ind w:firstLine="640"/>
        <w:jc w:val="both"/>
      </w:pPr>
      <w:r>
        <w:rPr>
          <w:rFonts w:ascii="仿宋_GB2312" w:hAnsi="仿宋_GB2312" w:eastAsia="仿宋_GB2312"/>
          <w:sz w:val="32"/>
        </w:rPr>
        <w:t>中共托里县纪律检查委员会2024年度，实有人数146人，其中：在职人员106人，增加6人；离休人员0人，增加0人；退休人员40人,增加5人。</w:t>
      </w:r>
    </w:p>
    <w:p w14:paraId="6D5FFFC1">
      <w:pPr>
        <w:spacing w:line="580" w:lineRule="exact"/>
        <w:ind w:firstLine="640"/>
        <w:jc w:val="both"/>
      </w:pPr>
      <w:r>
        <w:rPr>
          <w:rFonts w:ascii="仿宋_GB2312" w:hAnsi="仿宋_GB2312" w:eastAsia="仿宋_GB2312"/>
          <w:sz w:val="32"/>
        </w:rPr>
        <w:t>中共托里县纪律检查委员会无下属预算单位，下设10个科室，分别是：办公室、组宣部（政策法规研究室）、党风政风监督室、信访室、案件监督管理室、第一纪检监察室、第二纪检监察室、第三纪检监察室、第四纪检监察室、案件审理室和纪检监察干部监督室。</w:t>
      </w:r>
    </w:p>
    <w:p w14:paraId="1BF32D9B">
      <w:r>
        <w:br w:type="page"/>
      </w:r>
    </w:p>
    <w:p w14:paraId="7F650CB1">
      <w:pPr>
        <w:spacing w:line="240" w:lineRule="auto"/>
        <w:jc w:val="center"/>
        <w:outlineLvl w:val="1"/>
      </w:pPr>
      <w:r>
        <w:rPr>
          <w:rFonts w:ascii="黑体" w:hAnsi="黑体" w:eastAsia="黑体"/>
          <w:sz w:val="32"/>
        </w:rPr>
        <w:t>第二部分 部门决算情况说明</w:t>
      </w:r>
    </w:p>
    <w:p w14:paraId="751E6AE7">
      <w:pPr>
        <w:spacing w:line="640" w:lineRule="exact"/>
        <w:ind w:firstLine="640"/>
        <w:jc w:val="both"/>
        <w:outlineLvl w:val="2"/>
      </w:pPr>
      <w:r>
        <w:rPr>
          <w:rFonts w:ascii="黑体" w:hAnsi="黑体" w:eastAsia="黑体"/>
          <w:sz w:val="32"/>
        </w:rPr>
        <w:t>一、收入支出决算总体情况说明</w:t>
      </w:r>
    </w:p>
    <w:p w14:paraId="6DCDE18F">
      <w:pPr>
        <w:spacing w:line="580" w:lineRule="exact"/>
        <w:ind w:firstLine="640"/>
        <w:jc w:val="both"/>
      </w:pPr>
      <w:r>
        <w:rPr>
          <w:rFonts w:ascii="仿宋_GB2312" w:hAnsi="仿宋_GB2312" w:eastAsia="仿宋_GB2312"/>
          <w:b/>
          <w:sz w:val="32"/>
        </w:rPr>
        <w:t>2024年度收入总计2,243.95万元，</w:t>
      </w:r>
      <w:r>
        <w:rPr>
          <w:rFonts w:ascii="仿宋_GB2312" w:hAnsi="仿宋_GB2312" w:eastAsia="仿宋_GB2312"/>
          <w:b w:val="0"/>
          <w:sz w:val="32"/>
        </w:rPr>
        <w:t>其中：本年收入合计2,243.95万元，使用非财政拨款结余（含专用结余）0.00万元，年初结转和结余0.00万元。</w:t>
      </w:r>
    </w:p>
    <w:p w14:paraId="2752CFD6">
      <w:pPr>
        <w:spacing w:line="580" w:lineRule="exact"/>
        <w:ind w:firstLine="640"/>
        <w:jc w:val="both"/>
        <w:rPr>
          <w:spacing w:val="-6"/>
          <w:sz w:val="32"/>
        </w:rPr>
      </w:pPr>
      <w:r>
        <w:rPr>
          <w:rFonts w:ascii="仿宋_GB2312" w:hAnsi="仿宋_GB2312" w:eastAsia="仿宋_GB2312"/>
          <w:b/>
          <w:spacing w:val="-6"/>
          <w:sz w:val="32"/>
        </w:rPr>
        <w:t>2024年度支出总计2,243.95万元，</w:t>
      </w:r>
      <w:r>
        <w:rPr>
          <w:rFonts w:ascii="仿宋_GB2312" w:hAnsi="仿宋_GB2312" w:eastAsia="仿宋_GB2312"/>
          <w:b w:val="0"/>
          <w:spacing w:val="-6"/>
          <w:sz w:val="32"/>
        </w:rPr>
        <w:t>其中：本年支出合计2,243.95万元，结余分配0.00万元，年末结转和结余0.00万元。</w:t>
      </w:r>
    </w:p>
    <w:p w14:paraId="4AD25280">
      <w:pPr>
        <w:spacing w:line="580" w:lineRule="exact"/>
        <w:ind w:firstLine="640"/>
        <w:jc w:val="both"/>
      </w:pPr>
      <w:r>
        <w:rPr>
          <w:rFonts w:ascii="仿宋_GB2312" w:hAnsi="仿宋_GB2312" w:eastAsia="仿宋_GB2312"/>
          <w:b w:val="0"/>
          <w:sz w:val="32"/>
        </w:rPr>
        <w:t>收入支出总体与上年相比，增加78.15万元，增长3.61%，主要原因是：本年增加新建办案点提升改造建设-EPC项目、2021年建设纪检监察系统电子政务外网项目。</w:t>
      </w:r>
    </w:p>
    <w:p w14:paraId="7A138DDD">
      <w:pPr>
        <w:spacing w:line="640" w:lineRule="exact"/>
        <w:ind w:firstLine="640"/>
        <w:jc w:val="both"/>
        <w:outlineLvl w:val="2"/>
      </w:pPr>
      <w:r>
        <w:rPr>
          <w:rFonts w:ascii="黑体" w:hAnsi="黑体" w:eastAsia="黑体"/>
          <w:sz w:val="32"/>
        </w:rPr>
        <w:t>二、收入决算情况说明</w:t>
      </w:r>
    </w:p>
    <w:p w14:paraId="1839997A">
      <w:pPr>
        <w:spacing w:line="580" w:lineRule="exact"/>
        <w:ind w:firstLine="640"/>
        <w:jc w:val="both"/>
      </w:pPr>
      <w:r>
        <w:rPr>
          <w:rFonts w:ascii="仿宋_GB2312" w:hAnsi="仿宋_GB2312" w:eastAsia="仿宋_GB2312"/>
          <w:b/>
          <w:sz w:val="32"/>
        </w:rPr>
        <w:t>本年收入2,243.95万元，</w:t>
      </w:r>
      <w:r>
        <w:rPr>
          <w:rFonts w:ascii="仿宋_GB2312" w:hAnsi="仿宋_GB2312" w:eastAsia="仿宋_GB2312"/>
          <w:b w:val="0"/>
          <w:sz w:val="32"/>
        </w:rPr>
        <w:t>其中：财政拨款收入2,230.54万元，占99.40%；上级补助收入0.00万元，占0.00%；事业收入0.00万元，占0.00%；经营收入0.00万元，占0.00%；附属单位上缴收入0.00万元，占0.00%；其他收入13.41万元，占0.60%。</w:t>
      </w:r>
    </w:p>
    <w:p w14:paraId="29BB95D2">
      <w:pPr>
        <w:spacing w:line="640" w:lineRule="exact"/>
        <w:ind w:firstLine="640"/>
        <w:jc w:val="both"/>
        <w:outlineLvl w:val="2"/>
      </w:pPr>
      <w:r>
        <w:rPr>
          <w:rFonts w:ascii="黑体" w:hAnsi="黑体" w:eastAsia="黑体"/>
          <w:sz w:val="32"/>
        </w:rPr>
        <w:t>三、支出决算情况说明</w:t>
      </w:r>
    </w:p>
    <w:p w14:paraId="55FAB76F">
      <w:pPr>
        <w:spacing w:line="580" w:lineRule="exact"/>
        <w:ind w:firstLine="640"/>
        <w:jc w:val="both"/>
      </w:pPr>
      <w:r>
        <w:rPr>
          <w:rFonts w:ascii="仿宋_GB2312" w:hAnsi="仿宋_GB2312" w:eastAsia="仿宋_GB2312"/>
          <w:b/>
          <w:sz w:val="32"/>
        </w:rPr>
        <w:t>本年支出2,243.95万元，</w:t>
      </w:r>
      <w:r>
        <w:rPr>
          <w:rFonts w:ascii="仿宋_GB2312" w:hAnsi="仿宋_GB2312" w:eastAsia="仿宋_GB2312"/>
          <w:b w:val="0"/>
          <w:sz w:val="32"/>
        </w:rPr>
        <w:t>其中：基本支出2,090.68万元，占93.17%；项目支出153.27万元，占6.83%；上缴上级支出0.00万元，占0.00%；经营支出0.00万元，占0.00%；对附属单位补助支出0.00万元，占0.00%。</w:t>
      </w:r>
    </w:p>
    <w:p w14:paraId="5950B532">
      <w:pPr>
        <w:spacing w:line="640" w:lineRule="exact"/>
        <w:ind w:firstLine="640"/>
        <w:jc w:val="both"/>
        <w:outlineLvl w:val="2"/>
      </w:pPr>
      <w:r>
        <w:rPr>
          <w:rFonts w:ascii="黑体" w:hAnsi="黑体" w:eastAsia="黑体"/>
          <w:sz w:val="32"/>
        </w:rPr>
        <w:t>四、财政拨款收入支出决算总体情况说明</w:t>
      </w:r>
    </w:p>
    <w:p w14:paraId="4A491476">
      <w:pPr>
        <w:spacing w:line="580" w:lineRule="exact"/>
        <w:ind w:firstLine="640"/>
        <w:jc w:val="both"/>
      </w:pPr>
      <w:r>
        <w:rPr>
          <w:rFonts w:ascii="仿宋_GB2312" w:hAnsi="仿宋_GB2312" w:eastAsia="仿宋_GB2312"/>
          <w:b/>
          <w:sz w:val="32"/>
        </w:rPr>
        <w:t>2024年度财政拨款收入总计2,230.54万元，</w:t>
      </w:r>
      <w:r>
        <w:rPr>
          <w:rFonts w:ascii="仿宋_GB2312" w:hAnsi="仿宋_GB2312" w:eastAsia="仿宋_GB2312"/>
          <w:b w:val="0"/>
          <w:sz w:val="32"/>
        </w:rPr>
        <w:t>其中：年初财政拨款结转和结余0.00万元，本年财政拨款收入2,230.54万元。</w:t>
      </w:r>
      <w:r>
        <w:rPr>
          <w:rFonts w:ascii="仿宋_GB2312" w:hAnsi="仿宋_GB2312" w:eastAsia="仿宋_GB2312"/>
          <w:b/>
          <w:sz w:val="32"/>
        </w:rPr>
        <w:t>财政拨款支出总计2,230.54万元，</w:t>
      </w:r>
      <w:r>
        <w:rPr>
          <w:rFonts w:ascii="仿宋_GB2312" w:hAnsi="仿宋_GB2312" w:eastAsia="仿宋_GB2312"/>
          <w:b w:val="0"/>
          <w:sz w:val="32"/>
        </w:rPr>
        <w:t>其中：年末财政拨款结转和结余0.00万元，本年财政拨款支出2,230.54万元。</w:t>
      </w:r>
    </w:p>
    <w:p w14:paraId="3F183A0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增加64.77万元，增长2.99%，主要原因是：本年增加新建办案点提升改造建设-EPC项目、2021年建设纪检监察系统电子政务外网项目。</w:t>
      </w:r>
      <w:r>
        <w:rPr>
          <w:rFonts w:ascii="仿宋_GB2312" w:hAnsi="仿宋_GB2312" w:eastAsia="仿宋_GB2312"/>
          <w:b/>
          <w:sz w:val="32"/>
        </w:rPr>
        <w:t>与年初预算相比，</w:t>
      </w:r>
      <w:r>
        <w:rPr>
          <w:rFonts w:ascii="仿宋_GB2312" w:hAnsi="仿宋_GB2312" w:eastAsia="仿宋_GB2312"/>
          <w:b w:val="0"/>
          <w:sz w:val="32"/>
        </w:rPr>
        <w:t>年初预算数1,853.79万元，决算数2,230.54万元，预决算差异率20.32%，主要原因是：年中追加补发2017年全年、2020年半年绩效工资和2023年30%奖励性绩效工资</w:t>
      </w:r>
      <w:r>
        <w:rPr>
          <w:rFonts w:hint="eastAsia" w:ascii="仿宋_GB2312" w:hAnsi="仿宋_GB2312" w:eastAsia="仿宋_GB2312"/>
          <w:b w:val="0"/>
          <w:sz w:val="32"/>
          <w:lang w:val="en-US" w:eastAsia="zh-CN"/>
        </w:rPr>
        <w:t>经费</w:t>
      </w:r>
      <w:r>
        <w:rPr>
          <w:rFonts w:ascii="仿宋_GB2312" w:hAnsi="仿宋_GB2312" w:eastAsia="仿宋_GB2312"/>
          <w:b w:val="0"/>
          <w:sz w:val="32"/>
        </w:rPr>
        <w:t>，纪委办理留置案件相关费用，2018年新建办案点提升改造建设-EPC项目和2021年建设纪检监察系统电子政务外网项目欠款等，导致预决算存在差异。</w:t>
      </w:r>
    </w:p>
    <w:p w14:paraId="17B05E57">
      <w:pPr>
        <w:spacing w:line="640" w:lineRule="exact"/>
        <w:ind w:firstLine="640"/>
        <w:jc w:val="both"/>
        <w:outlineLvl w:val="2"/>
      </w:pPr>
      <w:r>
        <w:rPr>
          <w:rFonts w:ascii="黑体" w:hAnsi="黑体" w:eastAsia="黑体"/>
          <w:sz w:val="32"/>
        </w:rPr>
        <w:t>五、一般公共预算财政拨款支出决算情况说明</w:t>
      </w:r>
    </w:p>
    <w:p w14:paraId="04B61DDF">
      <w:pPr>
        <w:spacing w:line="640" w:lineRule="exact"/>
        <w:ind w:firstLine="640"/>
        <w:jc w:val="both"/>
        <w:outlineLvl w:val="3"/>
      </w:pPr>
      <w:r>
        <w:rPr>
          <w:rFonts w:ascii="楷体_GB2312" w:hAnsi="楷体_GB2312" w:eastAsia="楷体_GB2312"/>
          <w:b/>
          <w:sz w:val="32"/>
        </w:rPr>
        <w:t>（一）一般公共预算财政拨款支出决算总体情况</w:t>
      </w:r>
    </w:p>
    <w:p w14:paraId="5EFB088E">
      <w:pPr>
        <w:spacing w:line="580" w:lineRule="exact"/>
        <w:ind w:firstLine="640"/>
        <w:jc w:val="both"/>
      </w:pPr>
      <w:r>
        <w:rPr>
          <w:rFonts w:ascii="仿宋_GB2312" w:hAnsi="仿宋_GB2312" w:eastAsia="仿宋_GB2312"/>
          <w:b/>
          <w:sz w:val="32"/>
        </w:rPr>
        <w:t>2024年度一般公共预算财政拨款支出2,130.54万元，</w:t>
      </w:r>
      <w:r>
        <w:rPr>
          <w:rFonts w:ascii="仿宋_GB2312" w:hAnsi="仿宋_GB2312" w:eastAsia="仿宋_GB2312"/>
          <w:b w:val="0"/>
          <w:sz w:val="32"/>
        </w:rPr>
        <w:t>占本年支出合计的94.95%。</w:t>
      </w:r>
      <w:r>
        <w:rPr>
          <w:rFonts w:ascii="仿宋_GB2312" w:hAnsi="仿宋_GB2312" w:eastAsia="仿宋_GB2312"/>
          <w:b/>
          <w:sz w:val="32"/>
        </w:rPr>
        <w:t>与上年相比，</w:t>
      </w:r>
      <w:r>
        <w:rPr>
          <w:rFonts w:ascii="仿宋_GB2312" w:hAnsi="仿宋_GB2312" w:eastAsia="仿宋_GB2312"/>
          <w:b w:val="0"/>
          <w:sz w:val="32"/>
        </w:rPr>
        <w:t>减少35.23万元，下降1.63%，主要原因是：本年减少中央政法纪检监察转移支付项目用于托里县纪委监委办案和装备保障水平项目，托里县纪委监委执法车辆购置项目用于托里县纪委监委购置四辆执法车辆项目。</w:t>
      </w:r>
      <w:r>
        <w:rPr>
          <w:rFonts w:ascii="仿宋_GB2312" w:hAnsi="仿宋_GB2312" w:eastAsia="仿宋_GB2312"/>
          <w:b/>
          <w:sz w:val="32"/>
        </w:rPr>
        <w:t>与年初预算相比,</w:t>
      </w:r>
      <w:r>
        <w:rPr>
          <w:rFonts w:ascii="仿宋_GB2312" w:hAnsi="仿宋_GB2312" w:eastAsia="仿宋_GB2312"/>
          <w:b w:val="0"/>
          <w:sz w:val="32"/>
        </w:rPr>
        <w:t>年初预算数1,853.79万元，决算数2,130.54万元，预决算差异率14.93%，主要原因是：年中追加补发2017年全年、2020年半年绩效工资和2023年30%奖励性绩效工资</w:t>
      </w:r>
      <w:r>
        <w:rPr>
          <w:rFonts w:hint="eastAsia" w:ascii="仿宋_GB2312" w:hAnsi="仿宋_GB2312" w:eastAsia="仿宋_GB2312"/>
          <w:b w:val="0"/>
          <w:sz w:val="32"/>
          <w:lang w:val="en-US" w:eastAsia="zh-CN"/>
        </w:rPr>
        <w:t>经费</w:t>
      </w:r>
      <w:r>
        <w:rPr>
          <w:rFonts w:ascii="仿宋_GB2312" w:hAnsi="仿宋_GB2312" w:eastAsia="仿宋_GB2312"/>
          <w:b w:val="0"/>
          <w:sz w:val="32"/>
        </w:rPr>
        <w:t>，纪委办理留置案件相关费用，导致预决算存在差异。</w:t>
      </w:r>
    </w:p>
    <w:p w14:paraId="45872FF2">
      <w:pPr>
        <w:spacing w:line="640" w:lineRule="exact"/>
        <w:ind w:firstLine="640"/>
        <w:jc w:val="both"/>
        <w:outlineLvl w:val="3"/>
      </w:pPr>
      <w:r>
        <w:rPr>
          <w:rFonts w:ascii="楷体_GB2312" w:hAnsi="楷体_GB2312" w:eastAsia="楷体_GB2312"/>
          <w:b/>
          <w:sz w:val="32"/>
        </w:rPr>
        <w:t>（二）一般公共预算财政拨款支出决算结构情况</w:t>
      </w:r>
    </w:p>
    <w:p w14:paraId="43CCE512">
      <w:pPr>
        <w:spacing w:line="580" w:lineRule="exact"/>
        <w:ind w:firstLine="640"/>
        <w:jc w:val="both"/>
      </w:pPr>
      <w:r>
        <w:rPr>
          <w:rFonts w:ascii="仿宋_GB2312" w:hAnsi="仿宋_GB2312" w:eastAsia="仿宋_GB2312"/>
          <w:b w:val="0"/>
          <w:sz w:val="32"/>
        </w:rPr>
        <w:t>1.一般公共服务支出(类)1,617.26万元,占75.91%。</w:t>
      </w:r>
    </w:p>
    <w:p w14:paraId="366C6FCD">
      <w:pPr>
        <w:spacing w:line="580" w:lineRule="exact"/>
        <w:ind w:firstLine="640"/>
        <w:jc w:val="both"/>
      </w:pPr>
      <w:r>
        <w:rPr>
          <w:rFonts w:ascii="仿宋_GB2312" w:hAnsi="仿宋_GB2312" w:eastAsia="仿宋_GB2312"/>
          <w:b w:val="0"/>
          <w:sz w:val="32"/>
        </w:rPr>
        <w:t>2.社会保障和就业支出(类)254.11万元,占11.93%。</w:t>
      </w:r>
    </w:p>
    <w:p w14:paraId="1A0875C7">
      <w:pPr>
        <w:spacing w:line="580" w:lineRule="exact"/>
        <w:ind w:firstLine="640"/>
        <w:jc w:val="both"/>
      </w:pPr>
      <w:r>
        <w:rPr>
          <w:rFonts w:ascii="仿宋_GB2312" w:hAnsi="仿宋_GB2312" w:eastAsia="仿宋_GB2312"/>
          <w:b w:val="0"/>
          <w:sz w:val="32"/>
        </w:rPr>
        <w:t>3.卫生健康支出(类)113.94万元,占5.35%。</w:t>
      </w:r>
    </w:p>
    <w:p w14:paraId="511D14A8">
      <w:pPr>
        <w:spacing w:line="580" w:lineRule="exact"/>
        <w:ind w:firstLine="640"/>
        <w:jc w:val="both"/>
      </w:pPr>
      <w:r>
        <w:rPr>
          <w:rFonts w:ascii="仿宋_GB2312" w:hAnsi="仿宋_GB2312" w:eastAsia="仿宋_GB2312"/>
          <w:b w:val="0"/>
          <w:sz w:val="32"/>
        </w:rPr>
        <w:t>4.住房保障支出(类)145.23万元,占6.82%。</w:t>
      </w:r>
    </w:p>
    <w:p w14:paraId="45C0C830">
      <w:pPr>
        <w:spacing w:line="640" w:lineRule="exact"/>
        <w:ind w:firstLine="640"/>
        <w:jc w:val="both"/>
        <w:outlineLvl w:val="3"/>
      </w:pPr>
      <w:r>
        <w:rPr>
          <w:rFonts w:ascii="楷体_GB2312" w:hAnsi="楷体_GB2312" w:eastAsia="楷体_GB2312"/>
          <w:b/>
          <w:sz w:val="32"/>
        </w:rPr>
        <w:t>（三）一般公共预算财政拨款支出决算具体情况</w:t>
      </w:r>
    </w:p>
    <w:p w14:paraId="10BF63D2">
      <w:pPr>
        <w:spacing w:line="580" w:lineRule="exact"/>
        <w:ind w:firstLine="640"/>
        <w:jc w:val="both"/>
      </w:pPr>
      <w:r>
        <w:rPr>
          <w:rFonts w:ascii="仿宋_GB2312" w:hAnsi="仿宋_GB2312" w:eastAsia="仿宋_GB2312"/>
          <w:b w:val="0"/>
          <w:sz w:val="32"/>
        </w:rPr>
        <w:t>1.一般公共服务支出(类)纪检监察事务(款)行政运行(项):支出决算数为1,577.40万元，比上年决算增加66.91万元，增长4.43%,主要原因是：本年发放2017年全年、2020年半年绩效工资和2023年30%奖励性绩效工资；本年新增在职人员，人员经费增加，导致经费较上年有所增加。</w:t>
      </w:r>
    </w:p>
    <w:p w14:paraId="039CAED1">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39.86万元，比上年决算减少29.74万元，下降42.73%,主要原因是：本年减少中央政法纪检监察转移支付项目用于托里县纪委监委办案和装备保障水平项目，托里县纪委监委执法车辆购置项目用于托里县纪委监委购置四辆执法车辆项目。</w:t>
      </w:r>
    </w:p>
    <w:p w14:paraId="1792A048">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3.社会保障和就业支出(类)行政事业单位养老支出(款)行政单位离退休(项):支出决算数为30.63万元，比上年决算减少12.57万元，下降29.10%,主要原因是：本年减少补发退休人员基础绩效奖的支出。</w:t>
      </w:r>
    </w:p>
    <w:p w14:paraId="7E8EBB0D">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183.98万元，比上年决算增加7.31万元，增长4.14%,主要原因是：本年在职人员增加，在职人员工资基数调增，养老缴费基数上涨，相应支出增加。</w:t>
      </w:r>
    </w:p>
    <w:p w14:paraId="643F19C5">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39.50万元，比上年决算减少69.23万元，下降63.67%,主要原因是：本年新增退休人员较上年减少，职业年金缴费较上年减少。</w:t>
      </w:r>
    </w:p>
    <w:p w14:paraId="57ACDC9B">
      <w:pPr>
        <w:spacing w:line="580" w:lineRule="exact"/>
        <w:ind w:firstLine="640"/>
        <w:jc w:val="both"/>
      </w:pPr>
      <w:r>
        <w:rPr>
          <w:rFonts w:ascii="仿宋_GB2312" w:hAnsi="仿宋_GB2312" w:eastAsia="仿宋_GB2312"/>
          <w:b w:val="0"/>
          <w:sz w:val="32"/>
        </w:rPr>
        <w:t>6.卫生健康支出(类)行政事业单位医疗(款)行政单位医疗(项):支出决算数为79.48万元，比上年决算减少0.43万元，下降0.54%,主要原因是：因退休人员医疗保险制度改革，退休人员基本医疗不再由单位缴纳，导致经费较上年减少。</w:t>
      </w:r>
    </w:p>
    <w:p w14:paraId="62D99D8B">
      <w:pPr>
        <w:spacing w:line="580" w:lineRule="exact"/>
        <w:ind w:firstLine="640"/>
        <w:jc w:val="both"/>
      </w:pPr>
      <w:r>
        <w:rPr>
          <w:rFonts w:ascii="仿宋_GB2312" w:hAnsi="仿宋_GB2312" w:eastAsia="仿宋_GB2312"/>
          <w:b w:val="0"/>
          <w:sz w:val="32"/>
        </w:rPr>
        <w:t>7.卫生健康支出(类)行政事业单位医疗(款)公务员医疗补助(项):支出决算数为34.46万元，比上年决算减少0.69万元，下降1.96%,主要原因是：本年在职人员调入调出，人员职级不同，缴费基数不同，导致公务员医疗补助较上年减少。</w:t>
      </w:r>
    </w:p>
    <w:p w14:paraId="4152418A">
      <w:pPr>
        <w:spacing w:line="580" w:lineRule="exact"/>
        <w:ind w:firstLine="640"/>
        <w:jc w:val="both"/>
      </w:pPr>
      <w:r>
        <w:rPr>
          <w:rFonts w:ascii="仿宋_GB2312" w:hAnsi="仿宋_GB2312" w:eastAsia="仿宋_GB2312"/>
          <w:b w:val="0"/>
          <w:sz w:val="32"/>
        </w:rPr>
        <w:t>8.住房保障支出(类)住房改革支出(款)住房公积金(项):支出决算数为145.23万元，比上年决算增加3.20万元，增长2.25%,主要原因是：本年在职人员增加，在职人员工资基数调增，公积金缴费基数上涨，相应支出增加。</w:t>
      </w:r>
    </w:p>
    <w:p w14:paraId="7A7AC9EE">
      <w:pPr>
        <w:spacing w:line="640" w:lineRule="exact"/>
        <w:ind w:firstLine="640"/>
        <w:jc w:val="both"/>
        <w:outlineLvl w:val="2"/>
      </w:pPr>
      <w:r>
        <w:rPr>
          <w:rFonts w:ascii="黑体" w:hAnsi="黑体" w:eastAsia="黑体"/>
          <w:sz w:val="32"/>
        </w:rPr>
        <w:t>六、一般公共预算财政拨款基本支出决算情况说明</w:t>
      </w:r>
    </w:p>
    <w:p w14:paraId="403B69EF">
      <w:pPr>
        <w:spacing w:line="580" w:lineRule="exact"/>
        <w:ind w:firstLine="640"/>
        <w:jc w:val="both"/>
      </w:pPr>
      <w:r>
        <w:rPr>
          <w:rFonts w:ascii="仿宋_GB2312" w:hAnsi="仿宋_GB2312" w:eastAsia="仿宋_GB2312"/>
          <w:b w:val="0"/>
          <w:sz w:val="32"/>
        </w:rPr>
        <w:t>2024年度一般公共预算财政拨款基本支出2,090.68万元，其中：</w:t>
      </w:r>
      <w:r>
        <w:rPr>
          <w:rFonts w:ascii="仿宋_GB2312" w:hAnsi="仿宋_GB2312" w:eastAsia="仿宋_GB2312"/>
          <w:b/>
          <w:sz w:val="32"/>
        </w:rPr>
        <w:t>人员经费1,950.91万元，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医疗费补助、奖励金。</w:t>
      </w:r>
    </w:p>
    <w:p w14:paraId="700E89C6">
      <w:pPr>
        <w:spacing w:line="580" w:lineRule="exact"/>
        <w:ind w:firstLine="640"/>
        <w:jc w:val="both"/>
      </w:pPr>
      <w:r>
        <w:rPr>
          <w:rFonts w:ascii="仿宋_GB2312" w:hAnsi="仿宋_GB2312" w:eastAsia="仿宋_GB2312"/>
          <w:b/>
          <w:sz w:val="32"/>
        </w:rPr>
        <w:t>公用经费139.77万元，</w:t>
      </w:r>
      <w:r>
        <w:rPr>
          <w:rFonts w:ascii="仿宋_GB2312" w:hAnsi="仿宋_GB2312" w:eastAsia="仿宋_GB2312"/>
          <w:b w:val="0"/>
          <w:sz w:val="32"/>
        </w:rPr>
        <w:t>包括：办公费、印刷费、电费、邮电费、取暖费、差旅费、维修（护）费、培训费、公务接待费、劳务费、工会经费、公务用车运行维护费、办公设备购置。</w:t>
      </w:r>
    </w:p>
    <w:p w14:paraId="2E29AF1F">
      <w:pPr>
        <w:spacing w:line="640" w:lineRule="exact"/>
        <w:ind w:firstLine="640"/>
        <w:jc w:val="both"/>
        <w:outlineLvl w:val="2"/>
      </w:pPr>
      <w:r>
        <w:rPr>
          <w:rFonts w:ascii="黑体" w:hAnsi="黑体" w:eastAsia="黑体"/>
          <w:sz w:val="32"/>
        </w:rPr>
        <w:t>七、政府性基金预算财政拨款收入支出决算情况说明</w:t>
      </w:r>
    </w:p>
    <w:p w14:paraId="7F1401D9">
      <w:pPr>
        <w:spacing w:line="580" w:lineRule="exact"/>
        <w:ind w:firstLine="640"/>
        <w:jc w:val="both"/>
      </w:pPr>
      <w:r>
        <w:rPr>
          <w:rFonts w:ascii="仿宋_GB2312" w:hAnsi="仿宋_GB2312" w:eastAsia="仿宋_GB2312"/>
          <w:b/>
          <w:sz w:val="32"/>
        </w:rPr>
        <w:t>2024年度政府性基金预算财政拨款收入总计100.00万元，</w:t>
      </w:r>
      <w:r>
        <w:rPr>
          <w:rFonts w:ascii="仿宋_GB2312" w:hAnsi="仿宋_GB2312" w:eastAsia="仿宋_GB2312"/>
          <w:b w:val="0"/>
          <w:sz w:val="32"/>
        </w:rPr>
        <w:t>其中：年初结转和结余0.00万元，本年收入100.00万元。</w:t>
      </w:r>
      <w:r>
        <w:rPr>
          <w:rFonts w:ascii="仿宋_GB2312" w:hAnsi="仿宋_GB2312" w:eastAsia="仿宋_GB2312"/>
          <w:b/>
          <w:sz w:val="32"/>
        </w:rPr>
        <w:t>政府性基金预算财政拨款支出总计100.00万元，</w:t>
      </w:r>
      <w:r>
        <w:rPr>
          <w:rFonts w:ascii="仿宋_GB2312" w:hAnsi="仿宋_GB2312" w:eastAsia="仿宋_GB2312"/>
          <w:b w:val="0"/>
          <w:sz w:val="32"/>
        </w:rPr>
        <w:t>其中：年末结转和结余0.00万元，本年支出100.00万元。</w:t>
      </w:r>
    </w:p>
    <w:p w14:paraId="1C46F64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增加100.00万元，增长100.00%，主要原因是：本年增加新建办案点提升改造建设-EPC项目、2021年建设纪检监察系统电子政务外网项目。</w:t>
      </w:r>
      <w:r>
        <w:rPr>
          <w:rFonts w:ascii="仿宋_GB2312" w:hAnsi="仿宋_GB2312" w:eastAsia="仿宋_GB2312"/>
          <w:b/>
          <w:sz w:val="32"/>
        </w:rPr>
        <w:t>与年初预算相比，</w:t>
      </w:r>
      <w:r>
        <w:rPr>
          <w:rFonts w:ascii="仿宋_GB2312" w:hAnsi="仿宋_GB2312" w:eastAsia="仿宋_GB2312"/>
          <w:b w:val="0"/>
          <w:sz w:val="32"/>
        </w:rPr>
        <w:t>年初预算数0.00万元，决算数100.00万元，预决算差异率100.00%，主要原因是：年中追加新建办案点提升改造建设-EPC项目、2021年建设纪检监察系统电子政务外网项目，导致预决算存在差异。</w:t>
      </w:r>
    </w:p>
    <w:p w14:paraId="1EABD551">
      <w:pPr>
        <w:spacing w:line="580" w:lineRule="exact"/>
        <w:ind w:firstLine="640"/>
        <w:jc w:val="both"/>
      </w:pPr>
      <w:r>
        <w:rPr>
          <w:rFonts w:ascii="仿宋_GB2312" w:hAnsi="仿宋_GB2312" w:eastAsia="仿宋_GB2312"/>
          <w:b w:val="0"/>
          <w:sz w:val="32"/>
        </w:rPr>
        <w:t>政府性基金预算财政拨款支出100.00万元。</w:t>
      </w:r>
    </w:p>
    <w:p w14:paraId="66465729">
      <w:pPr>
        <w:spacing w:line="580" w:lineRule="exact"/>
        <w:ind w:firstLine="640"/>
        <w:jc w:val="both"/>
      </w:pPr>
      <w:r>
        <w:rPr>
          <w:rFonts w:ascii="仿宋_GB2312" w:hAnsi="仿宋_GB2312" w:eastAsia="仿宋_GB2312"/>
          <w:b w:val="0"/>
          <w:sz w:val="32"/>
        </w:rPr>
        <w:t>1.城乡社区支出(类)国有土地使用权出让收入安排的支出(款)其他国有土地使用权出让收入安排的支出(项):支出决算数为100.00万元，比上年决算增加100.00万元，增长100.00%,主要原因是：本年增加新建办案点提升改造建设-EPC项目、2021年建设纪检监察系统电子政务外网项目。</w:t>
      </w:r>
    </w:p>
    <w:p w14:paraId="3E379786">
      <w:pPr>
        <w:spacing w:line="640" w:lineRule="exact"/>
        <w:ind w:firstLine="640"/>
        <w:jc w:val="both"/>
        <w:outlineLvl w:val="2"/>
      </w:pPr>
      <w:r>
        <w:rPr>
          <w:rFonts w:ascii="黑体" w:hAnsi="黑体" w:eastAsia="黑体"/>
          <w:sz w:val="32"/>
        </w:rPr>
        <w:t>八、国有资本经营预算财政拨款收入支出决算情况说明</w:t>
      </w:r>
    </w:p>
    <w:p w14:paraId="0CCD0A7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B42BADA">
      <w:pPr>
        <w:spacing w:line="640" w:lineRule="exact"/>
        <w:ind w:firstLine="640"/>
        <w:jc w:val="both"/>
        <w:outlineLvl w:val="2"/>
      </w:pPr>
      <w:r>
        <w:rPr>
          <w:rFonts w:ascii="黑体" w:hAnsi="黑体" w:eastAsia="黑体"/>
          <w:sz w:val="32"/>
        </w:rPr>
        <w:t>九、财政拨款“三公”经费支出决算情况说明</w:t>
      </w:r>
    </w:p>
    <w:p w14:paraId="454EF7B5">
      <w:pPr>
        <w:spacing w:line="580" w:lineRule="exact"/>
        <w:ind w:firstLine="640"/>
        <w:jc w:val="both"/>
      </w:pPr>
      <w:r>
        <w:rPr>
          <w:rFonts w:ascii="仿宋_GB2312" w:hAnsi="仿宋_GB2312" w:eastAsia="仿宋_GB2312"/>
          <w:b/>
          <w:sz w:val="32"/>
        </w:rPr>
        <w:t>2024年度财政拨款“三公”经费支出19.13万元，</w:t>
      </w:r>
      <w:r>
        <w:rPr>
          <w:rFonts w:ascii="仿宋_GB2312" w:hAnsi="仿宋_GB2312" w:eastAsia="仿宋_GB2312"/>
          <w:b w:val="0"/>
          <w:sz w:val="32"/>
        </w:rPr>
        <w:t>比上年减少73.48万元，下降79.34%，主要原因是：本年减少托里县纪委监委执法车辆购置项目。其中：因公出国（境）费支出0.00万元，占0.00%，比上年增加0.00万元，增长0.00%，主要原因是：2023年与2024年均未安排因公出国（境）费支出。公务用车购置及运行维护费支出16.53万元，占86.41%，比上年减少73.76万元，下降81.69%，主要原因是：本年减少托里县纪委监委执法车辆购置项目。公务接待费支出2.60万元，占13.59%，比上年增加0.28万元，增长12.07%，主要原因是：本年因业务需求，增加公务接待工作，导致公务接待费较上年增加；本年支付部分2023年公务接待费用。</w:t>
      </w:r>
    </w:p>
    <w:p w14:paraId="1165FECD">
      <w:pPr>
        <w:spacing w:line="580" w:lineRule="exact"/>
        <w:ind w:firstLine="640"/>
        <w:jc w:val="both"/>
      </w:pPr>
      <w:r>
        <w:rPr>
          <w:rFonts w:ascii="仿宋_GB2312" w:hAnsi="仿宋_GB2312" w:eastAsia="仿宋_GB2312"/>
          <w:b/>
          <w:sz w:val="32"/>
        </w:rPr>
        <w:t>具体情况如下：</w:t>
      </w:r>
    </w:p>
    <w:p w14:paraId="312DC33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D403F8">
      <w:pPr>
        <w:spacing w:line="580" w:lineRule="exact"/>
        <w:ind w:firstLine="640"/>
        <w:jc w:val="both"/>
      </w:pPr>
      <w:r>
        <w:rPr>
          <w:rFonts w:ascii="仿宋_GB2312" w:hAnsi="仿宋_GB2312" w:eastAsia="仿宋_GB2312"/>
          <w:b w:val="0"/>
          <w:sz w:val="32"/>
        </w:rPr>
        <w:t>公务用车购置及运行维护费16.53万元，其中：公务用车购置费0.00万元，公务用车运行维护费16.53万元。公务用车运行维护费开支内容包括车辆加油费、维修费、保险费、审车费、过路费等。公务用车购置数0辆，公务用车保有量7辆。国有资产占用情况中固定资产车辆7辆，与公务用车保有量差异原因是：本单位固定资产车辆与公务用车保有量一致无差异。</w:t>
      </w:r>
    </w:p>
    <w:p w14:paraId="424EFB5E">
      <w:pPr>
        <w:spacing w:line="580" w:lineRule="exact"/>
        <w:ind w:firstLine="640"/>
        <w:jc w:val="both"/>
      </w:pPr>
      <w:r>
        <w:rPr>
          <w:rFonts w:ascii="仿宋_GB2312" w:hAnsi="仿宋_GB2312" w:eastAsia="仿宋_GB2312"/>
          <w:b w:val="0"/>
          <w:sz w:val="32"/>
        </w:rPr>
        <w:t>公务接待费2.60万元，开支内容包括因工作需要，接待上级领导检查、督导组检查产生的就餐费。单位全年安排的国内公务接待15批次，130人次。</w:t>
      </w:r>
    </w:p>
    <w:p w14:paraId="4A0C43C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19.13万元，决算数19.13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16.53万元，决算数16.53万元，预决算差异率0.00%，主要原因是：严格按照预算执行，预决算无差异。公务接待费全年预算数2.60万元，决算数2.60万元，预决算差异率0.00%，主要原因是：严格按照预算执行，预决算无差异。</w:t>
      </w:r>
    </w:p>
    <w:p w14:paraId="5EDD98B5">
      <w:pPr>
        <w:spacing w:line="640" w:lineRule="exact"/>
        <w:ind w:firstLine="640"/>
        <w:jc w:val="both"/>
        <w:outlineLvl w:val="2"/>
      </w:pPr>
      <w:r>
        <w:rPr>
          <w:rFonts w:ascii="黑体" w:hAnsi="黑体" w:eastAsia="黑体"/>
          <w:sz w:val="32"/>
        </w:rPr>
        <w:t>十、其他重要事项的情况说明</w:t>
      </w:r>
    </w:p>
    <w:p w14:paraId="5603D1FE">
      <w:pPr>
        <w:spacing w:line="640" w:lineRule="exact"/>
        <w:ind w:firstLine="640"/>
        <w:jc w:val="both"/>
        <w:outlineLvl w:val="3"/>
      </w:pPr>
      <w:r>
        <w:rPr>
          <w:rFonts w:ascii="楷体_GB2312" w:hAnsi="楷体_GB2312" w:eastAsia="楷体_GB2312"/>
          <w:b/>
          <w:sz w:val="32"/>
        </w:rPr>
        <w:t>（一）机关运行经费及公用经费支出情况</w:t>
      </w:r>
    </w:p>
    <w:p w14:paraId="39B53BF7">
      <w:pPr>
        <w:spacing w:line="580" w:lineRule="exact"/>
        <w:ind w:firstLine="640"/>
        <w:jc w:val="both"/>
      </w:pPr>
      <w:r>
        <w:rPr>
          <w:rFonts w:ascii="仿宋_GB2312" w:hAnsi="仿宋_GB2312" w:eastAsia="仿宋_GB2312"/>
          <w:b w:val="0"/>
          <w:sz w:val="32"/>
        </w:rPr>
        <w:t>2024年度中共托里县纪律检查委员会（行政单位和参照公务员法管理事业单位）机关运行经费支出139.77万元，比上年减少12.02万元，下降7.92%，主要原因是：严格控制公用经费，合理节约办公用品，减少不必要开支。</w:t>
      </w:r>
    </w:p>
    <w:p w14:paraId="32F6B070">
      <w:pPr>
        <w:spacing w:line="640" w:lineRule="exact"/>
        <w:ind w:firstLine="640"/>
        <w:jc w:val="both"/>
        <w:outlineLvl w:val="3"/>
      </w:pPr>
      <w:r>
        <w:rPr>
          <w:rFonts w:ascii="楷体_GB2312" w:hAnsi="楷体_GB2312" w:eastAsia="楷体_GB2312"/>
          <w:b/>
          <w:sz w:val="32"/>
        </w:rPr>
        <w:t>（二）政府采购情况</w:t>
      </w:r>
    </w:p>
    <w:p w14:paraId="4AE50806">
      <w:pPr>
        <w:spacing w:line="580" w:lineRule="exact"/>
        <w:ind w:firstLine="640"/>
        <w:jc w:val="both"/>
      </w:pPr>
      <w:r>
        <w:rPr>
          <w:rFonts w:ascii="仿宋_GB2312" w:hAnsi="仿宋_GB2312" w:eastAsia="仿宋_GB2312"/>
          <w:b w:val="0"/>
          <w:sz w:val="32"/>
        </w:rPr>
        <w:t>2024年度政府采购支出总额43.16万元，其中：政府采购货物支出19.89万元、政府采购工程支出7.69万元、政府采购服务支出15.58万元。</w:t>
      </w:r>
    </w:p>
    <w:p w14:paraId="6BA28E8A">
      <w:pPr>
        <w:spacing w:line="580" w:lineRule="exact"/>
        <w:ind w:firstLine="640"/>
        <w:jc w:val="both"/>
      </w:pPr>
      <w:r>
        <w:rPr>
          <w:rFonts w:ascii="仿宋_GB2312" w:hAnsi="仿宋_GB2312" w:eastAsia="仿宋_GB2312"/>
          <w:b w:val="0"/>
          <w:sz w:val="32"/>
        </w:rPr>
        <w:t>授予中小企业合同金额41.57万元，占政府采购支出总额的96.32%，其中：授予小微企业合同金额41.57万元，占政府采购支出总额的96.32%。</w:t>
      </w:r>
    </w:p>
    <w:p w14:paraId="053C779B">
      <w:pPr>
        <w:spacing w:line="640" w:lineRule="exact"/>
        <w:ind w:firstLine="640"/>
        <w:jc w:val="both"/>
        <w:outlineLvl w:val="3"/>
      </w:pPr>
      <w:r>
        <w:rPr>
          <w:rFonts w:ascii="楷体_GB2312" w:hAnsi="楷体_GB2312" w:eastAsia="楷体_GB2312"/>
          <w:b/>
          <w:sz w:val="32"/>
        </w:rPr>
        <w:t>（三）国有资产占用情况说明</w:t>
      </w:r>
    </w:p>
    <w:p w14:paraId="703578F1">
      <w:pPr>
        <w:spacing w:line="580" w:lineRule="exact"/>
        <w:ind w:firstLine="640"/>
        <w:jc w:val="both"/>
      </w:pPr>
      <w:r>
        <w:rPr>
          <w:rFonts w:ascii="仿宋_GB2312" w:hAnsi="仿宋_GB2312" w:eastAsia="仿宋_GB2312"/>
          <w:b w:val="0"/>
          <w:sz w:val="32"/>
        </w:rPr>
        <w:t>截至2024年12月31日，房屋0.00平方米，价值0.00万元。车辆7辆，价值127.43万元，其中：副部（省）级及以上领导用车0辆、主要负责人用车0辆、机要通信用车0辆、应急保障用车0辆、执法执勤用车5辆、特种专业技术用车0辆、离退休干部服务用车0辆、其他用车2辆，其他用车主要是：一般公务用车。单价100万元（含）以上设备（不含车辆）0台（套）。</w:t>
      </w:r>
    </w:p>
    <w:p w14:paraId="2EFD3347">
      <w:pPr>
        <w:spacing w:line="640" w:lineRule="exact"/>
        <w:ind w:firstLine="640"/>
        <w:jc w:val="both"/>
        <w:outlineLvl w:val="2"/>
      </w:pPr>
      <w:r>
        <w:rPr>
          <w:rFonts w:ascii="黑体" w:hAnsi="黑体" w:eastAsia="黑体"/>
          <w:sz w:val="32"/>
        </w:rPr>
        <w:t>十一、预算绩效的情况说明</w:t>
      </w:r>
    </w:p>
    <w:p w14:paraId="3FA0DF8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根据预算绩效管理要求，本单位2024年度预算绩效管理形成整体支出绩效自评表1个，全年预算总额2,243.95万元，实际执行总额2,243.95万元；预算绩效评价项目</w:t>
      </w:r>
      <w:r>
        <w:rPr>
          <w:rFonts w:hint="eastAsia" w:ascii="仿宋_GB2312" w:hAnsi="仿宋_GB2312" w:eastAsia="仿宋_GB2312"/>
          <w:b w:val="0"/>
          <w:sz w:val="32"/>
          <w:lang w:val="en-US" w:eastAsia="zh-CN"/>
        </w:rPr>
        <w:t>4</w:t>
      </w:r>
      <w:r>
        <w:rPr>
          <w:rFonts w:ascii="仿宋_GB2312" w:hAnsi="仿宋_GB2312" w:eastAsia="仿宋_GB2312"/>
          <w:b w:val="0"/>
          <w:sz w:val="32"/>
        </w:rPr>
        <w:t>个，全年预算数</w:t>
      </w:r>
      <w:r>
        <w:rPr>
          <w:rFonts w:hint="eastAsia" w:ascii="仿宋_GB2312" w:hAnsi="仿宋_GB2312" w:eastAsia="仿宋_GB2312"/>
          <w:b w:val="0"/>
          <w:sz w:val="32"/>
        </w:rPr>
        <w:t>153.01</w:t>
      </w:r>
      <w:r>
        <w:rPr>
          <w:rFonts w:ascii="仿宋_GB2312" w:hAnsi="仿宋_GB2312" w:eastAsia="仿宋_GB2312"/>
          <w:b w:val="0"/>
          <w:sz w:val="32"/>
        </w:rPr>
        <w:t>万元，全年执行数</w:t>
      </w:r>
      <w:r>
        <w:rPr>
          <w:rFonts w:hint="eastAsia" w:ascii="仿宋_GB2312" w:hAnsi="仿宋_GB2312" w:eastAsia="仿宋_GB2312"/>
          <w:b w:val="0"/>
          <w:sz w:val="32"/>
        </w:rPr>
        <w:t>153.01</w:t>
      </w:r>
      <w:r>
        <w:rPr>
          <w:rFonts w:ascii="仿宋_GB2312" w:hAnsi="仿宋_GB2312" w:eastAsia="仿宋_GB2312"/>
          <w:b w:val="0"/>
          <w:sz w:val="32"/>
        </w:rPr>
        <w:t>万元。预算绩效管理取得的成效：一是资金使用效益提升，通过设定绩效目标、跟踪执行和事后评价，推动资金向高效益项目倾斜，减少“重分配、轻管理”现象；二是预算编制科学性增强，绩效目标与预算编制挂钩，在申报资金时明确项目预期成果，避免“拍脑袋”分配，使预算安排更贴合实际需求；三是责任意识强化，绩效评价结果与问责、整改联动，对项目全周期管理的主动性提高，从“要资金”转向“管好用好资金”。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14:paraId="7FB4B26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25AB2E6">
        <w:tblPrEx>
          <w:tblCellMar>
            <w:top w:w="0" w:type="dxa"/>
            <w:left w:w="108" w:type="dxa"/>
            <w:bottom w:w="0" w:type="dxa"/>
            <w:right w:w="108" w:type="dxa"/>
          </w:tblCellMar>
        </w:tblPrEx>
        <w:tc>
          <w:tcPr>
            <w:tcW w:w="8840" w:type="dxa"/>
            <w:gridSpan w:val="8"/>
            <w:vAlign w:val="center"/>
          </w:tcPr>
          <w:p w14:paraId="193E307C">
            <w:pPr>
              <w:jc w:val="center"/>
            </w:pPr>
            <w:r>
              <w:rPr>
                <w:rFonts w:ascii="宋体" w:hAnsi="宋体" w:eastAsia="宋体"/>
                <w:sz w:val="24"/>
              </w:rPr>
              <w:t>单位整体支出绩效自评表</w:t>
            </w:r>
          </w:p>
        </w:tc>
      </w:tr>
      <w:tr w14:paraId="1B240E86">
        <w:tblPrEx>
          <w:tblCellMar>
            <w:top w:w="0" w:type="dxa"/>
            <w:left w:w="108" w:type="dxa"/>
            <w:bottom w:w="0" w:type="dxa"/>
            <w:right w:w="108" w:type="dxa"/>
          </w:tblCellMar>
        </w:tblPrEx>
        <w:tc>
          <w:tcPr>
            <w:tcW w:w="8840" w:type="dxa"/>
            <w:gridSpan w:val="8"/>
            <w:vAlign w:val="center"/>
          </w:tcPr>
          <w:p w14:paraId="6A803EC5">
            <w:pPr>
              <w:jc w:val="center"/>
            </w:pPr>
            <w:r>
              <w:rPr>
                <w:rFonts w:ascii="宋体" w:hAnsi="宋体" w:eastAsia="宋体"/>
                <w:sz w:val="24"/>
              </w:rPr>
              <w:t>（2024年度）</w:t>
            </w:r>
          </w:p>
        </w:tc>
      </w:tr>
      <w:tr w14:paraId="0916497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C8FF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D4E69D">
            <w:pPr>
              <w:jc w:val="center"/>
            </w:pPr>
            <w:r>
              <w:rPr>
                <w:rFonts w:ascii="宋体" w:hAnsi="宋体" w:eastAsia="宋体"/>
                <w:sz w:val="16"/>
              </w:rPr>
              <w:t>中共托里县纪律检查委员会</w:t>
            </w:r>
          </w:p>
        </w:tc>
      </w:tr>
      <w:tr w14:paraId="44FF7BC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A814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892A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1BAE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DB455">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81C9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DF66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F219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A9138">
            <w:pPr>
              <w:jc w:val="center"/>
            </w:pPr>
            <w:r>
              <w:rPr>
                <w:rFonts w:ascii="宋体" w:hAnsi="宋体" w:eastAsia="宋体"/>
                <w:sz w:val="16"/>
              </w:rPr>
              <w:t>得分</w:t>
            </w:r>
          </w:p>
        </w:tc>
      </w:tr>
      <w:tr w14:paraId="39812A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D325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9299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B0DE8">
            <w:pPr>
              <w:jc w:val="center"/>
            </w:pPr>
            <w:r>
              <w:rPr>
                <w:rFonts w:ascii="宋体" w:hAnsi="宋体" w:eastAsia="宋体"/>
                <w:sz w:val="16"/>
              </w:rPr>
              <w:t>1,853.79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7E10C">
            <w:pPr>
              <w:jc w:val="center"/>
            </w:pPr>
            <w:r>
              <w:rPr>
                <w:rFonts w:ascii="宋体" w:hAnsi="宋体" w:eastAsia="宋体"/>
                <w:sz w:val="16"/>
              </w:rPr>
              <w:t>2,243.95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540C1">
            <w:pPr>
              <w:jc w:val="center"/>
            </w:pPr>
            <w:r>
              <w:rPr>
                <w:rFonts w:ascii="宋体" w:hAnsi="宋体" w:eastAsia="宋体"/>
                <w:sz w:val="16"/>
              </w:rPr>
              <w:t>2,243.95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C02C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3A166">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4D040">
            <w:pPr>
              <w:jc w:val="center"/>
            </w:pPr>
            <w:r>
              <w:rPr>
                <w:rFonts w:ascii="宋体" w:hAnsi="宋体" w:eastAsia="宋体"/>
                <w:sz w:val="16"/>
              </w:rPr>
              <w:t>10</w:t>
            </w:r>
          </w:p>
        </w:tc>
      </w:tr>
      <w:tr w14:paraId="311F9D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754B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DD3F3">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0E30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8475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6085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BDC8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A942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90666">
            <w:pPr>
              <w:jc w:val="center"/>
            </w:pPr>
            <w:r>
              <w:rPr>
                <w:rFonts w:ascii="宋体" w:hAnsi="宋体" w:eastAsia="宋体"/>
                <w:sz w:val="16"/>
              </w:rPr>
              <w:t>-</w:t>
            </w:r>
          </w:p>
        </w:tc>
      </w:tr>
      <w:tr w14:paraId="021AE9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596F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55BB8">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CA2B6">
            <w:pPr>
              <w:jc w:val="center"/>
            </w:pPr>
            <w:r>
              <w:rPr>
                <w:rFonts w:ascii="宋体" w:hAnsi="宋体" w:eastAsia="宋体"/>
                <w:sz w:val="16"/>
              </w:rPr>
              <w:t>1,853.79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1C316">
            <w:pPr>
              <w:jc w:val="center"/>
            </w:pPr>
            <w:r>
              <w:rPr>
                <w:rFonts w:ascii="宋体" w:hAnsi="宋体" w:eastAsia="宋体"/>
                <w:sz w:val="16"/>
              </w:rPr>
              <w:t>2,243.95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3EFDE">
            <w:pPr>
              <w:jc w:val="center"/>
            </w:pPr>
            <w:r>
              <w:rPr>
                <w:rFonts w:ascii="宋体" w:hAnsi="宋体" w:eastAsia="宋体"/>
                <w:sz w:val="16"/>
              </w:rPr>
              <w:t>2,243.95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7DA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55A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B85C6">
            <w:pPr>
              <w:jc w:val="center"/>
            </w:pPr>
            <w:r>
              <w:rPr>
                <w:rFonts w:ascii="宋体" w:hAnsi="宋体" w:eastAsia="宋体"/>
                <w:sz w:val="16"/>
              </w:rPr>
              <w:t>-</w:t>
            </w:r>
          </w:p>
        </w:tc>
      </w:tr>
      <w:tr w14:paraId="670E46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99E8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F22EE">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294D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F13A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94AE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5E8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CBB8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A63D2">
            <w:pPr>
              <w:jc w:val="center"/>
            </w:pPr>
            <w:r>
              <w:rPr>
                <w:rFonts w:ascii="宋体" w:hAnsi="宋体" w:eastAsia="宋体"/>
                <w:sz w:val="16"/>
              </w:rPr>
              <w:t>-</w:t>
            </w:r>
          </w:p>
        </w:tc>
      </w:tr>
      <w:tr w14:paraId="67B02CB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A6E6A">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A530D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0F16C7">
            <w:pPr>
              <w:jc w:val="center"/>
            </w:pPr>
            <w:r>
              <w:rPr>
                <w:rFonts w:ascii="宋体" w:hAnsi="宋体" w:eastAsia="宋体"/>
                <w:sz w:val="16"/>
              </w:rPr>
              <w:t>实际完成情况</w:t>
            </w:r>
          </w:p>
        </w:tc>
      </w:tr>
      <w:tr w14:paraId="24CE68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71B85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D3E88D">
            <w:pPr>
              <w:jc w:val="both"/>
            </w:pPr>
            <w:r>
              <w:rPr>
                <w:rFonts w:hint="eastAsia" w:ascii="宋体" w:hAnsi="宋体"/>
                <w:sz w:val="16"/>
                <w:lang w:eastAsia="zh-CN"/>
              </w:rPr>
              <w:t>1.</w:t>
            </w:r>
            <w:r>
              <w:rPr>
                <w:rFonts w:ascii="宋体" w:hAnsi="宋体" w:eastAsia="宋体"/>
                <w:sz w:val="16"/>
              </w:rPr>
              <w:t>保障</w:t>
            </w:r>
            <w:r>
              <w:rPr>
                <w:rFonts w:hint="eastAsia" w:ascii="宋体" w:hAnsi="宋体"/>
                <w:sz w:val="16"/>
                <w:lang w:val="en-US" w:eastAsia="zh-CN"/>
              </w:rPr>
              <w:t>人员</w:t>
            </w:r>
            <w:r>
              <w:rPr>
                <w:rFonts w:ascii="宋体" w:hAnsi="宋体" w:eastAsia="宋体"/>
                <w:sz w:val="16"/>
              </w:rPr>
              <w:t>工资、社保、住房按时发放；2、持之以恒推进政治监督具体化、精准化、常态化，确保党中央重大决策部署落地落实，保障监督执纪、审查调查等工作正常开展，确保各项工作任务按时完成；3、</w:t>
            </w:r>
            <w:r>
              <w:rPr>
                <w:rFonts w:hint="eastAsia" w:ascii="宋体" w:hAnsi="宋体"/>
                <w:sz w:val="16"/>
                <w:lang w:eastAsia="zh-CN"/>
              </w:rPr>
              <w:t>依照</w:t>
            </w:r>
            <w:r>
              <w:rPr>
                <w:rFonts w:ascii="宋体" w:hAnsi="宋体" w:eastAsia="宋体"/>
                <w:sz w:val="16"/>
              </w:rPr>
              <w:t>法律法规履行监督、调查、处置职责，办理留置案件不少于2件；4、做好全心监察、巡察工作；5、案件办理及时率不低于90%，立案结案率办结率不低于90%。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779C90">
            <w:pPr>
              <w:jc w:val="both"/>
            </w:pPr>
            <w:r>
              <w:rPr>
                <w:rFonts w:hint="eastAsia" w:ascii="宋体" w:hAnsi="宋体"/>
                <w:sz w:val="16"/>
                <w:lang w:eastAsia="zh-CN"/>
              </w:rPr>
              <w:t>1.</w:t>
            </w:r>
            <w:r>
              <w:rPr>
                <w:rFonts w:ascii="宋体" w:hAnsi="宋体" w:eastAsia="宋体"/>
                <w:sz w:val="16"/>
              </w:rPr>
              <w:t>保障</w:t>
            </w:r>
            <w:r>
              <w:rPr>
                <w:rFonts w:hint="eastAsia" w:ascii="宋体" w:hAnsi="宋体"/>
                <w:sz w:val="16"/>
                <w:lang w:val="en-US" w:eastAsia="zh-CN"/>
              </w:rPr>
              <w:t>人员</w:t>
            </w:r>
            <w:r>
              <w:rPr>
                <w:rFonts w:ascii="宋体" w:hAnsi="宋体" w:eastAsia="宋体"/>
                <w:sz w:val="16"/>
              </w:rPr>
              <w:t>工资、社保、住房按时发放；2、持之以恒推进政治监督具体化、精准化、常态化，确保党中央重大决策部署落地落实，保障监督执纪、审查调查等工作正常开展，确保各项工作任务按时完成；3、</w:t>
            </w:r>
            <w:r>
              <w:rPr>
                <w:rFonts w:hint="eastAsia" w:ascii="宋体" w:hAnsi="宋体"/>
                <w:sz w:val="16"/>
                <w:lang w:eastAsia="zh-CN"/>
              </w:rPr>
              <w:t>依照</w:t>
            </w:r>
            <w:r>
              <w:rPr>
                <w:rFonts w:ascii="宋体" w:hAnsi="宋体" w:eastAsia="宋体"/>
                <w:sz w:val="16"/>
              </w:rPr>
              <w:t>法律法规履行监督、调查、处置职责，办理留置案件2件；4、做好全心监察、巡察工作；5、案件办理及时率90%，立案结案率办结率90%。</w:t>
            </w:r>
          </w:p>
        </w:tc>
      </w:tr>
      <w:tr w14:paraId="662E796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D328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B3EB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8721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0C21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047D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500E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927B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2641E">
            <w:pPr>
              <w:jc w:val="center"/>
            </w:pPr>
            <w:r>
              <w:rPr>
                <w:rFonts w:ascii="宋体" w:hAnsi="宋体" w:eastAsia="宋体"/>
                <w:sz w:val="16"/>
              </w:rPr>
              <w:t>得分</w:t>
            </w:r>
          </w:p>
        </w:tc>
      </w:tr>
      <w:tr w14:paraId="1286CDA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E5B1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7E71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48C79">
            <w:pPr>
              <w:jc w:val="center"/>
            </w:pPr>
            <w:r>
              <w:rPr>
                <w:rFonts w:ascii="宋体" w:hAnsi="宋体" w:eastAsia="宋体"/>
                <w:sz w:val="16"/>
              </w:rPr>
              <w:t>专项监督检查次数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CFDC8">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CA34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208C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DA0D7">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34D49">
            <w:pPr>
              <w:jc w:val="center"/>
            </w:pPr>
            <w:r>
              <w:rPr>
                <w:rFonts w:ascii="宋体" w:hAnsi="宋体" w:eastAsia="宋体"/>
                <w:sz w:val="16"/>
              </w:rPr>
              <w:t>10</w:t>
            </w:r>
          </w:p>
        </w:tc>
      </w:tr>
      <w:tr w14:paraId="0ADC5A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E9D3F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320C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3EE33">
            <w:pPr>
              <w:jc w:val="center"/>
            </w:pPr>
            <w:r>
              <w:rPr>
                <w:rFonts w:ascii="宋体" w:hAnsi="宋体" w:eastAsia="宋体"/>
                <w:sz w:val="16"/>
              </w:rPr>
              <w:t>办案业务培训次数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9D1EF">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535E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5CC2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9154B">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C8B4B">
            <w:pPr>
              <w:jc w:val="center"/>
            </w:pPr>
            <w:r>
              <w:rPr>
                <w:rFonts w:ascii="宋体" w:hAnsi="宋体" w:eastAsia="宋体"/>
                <w:sz w:val="16"/>
              </w:rPr>
              <w:t>10</w:t>
            </w:r>
          </w:p>
        </w:tc>
      </w:tr>
      <w:tr w14:paraId="1FC274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10B74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008C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92534">
            <w:pPr>
              <w:jc w:val="center"/>
            </w:pPr>
            <w:r>
              <w:rPr>
                <w:rFonts w:ascii="宋体" w:hAnsi="宋体" w:eastAsia="宋体"/>
                <w:sz w:val="16"/>
              </w:rPr>
              <w:t>留置案件数量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E415D">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79FA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075F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25A1C">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49792">
            <w:pPr>
              <w:jc w:val="center"/>
            </w:pPr>
            <w:r>
              <w:rPr>
                <w:rFonts w:ascii="宋体" w:hAnsi="宋体" w:eastAsia="宋体"/>
                <w:sz w:val="16"/>
              </w:rPr>
              <w:t>10</w:t>
            </w:r>
          </w:p>
        </w:tc>
      </w:tr>
      <w:tr w14:paraId="03C0352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25023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6702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C2FB1">
            <w:pPr>
              <w:jc w:val="center"/>
            </w:pPr>
            <w:r>
              <w:rPr>
                <w:rFonts w:ascii="宋体" w:hAnsi="宋体" w:eastAsia="宋体"/>
                <w:sz w:val="16"/>
              </w:rPr>
              <w:t>常态化用好用活协作区数量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EAEA1">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DF07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B537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345E2">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11B996">
            <w:pPr>
              <w:jc w:val="center"/>
            </w:pPr>
            <w:r>
              <w:rPr>
                <w:rFonts w:ascii="宋体" w:hAnsi="宋体" w:eastAsia="宋体"/>
                <w:sz w:val="16"/>
              </w:rPr>
              <w:t>10</w:t>
            </w:r>
          </w:p>
        </w:tc>
      </w:tr>
      <w:tr w14:paraId="02D4FB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95E80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3094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35DA4">
            <w:pPr>
              <w:jc w:val="center"/>
            </w:pPr>
            <w:r>
              <w:rPr>
                <w:rFonts w:ascii="宋体" w:hAnsi="宋体" w:eastAsia="宋体"/>
                <w:sz w:val="16"/>
              </w:rPr>
              <w:t>开展党风廉政宣传教育活动次数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CB85E">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E182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D640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789E2">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FD2C6">
            <w:pPr>
              <w:jc w:val="center"/>
            </w:pPr>
            <w:r>
              <w:rPr>
                <w:rFonts w:ascii="宋体" w:hAnsi="宋体" w:eastAsia="宋体"/>
                <w:sz w:val="16"/>
              </w:rPr>
              <w:t>10</w:t>
            </w:r>
          </w:p>
        </w:tc>
      </w:tr>
      <w:tr w14:paraId="60FF2D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6084EF"/>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F150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21570">
            <w:pPr>
              <w:jc w:val="center"/>
            </w:pPr>
            <w:r>
              <w:rPr>
                <w:rFonts w:ascii="宋体" w:hAnsi="宋体" w:eastAsia="宋体"/>
                <w:sz w:val="16"/>
              </w:rPr>
              <w:t>审查调查案件办结率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C9A72">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BB3F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035A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015D4">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CA280">
            <w:pPr>
              <w:jc w:val="center"/>
            </w:pPr>
            <w:r>
              <w:rPr>
                <w:rFonts w:ascii="宋体" w:hAnsi="宋体" w:eastAsia="宋体"/>
                <w:sz w:val="16"/>
              </w:rPr>
              <w:t>10</w:t>
            </w:r>
          </w:p>
        </w:tc>
      </w:tr>
      <w:tr w14:paraId="0AA244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8CDF8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AE17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E586F">
            <w:pPr>
              <w:jc w:val="center"/>
            </w:pPr>
            <w:r>
              <w:rPr>
                <w:rFonts w:ascii="宋体" w:hAnsi="宋体" w:eastAsia="宋体"/>
                <w:sz w:val="16"/>
              </w:rPr>
              <w:t>信访案件按时办结率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7BB00">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3254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5A499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C7F21">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2F108">
            <w:pPr>
              <w:jc w:val="center"/>
            </w:pPr>
            <w:r>
              <w:rPr>
                <w:rFonts w:ascii="宋体" w:hAnsi="宋体" w:eastAsia="宋体"/>
                <w:sz w:val="16"/>
              </w:rPr>
              <w:t>10</w:t>
            </w:r>
          </w:p>
        </w:tc>
      </w:tr>
      <w:tr w14:paraId="0FF629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16F4E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AA54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7416A">
            <w:pPr>
              <w:jc w:val="center"/>
            </w:pPr>
            <w:r>
              <w:rPr>
                <w:rFonts w:ascii="宋体" w:hAnsi="宋体" w:eastAsia="宋体"/>
                <w:sz w:val="16"/>
              </w:rPr>
              <w:t>全年案件结案率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469DD">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6A47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9108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799AE">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89A40">
            <w:pPr>
              <w:jc w:val="center"/>
            </w:pPr>
            <w:r>
              <w:rPr>
                <w:rFonts w:ascii="宋体" w:hAnsi="宋体" w:eastAsia="宋体"/>
                <w:sz w:val="16"/>
              </w:rPr>
              <w:t>10</w:t>
            </w:r>
          </w:p>
        </w:tc>
      </w:tr>
      <w:tr w14:paraId="35263E9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90E42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02F8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8B58C0">
            <w:pPr>
              <w:jc w:val="center"/>
            </w:pPr>
            <w:r>
              <w:rPr>
                <w:rFonts w:ascii="宋体" w:hAnsi="宋体" w:eastAsia="宋体"/>
                <w:sz w:val="16"/>
              </w:rPr>
              <w:t>走读式谈话场所办案安全率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6257A">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3407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367A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81034">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3D641">
            <w:pPr>
              <w:jc w:val="center"/>
            </w:pPr>
            <w:r>
              <w:rPr>
                <w:rFonts w:ascii="宋体" w:hAnsi="宋体" w:eastAsia="宋体"/>
                <w:sz w:val="16"/>
              </w:rPr>
              <w:t>10</w:t>
            </w:r>
          </w:p>
        </w:tc>
      </w:tr>
    </w:tbl>
    <w:p w14:paraId="39220C5B">
      <w:r>
        <w:br w:type="page"/>
      </w:r>
    </w:p>
    <w:tbl>
      <w:tblPr>
        <w:tblStyle w:val="9"/>
        <w:tblW w:w="0" w:type="auto"/>
        <w:tblInd w:w="0" w:type="dxa"/>
        <w:tblLayout w:type="autofit"/>
        <w:tblCellMar>
          <w:top w:w="0" w:type="dxa"/>
          <w:left w:w="108" w:type="dxa"/>
          <w:bottom w:w="0" w:type="dxa"/>
          <w:right w:w="108" w:type="dxa"/>
        </w:tblCellMar>
      </w:tblPr>
      <w:tblGrid>
        <w:gridCol w:w="613"/>
        <w:gridCol w:w="583"/>
        <w:gridCol w:w="584"/>
        <w:gridCol w:w="614"/>
        <w:gridCol w:w="936"/>
        <w:gridCol w:w="584"/>
        <w:gridCol w:w="584"/>
        <w:gridCol w:w="599"/>
        <w:gridCol w:w="584"/>
        <w:gridCol w:w="584"/>
        <w:gridCol w:w="856"/>
        <w:gridCol w:w="614"/>
        <w:gridCol w:w="696"/>
        <w:gridCol w:w="629"/>
      </w:tblGrid>
      <w:tr w14:paraId="61D42EFD">
        <w:tc>
          <w:tcPr>
            <w:tcW w:w="8848" w:type="dxa"/>
            <w:gridSpan w:val="14"/>
            <w:vAlign w:val="center"/>
          </w:tcPr>
          <w:p w14:paraId="4B823FCB">
            <w:pPr>
              <w:jc w:val="center"/>
            </w:pPr>
            <w:r>
              <w:rPr>
                <w:rFonts w:ascii="宋体" w:hAnsi="宋体" w:eastAsia="宋体"/>
                <w:sz w:val="24"/>
              </w:rPr>
              <w:t>项目支出绩效自评表</w:t>
            </w:r>
          </w:p>
        </w:tc>
      </w:tr>
      <w:tr w14:paraId="58C0AF45">
        <w:tblPrEx>
          <w:tblCellMar>
            <w:top w:w="0" w:type="dxa"/>
            <w:left w:w="108" w:type="dxa"/>
            <w:bottom w:w="0" w:type="dxa"/>
            <w:right w:w="108" w:type="dxa"/>
          </w:tblCellMar>
        </w:tblPrEx>
        <w:tc>
          <w:tcPr>
            <w:tcW w:w="8848" w:type="dxa"/>
            <w:gridSpan w:val="14"/>
            <w:vAlign w:val="center"/>
          </w:tcPr>
          <w:p w14:paraId="2D27E385">
            <w:pPr>
              <w:jc w:val="center"/>
            </w:pPr>
            <w:r>
              <w:rPr>
                <w:rFonts w:ascii="宋体" w:hAnsi="宋体" w:eastAsia="宋体"/>
                <w:sz w:val="24"/>
              </w:rPr>
              <w:t>(2024年度)</w:t>
            </w:r>
          </w:p>
        </w:tc>
      </w:tr>
      <w:tr w14:paraId="3A8505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BFDA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DEFB04">
            <w:pPr>
              <w:jc w:val="center"/>
            </w:pPr>
            <w:r>
              <w:rPr>
                <w:rFonts w:ascii="宋体" w:hAnsi="宋体" w:eastAsia="宋体"/>
                <w:sz w:val="16"/>
              </w:rPr>
              <w:t>地方专项-2024年其他项目类，两项拖欠款项目经费</w:t>
            </w:r>
          </w:p>
        </w:tc>
      </w:tr>
      <w:tr w14:paraId="33FC0E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C0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EBBDAC">
            <w:pPr>
              <w:jc w:val="center"/>
            </w:pPr>
            <w:r>
              <w:rPr>
                <w:rFonts w:ascii="宋体" w:hAnsi="宋体" w:eastAsia="宋体"/>
                <w:sz w:val="16"/>
              </w:rPr>
              <w:t>中共托里县纪律检查委员会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012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38D8D4">
            <w:pPr>
              <w:jc w:val="center"/>
            </w:pPr>
            <w:r>
              <w:rPr>
                <w:rFonts w:ascii="宋体" w:hAnsi="宋体" w:eastAsia="宋体"/>
                <w:sz w:val="16"/>
              </w:rPr>
              <w:t>中共托里县纪律检查委员会</w:t>
            </w:r>
          </w:p>
        </w:tc>
      </w:tr>
      <w:tr w14:paraId="7A5AB4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A47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3789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E6B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6A6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3AF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C60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300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F5BB">
            <w:pPr>
              <w:jc w:val="center"/>
            </w:pPr>
            <w:r>
              <w:rPr>
                <w:rFonts w:ascii="宋体" w:hAnsi="宋体" w:eastAsia="宋体"/>
                <w:sz w:val="16"/>
              </w:rPr>
              <w:t>得分</w:t>
            </w:r>
          </w:p>
        </w:tc>
      </w:tr>
      <w:tr w14:paraId="6EDE0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508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2FE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8A51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DBD4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611E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1C0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B7C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D6E1">
            <w:pPr>
              <w:jc w:val="center"/>
            </w:pPr>
            <w:r>
              <w:rPr>
                <w:rFonts w:ascii="宋体" w:hAnsi="宋体" w:eastAsia="宋体"/>
                <w:sz w:val="16"/>
              </w:rPr>
              <w:t>10.00</w:t>
            </w:r>
          </w:p>
        </w:tc>
      </w:tr>
      <w:tr w14:paraId="23C4C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0BB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EF1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95E7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4D04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301D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0C6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CD7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9BD9">
            <w:pPr>
              <w:jc w:val="center"/>
            </w:pPr>
            <w:r>
              <w:rPr>
                <w:rFonts w:ascii="宋体" w:hAnsi="宋体" w:eastAsia="宋体"/>
                <w:sz w:val="16"/>
              </w:rPr>
              <w:t>—</w:t>
            </w:r>
          </w:p>
        </w:tc>
      </w:tr>
      <w:tr w14:paraId="64DEB4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88A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C63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7FD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0C3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302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872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D10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91CD">
            <w:pPr>
              <w:jc w:val="center"/>
            </w:pPr>
            <w:r>
              <w:rPr>
                <w:rFonts w:ascii="宋体" w:hAnsi="宋体" w:eastAsia="宋体"/>
                <w:sz w:val="16"/>
              </w:rPr>
              <w:t>—</w:t>
            </w:r>
          </w:p>
        </w:tc>
      </w:tr>
      <w:tr w14:paraId="03A1DC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2610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BF31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0AADE0">
            <w:pPr>
              <w:jc w:val="center"/>
            </w:pPr>
            <w:r>
              <w:rPr>
                <w:rFonts w:ascii="宋体" w:hAnsi="宋体" w:eastAsia="宋体"/>
                <w:sz w:val="16"/>
              </w:rPr>
              <w:t>实际完成情况</w:t>
            </w:r>
          </w:p>
        </w:tc>
      </w:tr>
      <w:tr w14:paraId="41B5D6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D2F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44E21F">
            <w:pPr>
              <w:jc w:val="both"/>
            </w:pPr>
            <w:r>
              <w:rPr>
                <w:rFonts w:ascii="宋体" w:hAnsi="宋体" w:eastAsia="宋体"/>
                <w:sz w:val="16"/>
              </w:rPr>
              <w:t>通过计划支付2018年新建办案点提升改造建设-EPC项目及2021年建设纪检监察系统电子政务外网项目，提高项目还款清算率。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8E110D">
            <w:pPr>
              <w:jc w:val="both"/>
            </w:pPr>
            <w:r>
              <w:rPr>
                <w:rFonts w:ascii="宋体" w:hAnsi="宋体" w:eastAsia="宋体"/>
                <w:sz w:val="16"/>
              </w:rPr>
              <w:t>该项目资金已完成2018年新建办案点提升改造建设-EPC项目欠款完成率达60%；完成2021年建设纪检监察系统电子政务外网项目欠款完成率达100%，提高了项目还款清算率预期目标。</w:t>
            </w:r>
          </w:p>
        </w:tc>
      </w:tr>
      <w:tr w14:paraId="38CFAD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CB0C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88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939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033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0481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FE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CC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08F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245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D0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168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548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F4B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8A935">
            <w:pPr>
              <w:jc w:val="center"/>
            </w:pPr>
            <w:r>
              <w:rPr>
                <w:rFonts w:ascii="宋体" w:hAnsi="宋体" w:eastAsia="宋体"/>
                <w:sz w:val="16"/>
              </w:rPr>
              <w:t>偏差原因分析及改进措施</w:t>
            </w:r>
          </w:p>
        </w:tc>
      </w:tr>
      <w:tr w14:paraId="0108B9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2EE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B116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A6C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4391">
            <w:pPr>
              <w:jc w:val="center"/>
            </w:pPr>
            <w:r>
              <w:rPr>
                <w:rFonts w:ascii="宋体" w:hAnsi="宋体" w:eastAsia="宋体"/>
                <w:sz w:val="16"/>
              </w:rPr>
              <w:t>完成欠款笔数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AC34E">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3E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19C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1A8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D4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352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8028">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36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E56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F455">
            <w:pPr>
              <w:jc w:val="center"/>
            </w:pPr>
          </w:p>
        </w:tc>
      </w:tr>
      <w:tr w14:paraId="5C053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77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CB2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2E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BC5D">
            <w:pPr>
              <w:jc w:val="center"/>
            </w:pPr>
            <w:r>
              <w:rPr>
                <w:rFonts w:ascii="宋体" w:hAnsi="宋体" w:eastAsia="宋体"/>
                <w:sz w:val="16"/>
              </w:rPr>
              <w:t>完成2018年新建办案点提升改造项目欠款比例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F4C0">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82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CC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325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AE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3FD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6689">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FF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9752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3120">
            <w:pPr>
              <w:jc w:val="center"/>
            </w:pPr>
          </w:p>
        </w:tc>
      </w:tr>
      <w:tr w14:paraId="46D8D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A0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3AC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C3F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4184">
            <w:pPr>
              <w:jc w:val="center"/>
            </w:pPr>
            <w:r>
              <w:rPr>
                <w:rFonts w:ascii="宋体" w:hAnsi="宋体" w:eastAsia="宋体"/>
                <w:sz w:val="16"/>
              </w:rPr>
              <w:t>完成2021年建设纪检监察系统电子政务外网项目欠款比例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7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64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38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6E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2B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E64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8A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4E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321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51CB">
            <w:pPr>
              <w:jc w:val="center"/>
            </w:pPr>
          </w:p>
        </w:tc>
      </w:tr>
      <w:tr w14:paraId="58277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40A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768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DB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7B7A">
            <w:pPr>
              <w:jc w:val="center"/>
            </w:pPr>
            <w:r>
              <w:rPr>
                <w:rFonts w:ascii="宋体" w:hAnsi="宋体" w:eastAsia="宋体"/>
                <w:sz w:val="16"/>
              </w:rPr>
              <w:t>支付欠款准确率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CB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56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15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FC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05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3567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2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D6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BF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4B81">
            <w:pPr>
              <w:jc w:val="center"/>
            </w:pPr>
          </w:p>
        </w:tc>
      </w:tr>
      <w:tr w14:paraId="6801A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8AB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CD9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87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E020">
            <w:pPr>
              <w:jc w:val="center"/>
            </w:pPr>
            <w:r>
              <w:rPr>
                <w:rFonts w:ascii="宋体" w:hAnsi="宋体" w:eastAsia="宋体"/>
                <w:sz w:val="16"/>
              </w:rPr>
              <w:t>支付欠款及时率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A8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69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5B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A5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8B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42C9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14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41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78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40F9">
            <w:pPr>
              <w:jc w:val="center"/>
            </w:pPr>
          </w:p>
        </w:tc>
      </w:tr>
      <w:tr w14:paraId="73D909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589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8918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6B9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4C2F">
            <w:pPr>
              <w:jc w:val="center"/>
            </w:pPr>
            <w:r>
              <w:rPr>
                <w:rFonts w:ascii="宋体" w:hAnsi="宋体" w:eastAsia="宋体"/>
                <w:sz w:val="16"/>
              </w:rPr>
              <w:t>2018年新建办案提升改造建设-EPC项目还款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F92B">
            <w:pPr>
              <w:jc w:val="center"/>
            </w:pPr>
            <w:r>
              <w:rPr>
                <w:rFonts w:ascii="宋体" w:hAnsi="宋体" w:eastAsia="宋体"/>
                <w:sz w:val="16"/>
              </w:rPr>
              <w:t>&lt;=88.1275万元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69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5C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83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21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BFC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8699">
            <w:pPr>
              <w:jc w:val="center"/>
            </w:pPr>
            <w:r>
              <w:rPr>
                <w:rFonts w:ascii="宋体" w:hAnsi="宋体" w:eastAsia="宋体"/>
                <w:sz w:val="16"/>
              </w:rPr>
              <w:t>=88.1275万元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92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9C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5E2E">
            <w:pPr>
              <w:jc w:val="center"/>
            </w:pPr>
          </w:p>
        </w:tc>
      </w:tr>
      <w:tr w14:paraId="5B621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B69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FB7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EA7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27C8">
            <w:pPr>
              <w:jc w:val="center"/>
            </w:pPr>
            <w:r>
              <w:rPr>
                <w:rFonts w:ascii="宋体" w:hAnsi="宋体" w:eastAsia="宋体"/>
                <w:sz w:val="16"/>
              </w:rPr>
              <w:t>2021年建设纪检监察系统电子政务外网项目还款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2465">
            <w:pPr>
              <w:jc w:val="center"/>
            </w:pPr>
            <w:r>
              <w:rPr>
                <w:rFonts w:ascii="宋体" w:hAnsi="宋体" w:eastAsia="宋体"/>
                <w:sz w:val="16"/>
              </w:rPr>
              <w:t>&lt;=11.87万元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6B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17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79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DF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225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1B97">
            <w:pPr>
              <w:jc w:val="center"/>
            </w:pPr>
            <w:r>
              <w:rPr>
                <w:rFonts w:ascii="宋体" w:hAnsi="宋体" w:eastAsia="宋体"/>
                <w:sz w:val="16"/>
              </w:rPr>
              <w:t>=11.87万元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25A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6D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D467">
            <w:pPr>
              <w:jc w:val="center"/>
            </w:pPr>
          </w:p>
        </w:tc>
      </w:tr>
      <w:tr w14:paraId="0B7F2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9EE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152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54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94C6">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B02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971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4B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4A1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377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0DE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D25E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CD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5D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97FCB">
            <w:pPr>
              <w:jc w:val="center"/>
            </w:pPr>
          </w:p>
        </w:tc>
      </w:tr>
      <w:tr w14:paraId="2331D56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BD91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F12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3704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27B3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C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94D8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DD06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CED5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3040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25F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3867B7"/>
        </w:tc>
      </w:tr>
    </w:tbl>
    <w:p w14:paraId="5F668501">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274C3538">
        <w:tblPrEx>
          <w:tblCellMar>
            <w:top w:w="0" w:type="dxa"/>
            <w:left w:w="108" w:type="dxa"/>
            <w:bottom w:w="0" w:type="dxa"/>
            <w:right w:w="108" w:type="dxa"/>
          </w:tblCellMar>
        </w:tblPrEx>
        <w:tc>
          <w:tcPr>
            <w:tcW w:w="8848" w:type="dxa"/>
            <w:gridSpan w:val="14"/>
            <w:vAlign w:val="center"/>
          </w:tcPr>
          <w:p w14:paraId="44D35F95">
            <w:pPr>
              <w:jc w:val="center"/>
            </w:pPr>
            <w:r>
              <w:rPr>
                <w:rFonts w:ascii="宋体" w:hAnsi="宋体" w:eastAsia="宋体"/>
                <w:sz w:val="24"/>
              </w:rPr>
              <w:t>项目支出绩效自评表</w:t>
            </w:r>
          </w:p>
        </w:tc>
      </w:tr>
      <w:tr w14:paraId="3C8CC37A">
        <w:tblPrEx>
          <w:tblCellMar>
            <w:top w:w="0" w:type="dxa"/>
            <w:left w:w="108" w:type="dxa"/>
            <w:bottom w:w="0" w:type="dxa"/>
            <w:right w:w="108" w:type="dxa"/>
          </w:tblCellMar>
        </w:tblPrEx>
        <w:tc>
          <w:tcPr>
            <w:tcW w:w="8848" w:type="dxa"/>
            <w:gridSpan w:val="14"/>
            <w:vAlign w:val="center"/>
          </w:tcPr>
          <w:p w14:paraId="41CD1C2F">
            <w:pPr>
              <w:jc w:val="center"/>
            </w:pPr>
            <w:r>
              <w:rPr>
                <w:rFonts w:ascii="宋体" w:hAnsi="宋体" w:eastAsia="宋体"/>
                <w:sz w:val="24"/>
              </w:rPr>
              <w:t>(2024年度)</w:t>
            </w:r>
          </w:p>
        </w:tc>
      </w:tr>
      <w:tr w14:paraId="3AE73D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4A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500B1F">
            <w:pPr>
              <w:jc w:val="center"/>
            </w:pPr>
            <w:r>
              <w:rPr>
                <w:rFonts w:ascii="宋体" w:hAnsi="宋体" w:eastAsia="宋体"/>
                <w:sz w:val="16"/>
              </w:rPr>
              <w:t>地方专项-2024年其他项目类，托里县纪委监委干部能力提升教育培训项目</w:t>
            </w:r>
          </w:p>
        </w:tc>
      </w:tr>
      <w:tr w14:paraId="7DED1A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2E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4E1CDE">
            <w:pPr>
              <w:jc w:val="center"/>
            </w:pPr>
            <w:r>
              <w:rPr>
                <w:rFonts w:ascii="宋体" w:hAnsi="宋体" w:eastAsia="宋体"/>
                <w:sz w:val="16"/>
              </w:rPr>
              <w:t>中共托里县纪律检查委员会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64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3D6D45">
            <w:pPr>
              <w:jc w:val="center"/>
            </w:pPr>
            <w:r>
              <w:rPr>
                <w:rFonts w:ascii="宋体" w:hAnsi="宋体" w:eastAsia="宋体"/>
                <w:sz w:val="16"/>
              </w:rPr>
              <w:t>中共托里县纪律检查委员会</w:t>
            </w:r>
          </w:p>
        </w:tc>
      </w:tr>
      <w:tr w14:paraId="53441D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481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86B7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9DB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AE7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852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667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939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4BE0">
            <w:pPr>
              <w:jc w:val="center"/>
            </w:pPr>
            <w:r>
              <w:rPr>
                <w:rFonts w:ascii="宋体" w:hAnsi="宋体" w:eastAsia="宋体"/>
                <w:sz w:val="16"/>
              </w:rPr>
              <w:t>得分</w:t>
            </w:r>
          </w:p>
        </w:tc>
      </w:tr>
      <w:tr w14:paraId="1A2BE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951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D4A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CF52D">
            <w:pPr>
              <w:jc w:val="center"/>
            </w:pPr>
            <w:r>
              <w:rPr>
                <w:rFonts w:ascii="宋体" w:hAnsi="宋体" w:eastAsia="宋体"/>
                <w:sz w:val="16"/>
              </w:rPr>
              <w:t>13.41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CDF61">
            <w:pPr>
              <w:jc w:val="center"/>
            </w:pPr>
            <w:r>
              <w:rPr>
                <w:rFonts w:ascii="宋体" w:hAnsi="宋体" w:eastAsia="宋体"/>
                <w:sz w:val="16"/>
              </w:rPr>
              <w:t>13.41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86137">
            <w:pPr>
              <w:jc w:val="center"/>
            </w:pPr>
            <w:r>
              <w:rPr>
                <w:rFonts w:ascii="宋体" w:hAnsi="宋体" w:eastAsia="宋体"/>
                <w:sz w:val="16"/>
              </w:rPr>
              <w:t>13.41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3FE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B04D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5DC9">
            <w:pPr>
              <w:jc w:val="center"/>
            </w:pPr>
            <w:r>
              <w:rPr>
                <w:rFonts w:ascii="宋体" w:hAnsi="宋体" w:eastAsia="宋体"/>
                <w:sz w:val="16"/>
              </w:rPr>
              <w:t>10.00</w:t>
            </w:r>
          </w:p>
        </w:tc>
      </w:tr>
      <w:tr w14:paraId="3D1697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A8E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F84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5ADD8">
            <w:pPr>
              <w:jc w:val="center"/>
            </w:pPr>
            <w:r>
              <w:rPr>
                <w:rFonts w:ascii="宋体" w:hAnsi="宋体" w:eastAsia="宋体"/>
                <w:sz w:val="16"/>
              </w:rPr>
              <w:t>13.41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60E1E">
            <w:pPr>
              <w:jc w:val="center"/>
            </w:pPr>
            <w:r>
              <w:rPr>
                <w:rFonts w:ascii="宋体" w:hAnsi="宋体" w:eastAsia="宋体"/>
                <w:sz w:val="16"/>
              </w:rPr>
              <w:t>13.41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91F71">
            <w:pPr>
              <w:jc w:val="center"/>
            </w:pPr>
            <w:r>
              <w:rPr>
                <w:rFonts w:ascii="宋体" w:hAnsi="宋体" w:eastAsia="宋体"/>
                <w:sz w:val="16"/>
              </w:rPr>
              <w:t>13.41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5DF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40F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0C2C">
            <w:pPr>
              <w:jc w:val="center"/>
            </w:pPr>
            <w:r>
              <w:rPr>
                <w:rFonts w:ascii="宋体" w:hAnsi="宋体" w:eastAsia="宋体"/>
                <w:sz w:val="16"/>
              </w:rPr>
              <w:t>—</w:t>
            </w:r>
          </w:p>
        </w:tc>
      </w:tr>
      <w:tr w14:paraId="341DB4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CEA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4FA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9ED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F99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670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E3E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F7E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45F7">
            <w:pPr>
              <w:jc w:val="center"/>
            </w:pPr>
            <w:r>
              <w:rPr>
                <w:rFonts w:ascii="宋体" w:hAnsi="宋体" w:eastAsia="宋体"/>
                <w:sz w:val="16"/>
              </w:rPr>
              <w:t>—</w:t>
            </w:r>
          </w:p>
        </w:tc>
      </w:tr>
      <w:tr w14:paraId="360558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BDFB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E62D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3CA227">
            <w:pPr>
              <w:jc w:val="center"/>
            </w:pPr>
            <w:r>
              <w:rPr>
                <w:rFonts w:ascii="宋体" w:hAnsi="宋体" w:eastAsia="宋体"/>
                <w:sz w:val="16"/>
              </w:rPr>
              <w:t>实际完成情况</w:t>
            </w:r>
          </w:p>
        </w:tc>
      </w:tr>
      <w:tr w14:paraId="58A377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AFB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6F92CD">
            <w:pPr>
              <w:jc w:val="both"/>
            </w:pPr>
            <w:r>
              <w:rPr>
                <w:rFonts w:ascii="宋体" w:hAnsi="宋体" w:eastAsia="宋体"/>
                <w:sz w:val="16"/>
              </w:rPr>
              <w:t>该经费主要用于纪委监委提升干部履职能力培训学员在学习期间交通费、住宿费和伙食费。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18A766">
            <w:pPr>
              <w:jc w:val="both"/>
            </w:pPr>
            <w:r>
              <w:rPr>
                <w:rFonts w:ascii="宋体" w:hAnsi="宋体" w:eastAsia="宋体"/>
                <w:sz w:val="16"/>
              </w:rPr>
              <w:t>该项目已完成2024年纪委监委两届24人纪检干部教育培训期间交通费、住宿费和伙食费，学员成绩合格率达90%以上，通过学习有效提高干部履职能力，工作效率明显提高。</w:t>
            </w:r>
          </w:p>
        </w:tc>
      </w:tr>
      <w:tr w14:paraId="056583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2A66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13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94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50C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AF2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88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78B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128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B8A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8C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457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B20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5F4C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075C4">
            <w:pPr>
              <w:jc w:val="center"/>
            </w:pPr>
            <w:r>
              <w:rPr>
                <w:rFonts w:ascii="宋体" w:hAnsi="宋体" w:eastAsia="宋体"/>
                <w:sz w:val="16"/>
              </w:rPr>
              <w:t>偏差原因分析及改进措施</w:t>
            </w:r>
          </w:p>
        </w:tc>
      </w:tr>
      <w:tr w14:paraId="440271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04F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A6B5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BD5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13F1">
            <w:pPr>
              <w:jc w:val="center"/>
            </w:pPr>
            <w:r>
              <w:rPr>
                <w:rFonts w:ascii="宋体" w:hAnsi="宋体" w:eastAsia="宋体"/>
                <w:sz w:val="16"/>
              </w:rPr>
              <w:t>培训期数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536C">
            <w:pPr>
              <w:jc w:val="center"/>
            </w:pPr>
            <w:r>
              <w:rPr>
                <w:rFonts w:ascii="宋体" w:hAnsi="宋体" w:eastAsia="宋体"/>
                <w:sz w:val="16"/>
              </w:rPr>
              <w:t>&gt;=2期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0E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87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8D53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AA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158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3DC32">
            <w:pPr>
              <w:jc w:val="center"/>
            </w:pPr>
            <w:r>
              <w:rPr>
                <w:rFonts w:ascii="宋体" w:hAnsi="宋体" w:eastAsia="宋体"/>
                <w:sz w:val="16"/>
              </w:rPr>
              <w:t>=2期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BE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68B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0A55">
            <w:pPr>
              <w:jc w:val="center"/>
            </w:pPr>
          </w:p>
        </w:tc>
      </w:tr>
      <w:tr w14:paraId="74954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02F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F5F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7B7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BD32">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616F">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015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96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F91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AE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F33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0465">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E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386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96D2">
            <w:pPr>
              <w:jc w:val="center"/>
            </w:pPr>
          </w:p>
        </w:tc>
      </w:tr>
      <w:tr w14:paraId="2E367F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BF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E55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070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C027">
            <w:pPr>
              <w:jc w:val="center"/>
            </w:pPr>
            <w:r>
              <w:rPr>
                <w:rFonts w:ascii="宋体" w:hAnsi="宋体" w:eastAsia="宋体"/>
                <w:sz w:val="16"/>
              </w:rPr>
              <w:t>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C7B3">
            <w:pPr>
              <w:jc w:val="center"/>
            </w:pPr>
            <w:r>
              <w:rPr>
                <w:rFonts w:ascii="宋体" w:hAnsi="宋体" w:eastAsia="宋体"/>
                <w:sz w:val="16"/>
              </w:rPr>
              <w:t>&lt;=20天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A8F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38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F2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911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3D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4628">
            <w:pPr>
              <w:jc w:val="center"/>
            </w:pPr>
            <w:r>
              <w:rPr>
                <w:rFonts w:ascii="宋体" w:hAnsi="宋体" w:eastAsia="宋体"/>
                <w:sz w:val="16"/>
              </w:rPr>
              <w: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6E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2F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6367">
            <w:pPr>
              <w:jc w:val="center"/>
            </w:pPr>
          </w:p>
        </w:tc>
      </w:tr>
      <w:tr w14:paraId="6E346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FD3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EEA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90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6F33">
            <w:pPr>
              <w:jc w:val="center"/>
            </w:pPr>
            <w:r>
              <w:rPr>
                <w:rFonts w:ascii="宋体" w:hAnsi="宋体" w:eastAsia="宋体"/>
                <w:sz w:val="16"/>
              </w:rPr>
              <w:t>培训人员合格率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65D9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BB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C3A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FCF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95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92C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3924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C8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73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A1DC">
            <w:pPr>
              <w:jc w:val="center"/>
            </w:pPr>
          </w:p>
        </w:tc>
      </w:tr>
      <w:tr w14:paraId="2AD5F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F8F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B69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DA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0860">
            <w:pPr>
              <w:jc w:val="center"/>
            </w:pPr>
            <w:r>
              <w:rPr>
                <w:rFonts w:ascii="宋体" w:hAnsi="宋体" w:eastAsia="宋体"/>
                <w:sz w:val="16"/>
              </w:rPr>
              <w:t>本年培训费控制金额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89D06">
            <w:pPr>
              <w:jc w:val="center"/>
            </w:pPr>
            <w:r>
              <w:rPr>
                <w:rFonts w:ascii="宋体" w:hAnsi="宋体" w:eastAsia="宋体"/>
                <w:sz w:val="16"/>
              </w:rPr>
              <w:t>&lt;=13.41万元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DA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67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D2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FE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86F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5A983">
            <w:pPr>
              <w:jc w:val="center"/>
            </w:pPr>
            <w:r>
              <w:rPr>
                <w:rFonts w:ascii="宋体" w:hAnsi="宋体" w:eastAsia="宋体"/>
                <w:sz w:val="16"/>
              </w:rPr>
              <w:t>=13.41万元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CE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A3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EC92">
            <w:pPr>
              <w:jc w:val="center"/>
            </w:pPr>
          </w:p>
        </w:tc>
      </w:tr>
      <w:tr w14:paraId="7BC219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9CF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1B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B49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502A">
            <w:pPr>
              <w:jc w:val="center"/>
            </w:pPr>
            <w:r>
              <w:rPr>
                <w:rFonts w:ascii="宋体" w:hAnsi="宋体" w:eastAsia="宋体"/>
                <w:sz w:val="16"/>
              </w:rPr>
              <w:t>工作效率明显提升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A08C">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56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54A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46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77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F57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6501">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E1D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20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F1F5">
            <w:pPr>
              <w:jc w:val="center"/>
            </w:pPr>
          </w:p>
        </w:tc>
      </w:tr>
      <w:tr w14:paraId="1F3462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7B9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79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C4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6B4E">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C72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7B8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90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BF3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C01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B9A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650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F58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65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1A24">
            <w:pPr>
              <w:jc w:val="center"/>
            </w:pPr>
          </w:p>
        </w:tc>
      </w:tr>
      <w:tr w14:paraId="00CD082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9A7B8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17AA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E174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9356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63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D342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56BD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A8D8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F75C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C96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399E69"/>
        </w:tc>
      </w:tr>
    </w:tbl>
    <w:p w14:paraId="0A64235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5C00DCF">
        <w:tblPrEx>
          <w:tblCellMar>
            <w:top w:w="0" w:type="dxa"/>
            <w:left w:w="108" w:type="dxa"/>
            <w:bottom w:w="0" w:type="dxa"/>
            <w:right w:w="108" w:type="dxa"/>
          </w:tblCellMar>
        </w:tblPrEx>
        <w:tc>
          <w:tcPr>
            <w:tcW w:w="8848" w:type="dxa"/>
            <w:gridSpan w:val="14"/>
            <w:vAlign w:val="center"/>
          </w:tcPr>
          <w:p w14:paraId="69E14EF4">
            <w:pPr>
              <w:jc w:val="center"/>
            </w:pPr>
            <w:r>
              <w:rPr>
                <w:rFonts w:ascii="宋体" w:hAnsi="宋体" w:eastAsia="宋体"/>
                <w:sz w:val="24"/>
              </w:rPr>
              <w:t>项目支出绩效自评表</w:t>
            </w:r>
          </w:p>
        </w:tc>
      </w:tr>
      <w:tr w14:paraId="36C38925">
        <w:tblPrEx>
          <w:tblCellMar>
            <w:top w:w="0" w:type="dxa"/>
            <w:left w:w="108" w:type="dxa"/>
            <w:bottom w:w="0" w:type="dxa"/>
            <w:right w:w="108" w:type="dxa"/>
          </w:tblCellMar>
        </w:tblPrEx>
        <w:tc>
          <w:tcPr>
            <w:tcW w:w="8848" w:type="dxa"/>
            <w:gridSpan w:val="14"/>
            <w:vAlign w:val="center"/>
          </w:tcPr>
          <w:p w14:paraId="5FA97D5E">
            <w:pPr>
              <w:jc w:val="center"/>
            </w:pPr>
            <w:r>
              <w:rPr>
                <w:rFonts w:ascii="宋体" w:hAnsi="宋体" w:eastAsia="宋体"/>
                <w:sz w:val="24"/>
              </w:rPr>
              <w:t>(2024年度)</w:t>
            </w:r>
          </w:p>
        </w:tc>
      </w:tr>
      <w:tr w14:paraId="203F92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D1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AA84C7">
            <w:pPr>
              <w:jc w:val="center"/>
            </w:pPr>
            <w:r>
              <w:rPr>
                <w:rFonts w:ascii="宋体" w:hAnsi="宋体" w:eastAsia="宋体"/>
                <w:sz w:val="16"/>
              </w:rPr>
              <w:t>地方专项，2024年其他项目类</w:t>
            </w:r>
            <w:r>
              <w:rPr>
                <w:rFonts w:hint="eastAsia" w:ascii="宋体" w:hAnsi="宋体"/>
                <w:sz w:val="16"/>
                <w:lang w:eastAsia="zh-CN"/>
              </w:rPr>
              <w:t>－</w:t>
            </w:r>
            <w:r>
              <w:rPr>
                <w:rFonts w:ascii="宋体" w:hAnsi="宋体" w:eastAsia="宋体"/>
                <w:sz w:val="16"/>
              </w:rPr>
              <w:t>办案保障经费</w:t>
            </w:r>
          </w:p>
        </w:tc>
      </w:tr>
      <w:tr w14:paraId="5EB3BA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3E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DCD73C">
            <w:pPr>
              <w:jc w:val="center"/>
            </w:pPr>
            <w:r>
              <w:rPr>
                <w:rFonts w:ascii="宋体" w:hAnsi="宋体" w:eastAsia="宋体"/>
                <w:sz w:val="16"/>
              </w:rPr>
              <w:t>中共托里县纪律检查委员会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74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DE23D3">
            <w:pPr>
              <w:jc w:val="center"/>
            </w:pPr>
            <w:r>
              <w:rPr>
                <w:rFonts w:ascii="宋体" w:hAnsi="宋体" w:eastAsia="宋体"/>
                <w:sz w:val="16"/>
              </w:rPr>
              <w:t>中共托里县纪律检查委员会</w:t>
            </w:r>
          </w:p>
        </w:tc>
      </w:tr>
      <w:tr w14:paraId="6868AA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52C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A30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A63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A6D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14A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B49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A78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47D5">
            <w:pPr>
              <w:jc w:val="center"/>
            </w:pPr>
            <w:r>
              <w:rPr>
                <w:rFonts w:ascii="宋体" w:hAnsi="宋体" w:eastAsia="宋体"/>
                <w:sz w:val="16"/>
              </w:rPr>
              <w:t>得分</w:t>
            </w:r>
          </w:p>
        </w:tc>
      </w:tr>
      <w:tr w14:paraId="7727AF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546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3B5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21C5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9987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ADE0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832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0B91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E53E">
            <w:pPr>
              <w:jc w:val="center"/>
            </w:pPr>
            <w:r>
              <w:rPr>
                <w:rFonts w:ascii="宋体" w:hAnsi="宋体" w:eastAsia="宋体"/>
                <w:sz w:val="16"/>
              </w:rPr>
              <w:t>10.00</w:t>
            </w:r>
          </w:p>
        </w:tc>
      </w:tr>
      <w:tr w14:paraId="7FBF9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8CD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36F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898B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F57D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20EF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47E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408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60A98">
            <w:pPr>
              <w:jc w:val="center"/>
            </w:pPr>
            <w:r>
              <w:rPr>
                <w:rFonts w:ascii="宋体" w:hAnsi="宋体" w:eastAsia="宋体"/>
                <w:sz w:val="16"/>
              </w:rPr>
              <w:t>—</w:t>
            </w:r>
          </w:p>
        </w:tc>
      </w:tr>
      <w:tr w14:paraId="1DD9D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0C4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D2B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D26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7DB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FCF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027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5DE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CBA6">
            <w:pPr>
              <w:jc w:val="center"/>
            </w:pPr>
            <w:r>
              <w:rPr>
                <w:rFonts w:ascii="宋体" w:hAnsi="宋体" w:eastAsia="宋体"/>
                <w:sz w:val="16"/>
              </w:rPr>
              <w:t>—</w:t>
            </w:r>
          </w:p>
        </w:tc>
      </w:tr>
      <w:tr w14:paraId="2630FA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3C57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FA2B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CE6E98">
            <w:pPr>
              <w:jc w:val="center"/>
            </w:pPr>
            <w:r>
              <w:rPr>
                <w:rFonts w:ascii="宋体" w:hAnsi="宋体" w:eastAsia="宋体"/>
                <w:sz w:val="16"/>
              </w:rPr>
              <w:t>实际完成情况</w:t>
            </w:r>
          </w:p>
        </w:tc>
      </w:tr>
      <w:tr w14:paraId="6479E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907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BCC9F1">
            <w:pPr>
              <w:jc w:val="both"/>
            </w:pPr>
            <w:r>
              <w:rPr>
                <w:rFonts w:ascii="宋体" w:hAnsi="宋体" w:eastAsia="宋体"/>
                <w:sz w:val="16"/>
              </w:rPr>
              <w:t>通过解决办案留置案件陪护人员差旅费、办案点餐费及办案人员外出办案差旅费，保障托里县纪委监委日常监督检查、查办案件等工作正常开展，提高办案经费保障水平。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A43877">
            <w:pPr>
              <w:jc w:val="both"/>
            </w:pPr>
            <w:r>
              <w:rPr>
                <w:rFonts w:ascii="宋体" w:hAnsi="宋体" w:eastAsia="宋体"/>
                <w:sz w:val="16"/>
              </w:rPr>
              <w:t>该项目资金解决了办案留置案件陪护人员差旅费、办案点餐费及办案人员外出办案差旅费，有效保障了托里县纪委监委日常监督检查、查办案件等工作正常开展，提高了办案经费保障水平。</w:t>
            </w:r>
          </w:p>
        </w:tc>
      </w:tr>
      <w:tr w14:paraId="7162E2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99CE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043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85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D1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F58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336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90A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B01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4A7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75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377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CB0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19D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436A">
            <w:pPr>
              <w:jc w:val="center"/>
            </w:pPr>
            <w:r>
              <w:rPr>
                <w:rFonts w:ascii="宋体" w:hAnsi="宋体" w:eastAsia="宋体"/>
                <w:sz w:val="16"/>
              </w:rPr>
              <w:t>偏差原因分析及改进措施</w:t>
            </w:r>
          </w:p>
        </w:tc>
      </w:tr>
      <w:tr w14:paraId="6CFFDD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2D9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A323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A99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52369">
            <w:pPr>
              <w:jc w:val="center"/>
            </w:pPr>
            <w:r>
              <w:rPr>
                <w:rFonts w:ascii="宋体" w:hAnsi="宋体" w:eastAsia="宋体"/>
                <w:sz w:val="16"/>
              </w:rPr>
              <w:t>留置案件数量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A204">
            <w:pPr>
              <w:jc w:val="center"/>
            </w:pPr>
            <w:r>
              <w:rPr>
                <w:rFonts w:ascii="宋体" w:hAnsi="宋体" w:eastAsia="宋体"/>
                <w:sz w:val="16"/>
              </w:rPr>
              <w:t>&gt;=3件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5C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5E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922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83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4AE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C62D">
            <w:pPr>
              <w:jc w:val="center"/>
            </w:pPr>
            <w:r>
              <w:rPr>
                <w:rFonts w:ascii="宋体" w:hAnsi="宋体" w:eastAsia="宋体"/>
                <w:sz w:val="16"/>
              </w:rPr>
              <w:t>=3件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8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F8A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EE171">
            <w:pPr>
              <w:jc w:val="center"/>
            </w:pPr>
          </w:p>
        </w:tc>
      </w:tr>
      <w:tr w14:paraId="48EEDF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AD7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D96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092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23EC">
            <w:pPr>
              <w:jc w:val="center"/>
            </w:pPr>
            <w:r>
              <w:rPr>
                <w:rFonts w:ascii="宋体" w:hAnsi="宋体" w:eastAsia="宋体"/>
                <w:sz w:val="16"/>
              </w:rPr>
              <w:t>严防发生重大影响的政治类敏感事件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546F">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A21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66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6A20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9DA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C7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74D1">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2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C426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744C">
            <w:pPr>
              <w:jc w:val="center"/>
            </w:pPr>
          </w:p>
        </w:tc>
      </w:tr>
      <w:tr w14:paraId="66839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04C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642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474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4B1A">
            <w:pPr>
              <w:jc w:val="center"/>
            </w:pPr>
            <w:r>
              <w:rPr>
                <w:rFonts w:ascii="宋体" w:hAnsi="宋体" w:eastAsia="宋体"/>
                <w:sz w:val="16"/>
              </w:rPr>
              <w:t>严重发生重大特大公共安全事故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82D3">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B1E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00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214A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5D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270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F126">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E7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F99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DB70">
            <w:pPr>
              <w:jc w:val="center"/>
            </w:pPr>
          </w:p>
        </w:tc>
      </w:tr>
      <w:tr w14:paraId="6024B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1BA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C85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AC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8315">
            <w:pPr>
              <w:jc w:val="center"/>
            </w:pPr>
            <w:r>
              <w:rPr>
                <w:rFonts w:ascii="宋体" w:hAnsi="宋体" w:eastAsia="宋体"/>
                <w:sz w:val="16"/>
              </w:rPr>
              <w:t>办案经费使用合格率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5544">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68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29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A8BE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33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1AD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BD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3D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7D6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DC624">
            <w:pPr>
              <w:jc w:val="center"/>
            </w:pPr>
          </w:p>
        </w:tc>
      </w:tr>
      <w:tr w14:paraId="297D0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0AD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19B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F298">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D7B2">
            <w:pPr>
              <w:jc w:val="center"/>
            </w:pPr>
            <w:r>
              <w:rPr>
                <w:rFonts w:ascii="宋体" w:hAnsi="宋体" w:eastAsia="宋体"/>
                <w:sz w:val="16"/>
              </w:rPr>
              <w:t>办理留置案件成本控制数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A6D7">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50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4E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93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28F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6161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529F">
            <w:pPr>
              <w:jc w:val="center"/>
            </w:pPr>
            <w:r>
              <w:rPr>
                <w:rFonts w:ascii="宋体" w:hAnsi="宋体" w:eastAsia="宋体"/>
                <w:sz w:val="16"/>
              </w:rPr>
              <w:t>30万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73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C5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C5B5C">
            <w:pPr>
              <w:jc w:val="center"/>
            </w:pPr>
          </w:p>
        </w:tc>
      </w:tr>
      <w:tr w14:paraId="0129DA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F6E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4E7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26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E640">
            <w:pPr>
              <w:jc w:val="center"/>
            </w:pPr>
            <w:r>
              <w:rPr>
                <w:rFonts w:ascii="宋体" w:hAnsi="宋体" w:eastAsia="宋体"/>
                <w:sz w:val="16"/>
              </w:rPr>
              <w:t>提高保障办案经费水平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9729E">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A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AB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A7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07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24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3936">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49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CF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6DAC7">
            <w:pPr>
              <w:jc w:val="center"/>
            </w:pPr>
          </w:p>
        </w:tc>
      </w:tr>
      <w:tr w14:paraId="31613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499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BA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8F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4C7E">
            <w:pPr>
              <w:jc w:val="center"/>
            </w:pPr>
            <w:r>
              <w:rPr>
                <w:rFonts w:ascii="宋体" w:hAnsi="宋体" w:eastAsia="宋体"/>
                <w:sz w:val="16"/>
              </w:rPr>
              <w:t>办案人员满意度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FA4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B0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744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58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91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134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C60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146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13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75CA">
            <w:pPr>
              <w:jc w:val="center"/>
            </w:pPr>
          </w:p>
        </w:tc>
      </w:tr>
      <w:tr w14:paraId="6A37017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34F9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BDBE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D04B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EAB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B5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7660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1344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CE7F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0502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7CE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B04BF5"/>
        </w:tc>
      </w:tr>
    </w:tbl>
    <w:p w14:paraId="1E97BC8B">
      <w:r>
        <w:br w:type="page"/>
      </w:r>
    </w:p>
    <w:p w14:paraId="548AF51C">
      <w:pPr>
        <w:spacing w:line="640" w:lineRule="exact"/>
        <w:ind w:firstLine="640"/>
        <w:jc w:val="both"/>
        <w:outlineLvl w:val="2"/>
      </w:pPr>
      <w:r>
        <w:rPr>
          <w:rFonts w:ascii="黑体" w:hAnsi="黑体" w:eastAsia="黑体"/>
          <w:sz w:val="32"/>
        </w:rPr>
        <w:t>十二、其他需说明的事项</w:t>
      </w:r>
    </w:p>
    <w:p w14:paraId="7E324F73">
      <w:pPr>
        <w:spacing w:line="580" w:lineRule="exact"/>
        <w:ind w:firstLine="640"/>
        <w:jc w:val="both"/>
      </w:pPr>
      <w:r>
        <w:rPr>
          <w:rFonts w:ascii="仿宋_GB2312" w:hAnsi="仿宋_GB2312" w:eastAsia="仿宋_GB2312"/>
          <w:b w:val="0"/>
          <w:sz w:val="32"/>
        </w:rPr>
        <w:t>本年本单位不予公开项目1个，全年预算数9.60万元，全年执行数</w:t>
      </w:r>
      <w:bookmarkStart w:id="0" w:name="_GoBack"/>
      <w:r>
        <w:rPr>
          <w:rFonts w:ascii="仿宋_GB2312" w:hAnsi="仿宋_GB2312" w:eastAsia="仿宋_GB2312"/>
          <w:b w:val="0"/>
          <w:sz w:val="32"/>
        </w:rPr>
        <w:t>9.60</w:t>
      </w:r>
      <w:bookmarkEnd w:id="0"/>
      <w:r>
        <w:rPr>
          <w:rFonts w:ascii="仿宋_GB2312" w:hAnsi="仿宋_GB2312" w:eastAsia="仿宋_GB2312"/>
          <w:b w:val="0"/>
          <w:sz w:val="32"/>
        </w:rPr>
        <w:t>万元。</w:t>
      </w:r>
    </w:p>
    <w:p w14:paraId="2588B117">
      <w:r>
        <w:br w:type="page"/>
      </w:r>
    </w:p>
    <w:p w14:paraId="2BBD02F0">
      <w:pPr>
        <w:spacing w:line="240" w:lineRule="auto"/>
        <w:jc w:val="center"/>
        <w:outlineLvl w:val="1"/>
      </w:pPr>
      <w:r>
        <w:rPr>
          <w:rFonts w:ascii="黑体" w:hAnsi="黑体" w:eastAsia="黑体"/>
          <w:sz w:val="32"/>
        </w:rPr>
        <w:t>第三部分 专业名词解释</w:t>
      </w:r>
    </w:p>
    <w:p w14:paraId="1CCF869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F64C92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8324BE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C98C9A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9A26DD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51486A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B42976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682A8A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FFD99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499296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041053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BA7CAB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A5EB46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8F9AE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D54E28D">
      <w:r>
        <w:br w:type="page"/>
      </w:r>
    </w:p>
    <w:p w14:paraId="1AE0A197">
      <w:pPr>
        <w:spacing w:line="240" w:lineRule="auto"/>
        <w:jc w:val="center"/>
        <w:outlineLvl w:val="1"/>
      </w:pPr>
      <w:r>
        <w:rPr>
          <w:rFonts w:ascii="黑体" w:hAnsi="黑体" w:eastAsia="黑体"/>
          <w:sz w:val="32"/>
        </w:rPr>
        <w:t>第四部分 部门决算报表（见附表）</w:t>
      </w:r>
    </w:p>
    <w:p w14:paraId="2FDFFB1D">
      <w:pPr>
        <w:spacing w:line="240" w:lineRule="auto"/>
        <w:ind w:firstLine="640"/>
        <w:jc w:val="both"/>
      </w:pPr>
      <w:r>
        <w:rPr>
          <w:rFonts w:ascii="仿宋_GB2312" w:hAnsi="仿宋_GB2312" w:eastAsia="仿宋_GB2312"/>
          <w:b w:val="0"/>
          <w:sz w:val="32"/>
        </w:rPr>
        <w:t>一、《收入支出决算总表》</w:t>
      </w:r>
    </w:p>
    <w:p w14:paraId="1E905488">
      <w:pPr>
        <w:spacing w:line="240" w:lineRule="auto"/>
        <w:ind w:firstLine="640"/>
        <w:jc w:val="both"/>
      </w:pPr>
      <w:r>
        <w:rPr>
          <w:rFonts w:ascii="仿宋_GB2312" w:hAnsi="仿宋_GB2312" w:eastAsia="仿宋_GB2312"/>
          <w:b w:val="0"/>
          <w:sz w:val="32"/>
        </w:rPr>
        <w:t>二、《收入决算表》</w:t>
      </w:r>
    </w:p>
    <w:p w14:paraId="1CB2877B">
      <w:pPr>
        <w:spacing w:line="240" w:lineRule="auto"/>
        <w:ind w:firstLine="640"/>
        <w:jc w:val="both"/>
      </w:pPr>
      <w:r>
        <w:rPr>
          <w:rFonts w:ascii="仿宋_GB2312" w:hAnsi="仿宋_GB2312" w:eastAsia="仿宋_GB2312"/>
          <w:b w:val="0"/>
          <w:sz w:val="32"/>
        </w:rPr>
        <w:t>三、《支出决算表》</w:t>
      </w:r>
    </w:p>
    <w:p w14:paraId="59C1EA1E">
      <w:pPr>
        <w:spacing w:line="240" w:lineRule="auto"/>
        <w:ind w:firstLine="640"/>
        <w:jc w:val="both"/>
      </w:pPr>
      <w:r>
        <w:rPr>
          <w:rFonts w:ascii="仿宋_GB2312" w:hAnsi="仿宋_GB2312" w:eastAsia="仿宋_GB2312"/>
          <w:b w:val="0"/>
          <w:sz w:val="32"/>
        </w:rPr>
        <w:t>四、《财政拨款收入支出决算总表》</w:t>
      </w:r>
    </w:p>
    <w:p w14:paraId="039A3360">
      <w:pPr>
        <w:spacing w:line="240" w:lineRule="auto"/>
        <w:ind w:firstLine="640"/>
        <w:jc w:val="both"/>
      </w:pPr>
      <w:r>
        <w:rPr>
          <w:rFonts w:ascii="仿宋_GB2312" w:hAnsi="仿宋_GB2312" w:eastAsia="仿宋_GB2312"/>
          <w:b w:val="0"/>
          <w:sz w:val="32"/>
        </w:rPr>
        <w:t>五、《一般公共预算财政拨款支出决算表》</w:t>
      </w:r>
    </w:p>
    <w:p w14:paraId="07677D0F">
      <w:pPr>
        <w:spacing w:line="240" w:lineRule="auto"/>
        <w:ind w:firstLine="640"/>
        <w:jc w:val="both"/>
      </w:pPr>
      <w:r>
        <w:rPr>
          <w:rFonts w:ascii="仿宋_GB2312" w:hAnsi="仿宋_GB2312" w:eastAsia="仿宋_GB2312"/>
          <w:b w:val="0"/>
          <w:sz w:val="32"/>
        </w:rPr>
        <w:t>六、《一般公共预算财政拨款基本支出决算表》</w:t>
      </w:r>
    </w:p>
    <w:p w14:paraId="51580579">
      <w:pPr>
        <w:spacing w:line="240" w:lineRule="auto"/>
        <w:ind w:firstLine="640"/>
        <w:jc w:val="both"/>
      </w:pPr>
      <w:r>
        <w:rPr>
          <w:rFonts w:ascii="仿宋_GB2312" w:hAnsi="仿宋_GB2312" w:eastAsia="仿宋_GB2312"/>
          <w:b w:val="0"/>
          <w:sz w:val="32"/>
        </w:rPr>
        <w:t>七、《政府性基金预算财政拨款收入支出决算表》</w:t>
      </w:r>
    </w:p>
    <w:p w14:paraId="42BA716D">
      <w:pPr>
        <w:spacing w:line="240" w:lineRule="auto"/>
        <w:ind w:firstLine="640"/>
        <w:jc w:val="both"/>
      </w:pPr>
      <w:r>
        <w:rPr>
          <w:rFonts w:ascii="仿宋_GB2312" w:hAnsi="仿宋_GB2312" w:eastAsia="仿宋_GB2312"/>
          <w:b w:val="0"/>
          <w:sz w:val="32"/>
        </w:rPr>
        <w:t>八、《国有资本经营预算财政拨款收入支出决算表》</w:t>
      </w:r>
    </w:p>
    <w:p w14:paraId="078B6F7A">
      <w:pPr>
        <w:spacing w:line="240" w:lineRule="auto"/>
        <w:ind w:firstLine="640"/>
        <w:jc w:val="both"/>
      </w:pPr>
      <w:r>
        <w:rPr>
          <w:rFonts w:ascii="仿宋_GB2312" w:hAnsi="仿宋_GB2312" w:eastAsia="仿宋_GB2312"/>
          <w:b w:val="0"/>
          <w:sz w:val="32"/>
        </w:rPr>
        <w:t>九、《财政拨款“三公”经费支出决算表》</w:t>
      </w:r>
    </w:p>
    <w:p w14:paraId="4FCBB429">
      <w:pPr>
        <w:spacing w:line="240" w:lineRule="auto"/>
        <w:ind w:firstLine="640"/>
        <w:jc w:val="both"/>
      </w:pPr>
    </w:p>
    <w:p w14:paraId="199A7FD3">
      <w:pPr>
        <w:spacing w:line="240" w:lineRule="auto"/>
        <w:ind w:firstLine="640"/>
        <w:jc w:val="both"/>
      </w:pPr>
    </w:p>
    <w:p w14:paraId="7ADDDF26">
      <w:pPr>
        <w:spacing w:line="240" w:lineRule="auto"/>
        <w:ind w:firstLine="640"/>
        <w:jc w:val="both"/>
      </w:pPr>
    </w:p>
    <w:p w14:paraId="7FC71C3F">
      <w:pPr>
        <w:spacing w:line="240" w:lineRule="auto"/>
        <w:ind w:firstLine="640"/>
        <w:jc w:val="both"/>
      </w:pPr>
    </w:p>
    <w:p w14:paraId="5F02B0A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B0095F-68D3-488C-B783-A1A60FF60B5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3989C0E-A2F9-4CED-B962-1C1A85589BD8}"/>
  </w:font>
  <w:font w:name="仿宋_GB2312">
    <w:panose1 w:val="02010609030101010101"/>
    <w:charset w:val="86"/>
    <w:family w:val="modern"/>
    <w:pitch w:val="default"/>
    <w:sig w:usb0="00000001" w:usb1="080E0000" w:usb2="00000000" w:usb3="00000000" w:csb0="00040000" w:csb1="00000000"/>
    <w:embedRegular r:id="rId3" w:fontKey="{1B61F47A-D42C-422D-BE74-797078831A0A}"/>
  </w:font>
  <w:font w:name="楷体_GB2312">
    <w:panose1 w:val="02010609030101010101"/>
    <w:charset w:val="86"/>
    <w:family w:val="auto"/>
    <w:pitch w:val="default"/>
    <w:sig w:usb0="00000001" w:usb1="080E0000" w:usb2="00000000" w:usb3="00000000" w:csb0="00040000" w:csb1="00000000"/>
    <w:embedRegular r:id="rId4" w:fontKey="{5900D8C0-D4D5-4690-A687-FE4D57FCD12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4906EB"/>
    <w:rsid w:val="0DCA6EF7"/>
    <w:rsid w:val="0E124C7E"/>
    <w:rsid w:val="0E4B1576"/>
    <w:rsid w:val="0EA04331"/>
    <w:rsid w:val="0F9811B3"/>
    <w:rsid w:val="11E15093"/>
    <w:rsid w:val="120E0809"/>
    <w:rsid w:val="14E8480C"/>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2FC322C"/>
    <w:rsid w:val="464B7E04"/>
    <w:rsid w:val="464F7E64"/>
    <w:rsid w:val="46901EEE"/>
    <w:rsid w:val="469C74D2"/>
    <w:rsid w:val="47445515"/>
    <w:rsid w:val="4B4C0111"/>
    <w:rsid w:val="4BB23021"/>
    <w:rsid w:val="4C5E0AB3"/>
    <w:rsid w:val="4F3F074E"/>
    <w:rsid w:val="50DB5F45"/>
    <w:rsid w:val="52F92565"/>
    <w:rsid w:val="543D17CB"/>
    <w:rsid w:val="55DA564E"/>
    <w:rsid w:val="56E07045"/>
    <w:rsid w:val="583059FA"/>
    <w:rsid w:val="587E6212"/>
    <w:rsid w:val="5AFC6609"/>
    <w:rsid w:val="5D7E2D6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862C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47fb7425-2164-471e-ba0f-473726499c11</errorID>
      <errorWord>析</errorWord>
      <group>L1_Word</group>
      <groupName>字词问题</groupName>
      <ability>L2_Typo</ability>
      <abilityName>字词错误</abilityName>
      <candidateList>
        <item>析全</item>
      </candidateList>
      <explain/>
      <paraID>5DA28E63</paraID>
      <start>190</start>
      <end>192</end>
      <status>modified</status>
      <modifiedWord>析全</modifiedWord>
      <trackRevisions>false</trackRevisions>
    </reviewItem>
    <reviewItem>
      <errorID>49b18d46-777f-4bee-a111-142d634b8538</errorID>
      <errorWord>欠款</errorWord>
      <group>L1_Sensitive</group>
      <groupName>敏感问题</groupName>
      <ability>L2_UserSensitive</ability>
      <abilityName>自定义敏感词</abilityName>
      <candidateList/>
      <explain>来自自定义敏感词库。</explain>
      <paraID>3F183A07</paraID>
      <start>242</start>
      <end>244</end>
      <status>ignored</status>
      <modifiedWord/>
      <trackRevisions>false</trackRevisions>
    </reviewItem>
    <reviewItem>
      <errorID>f5c1fd28-9e01-4f0c-bf21-e65299855b3b</errorID>
      <errorWord>2月31日</errorWord>
      <group>L1_Sensitive</group>
      <groupName>敏感问题</groupName>
      <ability>L2_UserSensitive</ability>
      <abilityName>自定义敏感词</abilityName>
      <candidateList/>
      <explain>来自自定义敏感词库。</explain>
      <paraID>703578F1</paraID>
      <start>8</start>
      <end>13</end>
      <status>ignored</status>
      <modifiedWord/>
      <trackRevisions>false</trackRevisions>
    </reviewItem>
    <reviewItem>
      <errorID>453a823f-fac9-4269-bf0d-e5cb73f768e5</errorID>
      <errorWord>于部</errorWord>
      <group>L1_Other</group>
      <groupName>其他问题</groupName>
      <ability>L2_UserTypo</ability>
      <abilityName>自定义错误</abilityName>
      <candidateList>
        <item>干部</item>
      </candidateList>
      <explain>来自自定义错词库。</explain>
      <paraID>3FA0DF8D</paraID>
      <start>373</start>
      <end>375</end>
      <status>ignored</status>
      <modifiedWord/>
      <trackRevisions>false</trackRevisions>
    </reviewItem>
    <reviewItem>
      <errorID>da565112-eb85-47f5-a993-51ea3ca95946</errorID>
      <errorWord>欠款</errorWord>
      <group>L1_Sensitive</group>
      <groupName>敏感问题</groupName>
      <ability>L2_UserSensitive</ability>
      <abilityName>自定义敏感词</abilityName>
      <candidateList/>
      <explain>来自自定义敏感词库。</explain>
      <paraID>1EDEFB04</paraID>
      <start>19</start>
      <end>21</end>
      <status>ignored</status>
      <modifiedWord/>
      <trackRevisions>false</trackRevisions>
    </reviewItem>
    <reviewItem>
      <errorID>60f6b2b9-d549-41b7-b7af-c979a976c1ba</errorID>
      <errorWord>欠款</errorWord>
      <group>L1_Sensitive</group>
      <groupName>敏感问题</groupName>
      <ability>L2_UserSensitive</ability>
      <abilityName>自定义敏感词</abilityName>
      <candidateList/>
      <explain>来自自定义敏感词库。</explain>
      <paraID>3A8E110D</paraID>
      <start>30</start>
      <end>32</end>
      <status>ignored</status>
      <modifiedWord/>
      <trackRevisions>false</trackRevisions>
    </reviewItem>
    <reviewItem>
      <errorID>3d4fc969-1d60-47e0-b213-54d9002a9bea</errorID>
      <errorWord>欠款</errorWord>
      <group>L1_Sensitive</group>
      <groupName>敏感问题</groupName>
      <ability>L2_UserSensitive</ability>
      <abilityName>自定义敏感词</abilityName>
      <candidateList/>
      <explain>来自自定义敏感词库。</explain>
      <paraID>3A8E110D</paraID>
      <start>63</start>
      <end>65</end>
      <status>ignored</status>
      <modifiedWord/>
      <trackRevisions>false</trackRevisions>
    </reviewItem>
    <reviewItem>
      <errorID>70308e98-9488-4124-9f2b-96138ade1705</errorID>
      <errorWord>欠款</errorWord>
      <group>L1_Sensitive</group>
      <groupName>敏感问题</groupName>
      <ability>L2_UserSensitive</ability>
      <abilityName>自定义敏感词</abilityName>
      <candidateList/>
      <explain>来自自定义敏感词库。</explain>
      <paraID>5C994391</paraID>
      <start>2</start>
      <end>4</end>
      <status>ignored</status>
      <modifiedWord/>
      <trackRevisions>false</trackRevisions>
    </reviewItem>
    <reviewItem>
      <errorID>e1311294-3df8-4b88-9fb5-ce4f05f13eb8</errorID>
      <errorWord>欠款</errorWord>
      <group>L1_Sensitive</group>
      <groupName>敏感问题</groupName>
      <ability>L2_UserSensitive</ability>
      <abilityName>自定义敏感词</abilityName>
      <candidateList/>
      <explain>来自自定义敏感词库。</explain>
      <paraID>68CCBC5D</paraID>
      <start>18</start>
      <end>20</end>
      <status>ignored</status>
      <modifiedWord/>
      <trackRevisions>false</trackRevisions>
    </reviewItem>
    <reviewItem>
      <errorID>f6f4a2c4-2b13-43de-832f-f591c59d5870</errorID>
      <errorWord>欠款</errorWord>
      <group>L1_Sensitive</group>
      <groupName>敏感问题</groupName>
      <ability>L2_UserSensitive</ability>
      <abilityName>自定义敏感词</abilityName>
      <candidateList/>
      <explain>来自自定义敏感词库。</explain>
      <paraID>5E724184</paraID>
      <start>23</start>
      <end>25</end>
      <status>ignored</status>
      <modifiedWord/>
      <trackRevisions>false</trackRevisions>
    </reviewItem>
    <reviewItem>
      <errorID>2b55675f-46c0-47aa-8cec-d676676e85b4</errorID>
      <errorWord>欠款</errorWord>
      <group>L1_Sensitive</group>
      <groupName>敏感问题</groupName>
      <ability>L2_UserSensitive</ability>
      <abilityName>自定义敏感词</abilityName>
      <candidateList/>
      <explain>来自自定义敏感词库。</explain>
      <paraID>217E7B7A</paraID>
      <start>2</start>
      <end>4</end>
      <status>ignored</status>
      <modifiedWord/>
      <trackRevisions>false</trackRevisions>
    </reviewItem>
    <reviewItem>
      <errorID>5b92594e-5d8c-4d3a-84ef-a2afda081d8a</errorID>
      <errorWord>欠款</errorWord>
      <group>L1_Sensitive</group>
      <groupName>敏感问题</groupName>
      <ability>L2_UserSensitive</ability>
      <abilityName>自定义敏感词</abilityName>
      <candidateList/>
      <explain>来自自定义敏感词库。</explain>
      <paraID>7F10E020</paraID>
      <start>2</start>
      <end>4</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25bb3a-4b40-49ee-9de4-661595174c1f}">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6405</Words>
  <Characters>7421</Characters>
  <Lines>0</Lines>
  <Paragraphs>0</Paragraphs>
  <TotalTime>7</TotalTime>
  <ScaleCrop>false</ScaleCrop>
  <LinksUpToDate>false</LinksUpToDate>
  <CharactersWithSpaces>7431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2025-10-31T09:34:50Z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