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中共托里县委统战部2024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C0F2DC4">
      <w:r>
        <w:br w:type="page"/>
      </w:r>
    </w:p>
    <w:p w14:paraId="776D53CF">
      <w:pPr>
        <w:spacing w:line="640" w:lineRule="exact"/>
        <w:jc w:val="center"/>
        <w:outlineLvl w:val="1"/>
      </w:pPr>
      <w:r>
        <w:rPr>
          <w:rFonts w:ascii="黑体" w:hAnsi="黑体" w:eastAsia="黑体"/>
          <w:sz w:val="32"/>
        </w:rPr>
        <w:t>第一部分 单位概况</w:t>
      </w:r>
    </w:p>
    <w:p w14:paraId="4F1176D8">
      <w:pPr>
        <w:spacing w:line="640" w:lineRule="exact"/>
        <w:ind w:firstLine="640"/>
        <w:jc w:val="both"/>
        <w:outlineLvl w:val="2"/>
      </w:pPr>
      <w:r>
        <w:rPr>
          <w:rFonts w:ascii="黑体" w:hAnsi="黑体" w:eastAsia="黑体"/>
          <w:sz w:val="32"/>
        </w:rPr>
        <w:t>一、主要职能</w:t>
      </w:r>
    </w:p>
    <w:p w14:paraId="3A076D38">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宣传贯彻执行党的统一战线理论、方针和政策。</w:t>
      </w:r>
    </w:p>
    <w:p w14:paraId="6875909F">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对统一战线工作情况开展调查和研究，向县委和地委统战部全面反映我县</w:t>
      </w:r>
      <w:r>
        <w:rPr>
          <w:rFonts w:hint="eastAsia" w:ascii="仿宋_GB2312" w:hAnsi="仿宋_GB2312" w:eastAsia="仿宋_GB2312"/>
          <w:sz w:val="32"/>
          <w:lang w:eastAsia="zh-CN"/>
        </w:rPr>
        <w:t>统一</w:t>
      </w:r>
      <w:r>
        <w:rPr>
          <w:rFonts w:ascii="仿宋_GB2312" w:hAnsi="仿宋_GB2312" w:eastAsia="仿宋_GB2312"/>
          <w:sz w:val="32"/>
        </w:rPr>
        <w:t>战线工作的情况，提出开展统战工作的意见和建议，检查和督促我县统战方面方针、政策的贯彻和执行情况，协调我县统一战线方面的关系，负责联系和指导各乡镇的统一战线工作。</w:t>
      </w:r>
    </w:p>
    <w:p w14:paraId="5B87733F">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协助地委统战部联系无党派人士，及时通报情况，反映他们的意见和建议；贯彻落实中国共产党领导的多党合作和政治协商制度，落实中央、省、市县委关于发挥无党派人士参政议政民主监督作用的工作；受县委委托，向无党派人士通报县委的工作情况；选拔培养新一代的无党派代表人士。</w:t>
      </w:r>
    </w:p>
    <w:p w14:paraId="59B4B26C">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贯彻落实和监督检查中央、自治区、地区和县委关于民族、宗教工作的各项方针政策，协助有关部门做好少数民族干部的培养和举荐工作，组织和协助有关部门做好民族宗教上层人士的培训工作。</w:t>
      </w:r>
    </w:p>
    <w:p w14:paraId="71C61017">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开展以祖国统一为重点的海外统战工作；联系我县在港、澳、台及海外的同乡会、有关社团和代表人士；做好台胞、台属、侨眷及海外联谊的有关工作。</w:t>
      </w:r>
    </w:p>
    <w:p w14:paraId="323F2D09">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党外人士的政治安排；会同有关部门做好培训、考察、选拔、推荐和安排党外人士担任政府和司法机关领导职务的工作；负责做好党外后备干部和新一代人士队伍建设的工作，了解和掌握全县党外人士安排、使用及合作共事情况；协助有关部门管理工商联，联系对台办、侨联等部门的工作。</w:t>
      </w:r>
    </w:p>
    <w:p w14:paraId="28CDF2BF">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调查、研究和反映非公有制经济代表人士的情况，协调关系，提出政策性的建议；团结、帮助、引导、教育非公有制经济代表人士，并积极开展思想政治工作。</w:t>
      </w:r>
    </w:p>
    <w:p w14:paraId="2E7F5E6F">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调查研究党外知识分子代表人士的情况，反映意见，协调关系，提出</w:t>
      </w:r>
      <w:r>
        <w:rPr>
          <w:rFonts w:hint="eastAsia" w:ascii="仿宋_GB2312" w:hAnsi="仿宋_GB2312" w:eastAsia="仿宋_GB2312"/>
          <w:sz w:val="32"/>
          <w:lang w:eastAsia="zh-CN"/>
        </w:rPr>
        <w:t>政策性</w:t>
      </w:r>
      <w:r>
        <w:rPr>
          <w:rFonts w:ascii="仿宋_GB2312" w:hAnsi="仿宋_GB2312" w:eastAsia="仿宋_GB2312"/>
          <w:sz w:val="32"/>
        </w:rPr>
        <w:t>建议；联系并培养党外人士的工作。</w:t>
      </w:r>
    </w:p>
    <w:p w14:paraId="1766BF49">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领导工商联党组，指导工商联、侨联、民族宗教事务局工作。</w:t>
      </w:r>
    </w:p>
    <w:p w14:paraId="584F9AB4">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完成县委和地委统战部交办的其他任务。</w:t>
      </w:r>
    </w:p>
    <w:p w14:paraId="230C6874">
      <w:pPr>
        <w:spacing w:line="640" w:lineRule="exact"/>
        <w:ind w:firstLine="640"/>
        <w:jc w:val="both"/>
        <w:outlineLvl w:val="2"/>
      </w:pPr>
      <w:r>
        <w:rPr>
          <w:rFonts w:ascii="黑体" w:hAnsi="黑体" w:eastAsia="黑体"/>
          <w:sz w:val="32"/>
        </w:rPr>
        <w:t>二、机构设置及人员情况</w:t>
      </w:r>
    </w:p>
    <w:p w14:paraId="5AE5E772">
      <w:pPr>
        <w:spacing w:line="580" w:lineRule="exact"/>
        <w:ind w:firstLine="640"/>
        <w:jc w:val="both"/>
      </w:pPr>
      <w:r>
        <w:rPr>
          <w:rFonts w:ascii="仿宋_GB2312" w:hAnsi="仿宋_GB2312" w:eastAsia="仿宋_GB2312"/>
          <w:sz w:val="32"/>
        </w:rPr>
        <w:t>中共托里县委统战部2024年度，实有人数31人，其中：在职人员22人，增加1人；离休人员0人，增加0人；退休人员9人,减少2人。</w:t>
      </w:r>
    </w:p>
    <w:p w14:paraId="1AF5220C">
      <w:pPr>
        <w:spacing w:line="580" w:lineRule="exact"/>
        <w:ind w:firstLine="640"/>
        <w:jc w:val="both"/>
      </w:pPr>
      <w:r>
        <w:rPr>
          <w:rFonts w:ascii="仿宋_GB2312" w:hAnsi="仿宋_GB2312" w:eastAsia="仿宋_GB2312"/>
          <w:sz w:val="32"/>
        </w:rPr>
        <w:t>中共托里县委统战部无下属预算单位，下设3个科室，分别是：办公室、民宗科、财务室。</w:t>
      </w:r>
    </w:p>
    <w:p w14:paraId="549FC6AD">
      <w:r>
        <w:br w:type="page"/>
      </w:r>
    </w:p>
    <w:p w14:paraId="043D5A84">
      <w:pPr>
        <w:spacing w:line="240" w:lineRule="auto"/>
        <w:jc w:val="center"/>
        <w:outlineLvl w:val="1"/>
      </w:pPr>
      <w:r>
        <w:rPr>
          <w:rFonts w:ascii="黑体" w:hAnsi="黑体" w:eastAsia="黑体"/>
          <w:sz w:val="32"/>
        </w:rPr>
        <w:t>第二部分 部门决算情况说明</w:t>
      </w:r>
    </w:p>
    <w:p w14:paraId="38C3044F">
      <w:pPr>
        <w:spacing w:line="640" w:lineRule="exact"/>
        <w:ind w:firstLine="640"/>
        <w:jc w:val="both"/>
        <w:outlineLvl w:val="2"/>
      </w:pPr>
      <w:r>
        <w:rPr>
          <w:rFonts w:ascii="黑体" w:hAnsi="黑体" w:eastAsia="黑体"/>
          <w:sz w:val="32"/>
        </w:rPr>
        <w:t>一、收入支出决算总体情况说明</w:t>
      </w:r>
    </w:p>
    <w:p w14:paraId="1B737C56">
      <w:pPr>
        <w:spacing w:line="580" w:lineRule="exact"/>
        <w:ind w:firstLine="640"/>
        <w:jc w:val="both"/>
      </w:pPr>
      <w:r>
        <w:rPr>
          <w:rFonts w:ascii="仿宋_GB2312" w:hAnsi="仿宋_GB2312" w:eastAsia="仿宋_GB2312"/>
          <w:b/>
          <w:sz w:val="32"/>
        </w:rPr>
        <w:t>2024年度收入总计860.47万元，</w:t>
      </w:r>
      <w:r>
        <w:rPr>
          <w:rFonts w:ascii="仿宋_GB2312" w:hAnsi="仿宋_GB2312" w:eastAsia="仿宋_GB2312"/>
          <w:b w:val="0"/>
          <w:sz w:val="32"/>
        </w:rPr>
        <w:t>其中：本年收入合计860.46万元，使用非财政拨款结余（含专用结余）0.00万元，年初结转和结余0.00万元。</w:t>
      </w:r>
    </w:p>
    <w:p w14:paraId="629FCF6F">
      <w:pPr>
        <w:spacing w:line="580" w:lineRule="exact"/>
        <w:ind w:firstLine="640"/>
        <w:jc w:val="both"/>
      </w:pPr>
      <w:r>
        <w:rPr>
          <w:rFonts w:ascii="仿宋_GB2312" w:hAnsi="仿宋_GB2312" w:eastAsia="仿宋_GB2312"/>
          <w:b/>
          <w:sz w:val="32"/>
        </w:rPr>
        <w:t>2024年度支出总计860.47万元，</w:t>
      </w:r>
      <w:r>
        <w:rPr>
          <w:rFonts w:ascii="仿宋_GB2312" w:hAnsi="仿宋_GB2312" w:eastAsia="仿宋_GB2312"/>
          <w:b w:val="0"/>
          <w:sz w:val="32"/>
        </w:rPr>
        <w:t>其中：本年支出合计860.45万元，结余分配0.00万元，年末结转和结余0.02万元。</w:t>
      </w:r>
    </w:p>
    <w:p w14:paraId="6BA733B1">
      <w:pPr>
        <w:spacing w:line="580" w:lineRule="exact"/>
        <w:ind w:firstLine="640"/>
        <w:jc w:val="both"/>
      </w:pPr>
      <w:r>
        <w:rPr>
          <w:rFonts w:ascii="仿宋_GB2312" w:hAnsi="仿宋_GB2312" w:eastAsia="仿宋_GB2312"/>
          <w:b w:val="0"/>
          <w:sz w:val="32"/>
        </w:rPr>
        <w:t>收入支出总体与上年相比，增加71.04万元，增长9.00%，主要原因是：本年在职人员增加，在职人员工资调增、社保、公积金基数调增，发放2017年年度绩效奖励金、2021年下半年绩效奖励金，发放死亡人员抚恤金，导致人员经费增加。</w:t>
      </w:r>
    </w:p>
    <w:p w14:paraId="45113B56">
      <w:pPr>
        <w:spacing w:line="640" w:lineRule="exact"/>
        <w:ind w:firstLine="640"/>
        <w:jc w:val="both"/>
        <w:outlineLvl w:val="2"/>
      </w:pPr>
      <w:r>
        <w:rPr>
          <w:rFonts w:ascii="黑体" w:hAnsi="黑体" w:eastAsia="黑体"/>
          <w:sz w:val="32"/>
        </w:rPr>
        <w:t>二、收入决算情况说明</w:t>
      </w:r>
    </w:p>
    <w:p w14:paraId="34E70517">
      <w:pPr>
        <w:spacing w:line="580" w:lineRule="exact"/>
        <w:ind w:firstLine="640"/>
        <w:jc w:val="both"/>
      </w:pPr>
      <w:r>
        <w:rPr>
          <w:rFonts w:ascii="仿宋_GB2312" w:hAnsi="仿宋_GB2312" w:eastAsia="仿宋_GB2312"/>
          <w:b/>
          <w:sz w:val="32"/>
        </w:rPr>
        <w:t>本年收入860.46万元，</w:t>
      </w:r>
      <w:r>
        <w:rPr>
          <w:rFonts w:ascii="仿宋_GB2312" w:hAnsi="仿宋_GB2312" w:eastAsia="仿宋_GB2312"/>
          <w:b w:val="0"/>
          <w:sz w:val="32"/>
        </w:rPr>
        <w:t>其中：财政拨款收入860.45万元，占100.00%；上级补助收入0.00万元，占0.00%；事业收入0.00万元，占0.00%；经营收入0.00万元，占0.00%；附属单位上缴收入0.00万元，占0.00%；其他收入0.02万元，占0.002%。</w:t>
      </w:r>
    </w:p>
    <w:p w14:paraId="4B548DB5">
      <w:pPr>
        <w:spacing w:line="640" w:lineRule="exact"/>
        <w:ind w:firstLine="640"/>
        <w:jc w:val="both"/>
        <w:outlineLvl w:val="2"/>
      </w:pPr>
      <w:r>
        <w:rPr>
          <w:rFonts w:ascii="黑体" w:hAnsi="黑体" w:eastAsia="黑体"/>
          <w:sz w:val="32"/>
        </w:rPr>
        <w:t>三、支出决算情况说明</w:t>
      </w:r>
    </w:p>
    <w:p w14:paraId="6272D7CD">
      <w:pPr>
        <w:spacing w:line="580" w:lineRule="exact"/>
        <w:ind w:firstLine="640"/>
        <w:jc w:val="both"/>
      </w:pPr>
      <w:r>
        <w:rPr>
          <w:rFonts w:ascii="仿宋_GB2312" w:hAnsi="仿宋_GB2312" w:eastAsia="仿宋_GB2312"/>
          <w:b/>
          <w:sz w:val="32"/>
        </w:rPr>
        <w:t>本年支出860.45万元，</w:t>
      </w:r>
      <w:r>
        <w:rPr>
          <w:rFonts w:ascii="仿宋_GB2312" w:hAnsi="仿宋_GB2312" w:eastAsia="仿宋_GB2312"/>
          <w:b w:val="0"/>
          <w:sz w:val="32"/>
        </w:rPr>
        <w:t>其中：基本支出457.59万元，占53.18%；项目支出402.86万元，占46.82%；上缴上级支出0.00万元，占0.00%；经营支出0.00万元，占0.00%；对附属单位补助支出0.00万元，占0.00%。</w:t>
      </w:r>
    </w:p>
    <w:p w14:paraId="1461C79B">
      <w:pPr>
        <w:spacing w:line="640" w:lineRule="exact"/>
        <w:ind w:firstLine="640"/>
        <w:jc w:val="both"/>
        <w:outlineLvl w:val="2"/>
      </w:pPr>
      <w:r>
        <w:rPr>
          <w:rFonts w:ascii="黑体" w:hAnsi="黑体" w:eastAsia="黑体"/>
          <w:sz w:val="32"/>
        </w:rPr>
        <w:t>四、财政拨款收入支出决算总体情况说明</w:t>
      </w:r>
    </w:p>
    <w:p w14:paraId="123D4C66">
      <w:pPr>
        <w:spacing w:line="580" w:lineRule="exact"/>
        <w:ind w:firstLine="640"/>
        <w:jc w:val="both"/>
      </w:pPr>
      <w:r>
        <w:rPr>
          <w:rFonts w:ascii="仿宋_GB2312" w:hAnsi="仿宋_GB2312" w:eastAsia="仿宋_GB2312"/>
          <w:b/>
          <w:sz w:val="32"/>
        </w:rPr>
        <w:t>2024年度财政拨款收入总计860.45万元，</w:t>
      </w:r>
      <w:r>
        <w:rPr>
          <w:rFonts w:ascii="仿宋_GB2312" w:hAnsi="仿宋_GB2312" w:eastAsia="仿宋_GB2312"/>
          <w:b w:val="0"/>
          <w:sz w:val="32"/>
        </w:rPr>
        <w:t>其中：年初财政拨款结转和结余0.00万元，本年财政拨款收入860.45万元。</w:t>
      </w:r>
      <w:r>
        <w:rPr>
          <w:rFonts w:ascii="仿宋_GB2312" w:hAnsi="仿宋_GB2312" w:eastAsia="仿宋_GB2312"/>
          <w:b/>
          <w:sz w:val="32"/>
        </w:rPr>
        <w:t>财政拨款支出总计860.45万元，</w:t>
      </w:r>
      <w:r>
        <w:rPr>
          <w:rFonts w:ascii="仿宋_GB2312" w:hAnsi="仿宋_GB2312" w:eastAsia="仿宋_GB2312"/>
          <w:b w:val="0"/>
          <w:sz w:val="32"/>
        </w:rPr>
        <w:t>其中：年末财政拨款结转和结余0.00万元，本年财政拨款支出860.45万元。</w:t>
      </w:r>
    </w:p>
    <w:p w14:paraId="6E379AF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增加71.02万元，增长9.00%，主要原因是：本年在职人员增加，在职人员工资调增、社保、公积金基数调增，发放2017年年度绩效奖励金、2021年下半年绩效奖励金，发放死亡人员抚恤金，导致人员经费增加。</w:t>
      </w:r>
      <w:r>
        <w:rPr>
          <w:rFonts w:ascii="仿宋_GB2312" w:hAnsi="仿宋_GB2312" w:eastAsia="仿宋_GB2312"/>
          <w:b/>
          <w:sz w:val="32"/>
        </w:rPr>
        <w:t>与年初预算相比，</w:t>
      </w:r>
      <w:r>
        <w:rPr>
          <w:rFonts w:ascii="仿宋_GB2312" w:hAnsi="仿宋_GB2312" w:eastAsia="仿宋_GB2312"/>
          <w:b w:val="0"/>
          <w:sz w:val="32"/>
        </w:rPr>
        <w:t>年初预算数415.99万元，决算数860.45万元，预决算差异率106.84%，主要原因是：年中追加人员2017年绩效2020年半年绩效、民特民贸贴息贷款贴息资金，导致预决算存在差异。</w:t>
      </w:r>
    </w:p>
    <w:p w14:paraId="2F4402F3">
      <w:pPr>
        <w:spacing w:line="640" w:lineRule="exact"/>
        <w:ind w:firstLine="640"/>
        <w:jc w:val="both"/>
        <w:outlineLvl w:val="2"/>
      </w:pPr>
      <w:r>
        <w:rPr>
          <w:rFonts w:ascii="黑体" w:hAnsi="黑体" w:eastAsia="黑体"/>
          <w:sz w:val="32"/>
        </w:rPr>
        <w:t>五、一般公共预算财政拨款支出决算情况说明</w:t>
      </w:r>
    </w:p>
    <w:p w14:paraId="0953066C">
      <w:pPr>
        <w:spacing w:line="640" w:lineRule="exact"/>
        <w:ind w:firstLine="640"/>
        <w:jc w:val="both"/>
        <w:outlineLvl w:val="3"/>
      </w:pPr>
      <w:r>
        <w:rPr>
          <w:rFonts w:ascii="楷体_GB2312" w:hAnsi="楷体_GB2312" w:eastAsia="楷体_GB2312"/>
          <w:b/>
          <w:sz w:val="32"/>
        </w:rPr>
        <w:t>（一）一般公共预算财政拨款支出决算总体情况</w:t>
      </w:r>
    </w:p>
    <w:p w14:paraId="6FEBAFFE">
      <w:pPr>
        <w:spacing w:line="580" w:lineRule="exact"/>
        <w:ind w:firstLine="640"/>
        <w:jc w:val="both"/>
      </w:pPr>
      <w:r>
        <w:rPr>
          <w:rFonts w:ascii="仿宋_GB2312" w:hAnsi="仿宋_GB2312" w:eastAsia="仿宋_GB2312"/>
          <w:b/>
          <w:sz w:val="32"/>
        </w:rPr>
        <w:t>2024年度一般公共预算财政拨款支出860.45万元，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增加97.48万元，增长12.78%，主要原因是：本年在职人员增加，在职人员工资调增、社保、公积金基数调增，发放2017年年度绩效奖励金、2021年下半年绩效奖励金，发放死亡人员抚恤金，导致人员经费增加。</w:t>
      </w:r>
      <w:r>
        <w:rPr>
          <w:rFonts w:ascii="仿宋_GB2312" w:hAnsi="仿宋_GB2312" w:eastAsia="仿宋_GB2312"/>
          <w:b/>
          <w:sz w:val="32"/>
        </w:rPr>
        <w:t>与年初预算相比,</w:t>
      </w:r>
      <w:r>
        <w:rPr>
          <w:rFonts w:ascii="仿宋_GB2312" w:hAnsi="仿宋_GB2312" w:eastAsia="仿宋_GB2312"/>
          <w:b w:val="0"/>
          <w:sz w:val="32"/>
        </w:rPr>
        <w:t>年初预算数415.99万元，决算数860.45万元，预决算差异率106.84%，主要原因是：年中追加人员2017年绩效2020年半年绩效、民特民贸贴息贷款贴息资金，导致预决算存在差异。</w:t>
      </w:r>
    </w:p>
    <w:p w14:paraId="41527EA7">
      <w:pPr>
        <w:spacing w:line="640" w:lineRule="exact"/>
        <w:ind w:firstLine="640"/>
        <w:jc w:val="both"/>
        <w:outlineLvl w:val="3"/>
      </w:pPr>
      <w:r>
        <w:rPr>
          <w:rFonts w:ascii="楷体_GB2312" w:hAnsi="楷体_GB2312" w:eastAsia="楷体_GB2312"/>
          <w:b/>
          <w:sz w:val="32"/>
        </w:rPr>
        <w:t>（二）一般公共预算财政拨款支出决算结构情况</w:t>
      </w:r>
    </w:p>
    <w:p w14:paraId="713B3D29">
      <w:pPr>
        <w:spacing w:line="580" w:lineRule="exact"/>
        <w:ind w:firstLine="640"/>
        <w:jc w:val="both"/>
      </w:pPr>
      <w:r>
        <w:rPr>
          <w:rFonts w:ascii="仿宋_GB2312" w:hAnsi="仿宋_GB2312" w:eastAsia="仿宋_GB2312"/>
          <w:b w:val="0"/>
          <w:sz w:val="32"/>
        </w:rPr>
        <w:t>1.一般公共服务支出(类)338.42万元,占39.33%。</w:t>
      </w:r>
    </w:p>
    <w:p w14:paraId="080280FE">
      <w:pPr>
        <w:spacing w:line="580" w:lineRule="exact"/>
        <w:ind w:firstLine="640"/>
        <w:jc w:val="both"/>
      </w:pPr>
      <w:r>
        <w:rPr>
          <w:rFonts w:ascii="仿宋_GB2312" w:hAnsi="仿宋_GB2312" w:eastAsia="仿宋_GB2312"/>
          <w:b w:val="0"/>
          <w:sz w:val="32"/>
        </w:rPr>
        <w:t>2.社会保障和就业支出(类)71.83万元,占8.35%。</w:t>
      </w:r>
    </w:p>
    <w:p w14:paraId="42E497CB">
      <w:pPr>
        <w:spacing w:line="580" w:lineRule="exact"/>
        <w:ind w:firstLine="640"/>
        <w:jc w:val="both"/>
      </w:pPr>
      <w:r>
        <w:rPr>
          <w:rFonts w:ascii="仿宋_GB2312" w:hAnsi="仿宋_GB2312" w:eastAsia="仿宋_GB2312"/>
          <w:b w:val="0"/>
          <w:sz w:val="32"/>
        </w:rPr>
        <w:t>3.卫生健康支出(类)18.09万元,占2.10%。</w:t>
      </w:r>
    </w:p>
    <w:p w14:paraId="04BD719F">
      <w:pPr>
        <w:spacing w:line="580" w:lineRule="exact"/>
        <w:ind w:firstLine="640"/>
        <w:jc w:val="both"/>
      </w:pPr>
      <w:r>
        <w:rPr>
          <w:rFonts w:ascii="仿宋_GB2312" w:hAnsi="仿宋_GB2312" w:eastAsia="仿宋_GB2312"/>
          <w:b w:val="0"/>
          <w:sz w:val="32"/>
        </w:rPr>
        <w:t>4.农林水支出(类)29.43万元,占3.42%。</w:t>
      </w:r>
    </w:p>
    <w:p w14:paraId="1F5AA3EA">
      <w:pPr>
        <w:spacing w:line="580" w:lineRule="exact"/>
        <w:ind w:firstLine="640"/>
        <w:jc w:val="both"/>
      </w:pPr>
      <w:r>
        <w:rPr>
          <w:rFonts w:ascii="仿宋_GB2312" w:hAnsi="仿宋_GB2312" w:eastAsia="仿宋_GB2312"/>
          <w:b w:val="0"/>
          <w:sz w:val="32"/>
        </w:rPr>
        <w:t>5.商业服务业等支出(类)373.43万元,占43.40%。</w:t>
      </w:r>
    </w:p>
    <w:p w14:paraId="54CF679F">
      <w:pPr>
        <w:spacing w:line="580" w:lineRule="exact"/>
        <w:ind w:firstLine="640"/>
        <w:jc w:val="both"/>
      </w:pPr>
      <w:r>
        <w:rPr>
          <w:rFonts w:ascii="仿宋_GB2312" w:hAnsi="仿宋_GB2312" w:eastAsia="仿宋_GB2312"/>
          <w:b w:val="0"/>
          <w:sz w:val="32"/>
        </w:rPr>
        <w:t>6.住房保障支出(类)29.24万元,占3.40%。</w:t>
      </w:r>
    </w:p>
    <w:p w14:paraId="721C4CD9">
      <w:pPr>
        <w:spacing w:line="640" w:lineRule="exact"/>
        <w:ind w:firstLine="640"/>
        <w:jc w:val="both"/>
        <w:outlineLvl w:val="3"/>
      </w:pPr>
      <w:r>
        <w:rPr>
          <w:rFonts w:ascii="楷体_GB2312" w:hAnsi="楷体_GB2312" w:eastAsia="楷体_GB2312"/>
          <w:b/>
          <w:sz w:val="32"/>
        </w:rPr>
        <w:t>（三）一般公共预算财政拨款支出决算具体情况</w:t>
      </w:r>
    </w:p>
    <w:p w14:paraId="0F2AFC7E">
      <w:pPr>
        <w:spacing w:line="580" w:lineRule="exact"/>
        <w:ind w:firstLine="640"/>
        <w:jc w:val="both"/>
      </w:pPr>
      <w:r>
        <w:rPr>
          <w:rFonts w:ascii="仿宋_GB2312" w:hAnsi="仿宋_GB2312" w:eastAsia="仿宋_GB2312"/>
          <w:b w:val="0"/>
          <w:sz w:val="32"/>
        </w:rPr>
        <w:t>1.一般公共服务支出(类)政府办公厅（室）及相关机构事务(款)一般行政管理事务(项):支出决算数为0.00万元，比上年决算减少3.00万元，下降100.00%,主要原因是：本年未安排民族团结创建工作-委托业务费，导致经费减少。</w:t>
      </w:r>
    </w:p>
    <w:p w14:paraId="171E5A6E">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0.00万元，比上年决算减少2.87万元，下降100.00%,主要原因是：本年未安排民族团结创建工作-办公费，导致经费减少。</w:t>
      </w:r>
    </w:p>
    <w:p w14:paraId="65161E20">
      <w:pPr>
        <w:spacing w:line="580" w:lineRule="exact"/>
        <w:ind w:firstLine="640"/>
        <w:jc w:val="both"/>
      </w:pPr>
      <w:r>
        <w:rPr>
          <w:rFonts w:ascii="仿宋_GB2312" w:hAnsi="仿宋_GB2312" w:eastAsia="仿宋_GB2312"/>
          <w:b w:val="0"/>
          <w:sz w:val="32"/>
        </w:rPr>
        <w:t>3.一般公共服务支出(类)统战事务(款)行政运行(项):支出决算数为338.42万元，比上年决算增加56.59万元，增长20.08%,主要原因是：本年新增在职人员，在职人员工资调增，导致经费较上年有所增加；发放2017年年度绩效奖励金、2021年下半年绩效奖励金。</w:t>
      </w:r>
    </w:p>
    <w:p w14:paraId="4A3C05D8">
      <w:pPr>
        <w:spacing w:line="580" w:lineRule="exact"/>
        <w:ind w:firstLine="640"/>
        <w:jc w:val="both"/>
      </w:pPr>
      <w:r>
        <w:rPr>
          <w:rFonts w:ascii="仿宋_GB2312" w:hAnsi="仿宋_GB2312" w:eastAsia="仿宋_GB2312"/>
          <w:b w:val="0"/>
          <w:sz w:val="32"/>
        </w:rPr>
        <w:t>4.一般公共服务支出(类)统战事务(款)宗教事务(项):支出决算数为0.00万元，比上年决算减少21.14万元，下降100.00%,主要原因是：本年减少活动场所修缮项目、干部人身意外伤害保险项目。</w:t>
      </w:r>
    </w:p>
    <w:p w14:paraId="6DF7B13B">
      <w:pPr>
        <w:spacing w:line="580" w:lineRule="exact"/>
        <w:ind w:firstLine="640"/>
        <w:jc w:val="both"/>
      </w:pPr>
      <w:r>
        <w:rPr>
          <w:rFonts w:ascii="仿宋_GB2312" w:hAnsi="仿宋_GB2312" w:eastAsia="仿宋_GB2312"/>
          <w:b w:val="0"/>
          <w:sz w:val="32"/>
        </w:rPr>
        <w:t>5.一般公共服务支出(类)统战事务(款)其他统战事务支出(项):支出决算数为0.00万元，比上年决算减少44.02万元，下降100.00%,主要原因是：本年减少托里县创建全国民族团结进步模范示范县项目。</w:t>
      </w:r>
    </w:p>
    <w:p w14:paraId="548103A6">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6.社会保障和就业支出(类)行政事业单位养老支出(款)行政单位离退休(项):支出决算数为35.34万元，比上年决算增加28.91万元，增长449.61%,主要原因是：本年增加退休人员基础绩效奖，退休费支出增加。</w:t>
      </w:r>
    </w:p>
    <w:p w14:paraId="685154E1">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36.49万元，比上年决算增加5.98万元，增长19.60%,主要原因是：本年在职人员增加，在职人员工资基数调增，养老缴费基数上涨，相应支出增加。</w:t>
      </w:r>
    </w:p>
    <w:p w14:paraId="005F1A11">
      <w:pPr>
        <w:spacing w:line="580" w:lineRule="exact"/>
        <w:ind w:firstLine="640"/>
        <w:jc w:val="both"/>
      </w:pPr>
      <w:r>
        <w:rPr>
          <w:rFonts w:ascii="仿宋_GB2312" w:hAnsi="仿宋_GB2312" w:eastAsia="仿宋_GB2312"/>
          <w:b w:val="0"/>
          <w:sz w:val="32"/>
        </w:rPr>
        <w:t>8.卫生健康支出(类)行政事业单位医疗(款)行政单位医疗(项):支出决算数为13.77万元，比上年决算增加0.06万元，增长0.44%,主要原因是：本年在职人员增加，在职人员工资基数调增，医疗缴费基数上涨，相应支出增加。</w:t>
      </w:r>
    </w:p>
    <w:p w14:paraId="19D7D8B2">
      <w:pPr>
        <w:spacing w:line="580" w:lineRule="exact"/>
        <w:ind w:firstLine="640"/>
        <w:jc w:val="both"/>
      </w:pPr>
      <w:r>
        <w:rPr>
          <w:rFonts w:ascii="仿宋_GB2312" w:hAnsi="仿宋_GB2312" w:eastAsia="仿宋_GB2312"/>
          <w:b w:val="0"/>
          <w:sz w:val="32"/>
        </w:rPr>
        <w:t>9.卫生健康支出(类)行政事业单位医疗(款)公务员医疗补助(项):支出决算数为4.32万元，比上年决算减少0.15万元，下降3.36%,主要原因是：因退休人员医疗保险制度改革，退休人员基本医疗不再由单位缴纳，导致经费较上年减少。</w:t>
      </w:r>
    </w:p>
    <w:p w14:paraId="38C6AF55">
      <w:pPr>
        <w:spacing w:line="580" w:lineRule="exact"/>
        <w:ind w:firstLine="640"/>
        <w:jc w:val="both"/>
      </w:pPr>
      <w:r>
        <w:rPr>
          <w:rFonts w:ascii="仿宋_GB2312" w:hAnsi="仿宋_GB2312" w:eastAsia="仿宋_GB2312"/>
          <w:b w:val="0"/>
          <w:sz w:val="32"/>
        </w:rPr>
        <w:t>10.农林水支出(类)巩固脱贫攻坚成果衔接乡村振兴(款)社会发展(项):支出决算数为29.43万元，比上年决算增加29.43万元，增长100.00%,主要原因是：本年增加托里县低氟变销茶项目。</w:t>
      </w:r>
    </w:p>
    <w:p w14:paraId="0347D7DE">
      <w:pPr>
        <w:spacing w:line="580" w:lineRule="exact"/>
        <w:ind w:firstLine="640"/>
        <w:jc w:val="both"/>
      </w:pPr>
      <w:r>
        <w:rPr>
          <w:rFonts w:ascii="仿宋_GB2312" w:hAnsi="仿宋_GB2312" w:eastAsia="仿宋_GB2312"/>
          <w:b w:val="0"/>
          <w:sz w:val="32"/>
        </w:rPr>
        <w:t>11.商业服务业等支出(类)商业流通事务(款)民贸民品贷款贴息(项):支出决算数为373.43万元，比上年决算增加42.84万元，增长12.96%,主要原因是：本年增加民贸民品贷款贴息项目。</w:t>
      </w:r>
    </w:p>
    <w:p w14:paraId="7DEE2437">
      <w:pPr>
        <w:spacing w:line="580" w:lineRule="exact"/>
        <w:ind w:firstLine="640"/>
        <w:jc w:val="both"/>
      </w:pPr>
      <w:r>
        <w:rPr>
          <w:rFonts w:ascii="仿宋_GB2312" w:hAnsi="仿宋_GB2312" w:eastAsia="仿宋_GB2312"/>
          <w:b w:val="0"/>
          <w:sz w:val="32"/>
        </w:rPr>
        <w:t>12.住房保障支出(类)住房改革支出(款)住房公积金(项):支出决算数为29.24万元，比上年决算增加4.84万元，增长19.84%,主要原因是：本年在职人员工资基数调增，在职人员增加，公积金缴费基数上涨，相应支出增加。</w:t>
      </w:r>
    </w:p>
    <w:p w14:paraId="279507B6">
      <w:pPr>
        <w:spacing w:line="640" w:lineRule="exact"/>
        <w:ind w:firstLine="640"/>
        <w:jc w:val="both"/>
        <w:outlineLvl w:val="2"/>
      </w:pPr>
      <w:r>
        <w:rPr>
          <w:rFonts w:ascii="黑体" w:hAnsi="黑体" w:eastAsia="黑体"/>
          <w:sz w:val="32"/>
        </w:rPr>
        <w:t>六、一般公共预算财政拨款基本支出决算情况说明</w:t>
      </w:r>
    </w:p>
    <w:p w14:paraId="20E2E55A">
      <w:pPr>
        <w:spacing w:line="580" w:lineRule="exact"/>
        <w:ind w:firstLine="640"/>
        <w:jc w:val="both"/>
      </w:pPr>
      <w:r>
        <w:rPr>
          <w:rFonts w:ascii="仿宋_GB2312" w:hAnsi="仿宋_GB2312" w:eastAsia="仿宋_GB2312"/>
          <w:b w:val="0"/>
          <w:sz w:val="32"/>
        </w:rPr>
        <w:t>2024年度一般公共预算财政拨款基本支出457.59万元，其中：</w:t>
      </w:r>
      <w:r>
        <w:rPr>
          <w:rFonts w:ascii="仿宋_GB2312" w:hAnsi="仿宋_GB2312" w:eastAsia="仿宋_GB2312"/>
          <w:b/>
          <w:sz w:val="32"/>
        </w:rPr>
        <w:t>人员经费434.65万元，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抚恤金、医疗费补助、奖励金。</w:t>
      </w:r>
    </w:p>
    <w:p w14:paraId="30B6E6D5">
      <w:pPr>
        <w:spacing w:line="580" w:lineRule="exact"/>
        <w:ind w:firstLine="640"/>
        <w:jc w:val="both"/>
      </w:pPr>
      <w:r>
        <w:rPr>
          <w:rFonts w:ascii="仿宋_GB2312" w:hAnsi="仿宋_GB2312" w:eastAsia="仿宋_GB2312"/>
          <w:b/>
          <w:sz w:val="32"/>
        </w:rPr>
        <w:t>公用经费22.93万元，</w:t>
      </w:r>
      <w:r>
        <w:rPr>
          <w:rFonts w:ascii="仿宋_GB2312" w:hAnsi="仿宋_GB2312" w:eastAsia="仿宋_GB2312"/>
          <w:b w:val="0"/>
          <w:sz w:val="32"/>
        </w:rPr>
        <w:t>包括：办公费、邮电费、取暖费、差旅费、维修（护）费、劳务费、工会经费、公务用车运行维护费。</w:t>
      </w:r>
    </w:p>
    <w:p w14:paraId="1358BE5C">
      <w:pPr>
        <w:spacing w:line="640" w:lineRule="exact"/>
        <w:ind w:firstLine="640"/>
        <w:jc w:val="both"/>
        <w:outlineLvl w:val="2"/>
      </w:pPr>
      <w:r>
        <w:rPr>
          <w:rFonts w:ascii="黑体" w:hAnsi="黑体" w:eastAsia="黑体"/>
          <w:sz w:val="32"/>
        </w:rPr>
        <w:t>七、政府性基金预算财政拨款收入支出决算情况说明</w:t>
      </w:r>
    </w:p>
    <w:p w14:paraId="43AEF4D5">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1FCDB12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减少26.45万元，下降100.00%，主要原因是：本年减少公共服务设施建设项目。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年初预算数0.00万元，决算数0.00万元，预决算差异率0.00%，主要原因是：本单位未安排政府性基金。</w:t>
      </w:r>
    </w:p>
    <w:p w14:paraId="3C20CBB6">
      <w:pPr>
        <w:spacing w:line="580" w:lineRule="exact"/>
        <w:ind w:firstLine="640"/>
        <w:jc w:val="both"/>
      </w:pPr>
      <w:r>
        <w:rPr>
          <w:rFonts w:ascii="仿宋_GB2312" w:hAnsi="仿宋_GB2312" w:eastAsia="仿宋_GB2312"/>
          <w:b w:val="0"/>
          <w:sz w:val="32"/>
        </w:rPr>
        <w:t>政府性基金预算财政拨款支出0.00万元。</w:t>
      </w:r>
    </w:p>
    <w:p w14:paraId="21CAE131">
      <w:pPr>
        <w:spacing w:line="580" w:lineRule="exact"/>
        <w:ind w:firstLine="640"/>
        <w:jc w:val="both"/>
      </w:pPr>
      <w:r>
        <w:rPr>
          <w:rFonts w:ascii="仿宋_GB2312" w:hAnsi="仿宋_GB2312" w:eastAsia="仿宋_GB2312"/>
          <w:b w:val="0"/>
          <w:sz w:val="32"/>
        </w:rPr>
        <w:t>1.城乡社区支出(类)国有土地使用权出让收入安排的支出(款)其他国有土地使用权出让收入安排的支出(项):支出决算数为0.00万元，比上年决算减少26.45万元，下降100.00%,主要原因是：本年减少公共服务设施建设项目。</w:t>
      </w:r>
    </w:p>
    <w:p w14:paraId="4F153173">
      <w:pPr>
        <w:spacing w:line="640" w:lineRule="exact"/>
        <w:ind w:firstLine="640"/>
        <w:jc w:val="both"/>
        <w:outlineLvl w:val="2"/>
      </w:pPr>
      <w:r>
        <w:rPr>
          <w:rFonts w:ascii="黑体" w:hAnsi="黑体" w:eastAsia="黑体"/>
          <w:sz w:val="32"/>
        </w:rPr>
        <w:t>八、国有资本经营预算财政拨款收入支出决算情况说明</w:t>
      </w:r>
    </w:p>
    <w:p w14:paraId="61AACF7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1EC3E83">
      <w:pPr>
        <w:spacing w:line="640" w:lineRule="exact"/>
        <w:ind w:firstLine="640"/>
        <w:jc w:val="both"/>
        <w:outlineLvl w:val="2"/>
      </w:pPr>
      <w:r>
        <w:rPr>
          <w:rFonts w:ascii="黑体" w:hAnsi="黑体" w:eastAsia="黑体"/>
          <w:sz w:val="32"/>
        </w:rPr>
        <w:t>九、财政拨款“三公”经费支出决算情况说明</w:t>
      </w:r>
    </w:p>
    <w:p w14:paraId="697DF8E9">
      <w:pPr>
        <w:spacing w:line="580" w:lineRule="exact"/>
        <w:ind w:firstLine="640"/>
        <w:jc w:val="both"/>
      </w:pPr>
      <w:r>
        <w:rPr>
          <w:rFonts w:ascii="仿宋_GB2312" w:hAnsi="仿宋_GB2312" w:eastAsia="仿宋_GB2312"/>
          <w:b/>
          <w:sz w:val="32"/>
        </w:rPr>
        <w:t>2024年度财政拨款“三公”经费支出5.79万元，</w:t>
      </w:r>
      <w:r>
        <w:rPr>
          <w:rFonts w:ascii="仿宋_GB2312" w:hAnsi="仿宋_GB2312" w:eastAsia="仿宋_GB2312"/>
          <w:b w:val="0"/>
          <w:sz w:val="32"/>
        </w:rPr>
        <w:t>比上年减少2.38万元，下降29.13%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5.79万元，占100.00%，比上年减少2.38万元，下降29.13%，主要原因是：严格落实中央八项规定精神，厉行节约，减少公务用车运行维护费。公务接待费支出0.00万元，占0.00%，比上年增加0.00万元，增长0.00%，主要原因是：2023年与2024年均未安排公务接待费支出。</w:t>
      </w:r>
    </w:p>
    <w:p w14:paraId="2922607F">
      <w:pPr>
        <w:spacing w:line="580" w:lineRule="exact"/>
        <w:ind w:firstLine="640"/>
        <w:jc w:val="both"/>
      </w:pPr>
      <w:r>
        <w:rPr>
          <w:rFonts w:ascii="仿宋_GB2312" w:hAnsi="仿宋_GB2312" w:eastAsia="仿宋_GB2312"/>
          <w:b/>
          <w:sz w:val="32"/>
        </w:rPr>
        <w:t>具体情况如下：</w:t>
      </w:r>
    </w:p>
    <w:p w14:paraId="6531B07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79E9A24">
      <w:pPr>
        <w:spacing w:line="580" w:lineRule="exact"/>
        <w:ind w:firstLine="640"/>
        <w:jc w:val="both"/>
      </w:pPr>
      <w:r>
        <w:rPr>
          <w:rFonts w:ascii="仿宋_GB2312" w:hAnsi="仿宋_GB2312" w:eastAsia="仿宋_GB2312"/>
          <w:b w:val="0"/>
          <w:sz w:val="32"/>
        </w:rPr>
        <w:t>公务用车购置及运行维护费5.79万元，其中：公务用车购置费0.00万元，公务用车运行维护费5.79万元。公务用车运行维护费开支内容包括车辆加油费、车辆维修费、车辆保险费、车辆过路费。公务用车购置数0辆，公务用车保有量1辆。国有资产占用情况中固定资产车辆3辆，与公务用车保有量差异原因是：单位业务用车，车辆费用未使用财政拨款公务用车运行维护费支付，由专项业务经费保障。</w:t>
      </w:r>
    </w:p>
    <w:p w14:paraId="66B2D3B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89B78F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5.79万元，决算数5.79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5.79万元，决算数5.79万元，预决算差异率0.00%，主要原因是：严格按照预算执行，预决算无差异。公务接待费全年预算数0.00万元，决算数0.00万元，预决算差异率0.00%，主要原因是：本单位无公务接待费。</w:t>
      </w:r>
    </w:p>
    <w:p w14:paraId="7FE5C5B3">
      <w:pPr>
        <w:spacing w:line="640" w:lineRule="exact"/>
        <w:ind w:firstLine="640"/>
        <w:jc w:val="both"/>
        <w:outlineLvl w:val="2"/>
      </w:pPr>
      <w:r>
        <w:rPr>
          <w:rFonts w:ascii="黑体" w:hAnsi="黑体" w:eastAsia="黑体"/>
          <w:sz w:val="32"/>
        </w:rPr>
        <w:t>十、其他重要事项的情况说明</w:t>
      </w:r>
    </w:p>
    <w:p w14:paraId="30F2BCC6">
      <w:pPr>
        <w:spacing w:line="640" w:lineRule="exact"/>
        <w:ind w:firstLine="640"/>
        <w:jc w:val="both"/>
        <w:outlineLvl w:val="3"/>
      </w:pPr>
      <w:r>
        <w:rPr>
          <w:rFonts w:ascii="楷体_GB2312" w:hAnsi="楷体_GB2312" w:eastAsia="楷体_GB2312"/>
          <w:b/>
          <w:sz w:val="32"/>
        </w:rPr>
        <w:t>（一）机关运行经费及公用经费支出情况</w:t>
      </w:r>
    </w:p>
    <w:p w14:paraId="25B408F8">
      <w:pPr>
        <w:spacing w:line="580" w:lineRule="exact"/>
        <w:ind w:firstLine="640"/>
        <w:jc w:val="both"/>
      </w:pPr>
      <w:r>
        <w:rPr>
          <w:rFonts w:ascii="仿宋_GB2312" w:hAnsi="仿宋_GB2312" w:eastAsia="仿宋_GB2312"/>
          <w:b w:val="0"/>
          <w:sz w:val="32"/>
        </w:rPr>
        <w:t>2024年度中共托里县委统战部（行政单位和参照公务员法管理事业单位）机关运行经费支出22.93万元，比上年减少0.45万元，下降1.92%，主要原因是：本年减少办公经费，导致机关运行经费减少。</w:t>
      </w:r>
    </w:p>
    <w:p w14:paraId="7D9D7690">
      <w:pPr>
        <w:spacing w:line="640" w:lineRule="exact"/>
        <w:ind w:firstLine="640"/>
        <w:jc w:val="both"/>
        <w:outlineLvl w:val="3"/>
      </w:pPr>
      <w:r>
        <w:rPr>
          <w:rFonts w:ascii="楷体_GB2312" w:hAnsi="楷体_GB2312" w:eastAsia="楷体_GB2312"/>
          <w:b/>
          <w:sz w:val="32"/>
        </w:rPr>
        <w:t>（二）政府采购情况</w:t>
      </w:r>
    </w:p>
    <w:p w14:paraId="51564081">
      <w:pPr>
        <w:spacing w:line="580" w:lineRule="exact"/>
        <w:ind w:firstLine="640"/>
        <w:jc w:val="both"/>
      </w:pPr>
      <w:r>
        <w:rPr>
          <w:rFonts w:ascii="仿宋_GB2312" w:hAnsi="仿宋_GB2312" w:eastAsia="仿宋_GB2312"/>
          <w:b w:val="0"/>
          <w:sz w:val="32"/>
        </w:rPr>
        <w:t>2024年度政府采购支出总额37.42万元，其中：政府采购货物支出32.32万元、政府采购工程支出0.00万元、政府采购服务支出5.09万元。</w:t>
      </w:r>
    </w:p>
    <w:p w14:paraId="6515002B">
      <w:pPr>
        <w:spacing w:line="580" w:lineRule="exact"/>
        <w:ind w:firstLine="640"/>
        <w:jc w:val="both"/>
      </w:pPr>
      <w:r>
        <w:rPr>
          <w:rFonts w:ascii="仿宋_GB2312" w:hAnsi="仿宋_GB2312" w:eastAsia="仿宋_GB2312"/>
          <w:b w:val="0"/>
          <w:sz w:val="32"/>
        </w:rPr>
        <w:t>授予中小企业合同金额36.59万元，占政府采购支出总额的97.78%，其中：授予小微企业合同金额36.29万元，占政府采购支出总额的96.98%。</w:t>
      </w:r>
      <w:bookmarkStart w:id="0" w:name="_GoBack"/>
      <w:bookmarkEnd w:id="0"/>
    </w:p>
    <w:p w14:paraId="0CBEC101">
      <w:pPr>
        <w:spacing w:line="640" w:lineRule="exact"/>
        <w:ind w:firstLine="640"/>
        <w:jc w:val="both"/>
        <w:outlineLvl w:val="3"/>
      </w:pPr>
      <w:r>
        <w:rPr>
          <w:rFonts w:ascii="楷体_GB2312" w:hAnsi="楷体_GB2312" w:eastAsia="楷体_GB2312"/>
          <w:b/>
          <w:sz w:val="32"/>
        </w:rPr>
        <w:t>（三）国有资产占用情况说明</w:t>
      </w:r>
    </w:p>
    <w:p w14:paraId="31B2AA30">
      <w:pPr>
        <w:spacing w:line="580" w:lineRule="exact"/>
        <w:ind w:firstLine="640"/>
        <w:jc w:val="both"/>
      </w:pPr>
      <w:r>
        <w:rPr>
          <w:rFonts w:ascii="仿宋_GB2312" w:hAnsi="仿宋_GB2312" w:eastAsia="仿宋_GB2312"/>
          <w:b w:val="0"/>
          <w:sz w:val="32"/>
        </w:rPr>
        <w:t>截至2024年12月31日，房屋0.00平方米，价值0.00万元。车辆3辆，价值51.60万元，其中：副部（省）级及以上领导用车0辆、主要负责人用车0辆、机要通信用车0辆、应急保障用车0辆、执法执勤用车0辆、特种专业技术用车0辆、离退休干部服务用车0辆、其他用车3辆，其他用车主要是：一般公务用车和单位业务用车。单价100万元（含）以上设备（不含车辆）0台（套）。</w:t>
      </w:r>
    </w:p>
    <w:p w14:paraId="20BBDC41">
      <w:pPr>
        <w:spacing w:line="640" w:lineRule="exact"/>
        <w:ind w:firstLine="640"/>
        <w:jc w:val="both"/>
        <w:outlineLvl w:val="2"/>
      </w:pPr>
      <w:r>
        <w:rPr>
          <w:rFonts w:ascii="黑体" w:hAnsi="黑体" w:eastAsia="黑体"/>
          <w:sz w:val="32"/>
        </w:rPr>
        <w:t>十一、预算绩效的情况说明</w:t>
      </w:r>
    </w:p>
    <w:p w14:paraId="2F0DA69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860.47万元，实际执行总额860.45万元；预算绩效评价项目1个，全年预算数373.43万元，全年执行数373.43万元。预算绩效管理取得的成效：一是提升了财政资金使用效益，推动资金向高效项目倾斜；二是优化了决策依据，通过绩效评价结果，为后续预算安排、政策调整提供数据支撑，提升决策科学性。发现的问题及原因：一是</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设置的科学性、合理性有待进一步提高；二是绩效管理专业人员匮乏。绩效管理是一项系统工作，需要专业人才，单位大多是财务人员兼任绩效管理人员，工作难以深入推进。下一步改进措施：一是建议以规章规则的形式，出台绩效管理制度，对绩效管理的目的、意义、性质和特点，以及组织实施绩效管理的程序、步骤、方法、原则和要求进行统一的规定，在设定绩效目标时选取相关性强的量化指标，并注重选取符合实际工作情况的指标值。二是加强队伍建设，提高管理水平。积极选派单位分管领导及工作人员参加绩效工作相关培训，不断提高绩效管理水平。具体附整体支出绩效自评表，项目支出绩效自评表和评价报告。</w:t>
      </w:r>
    </w:p>
    <w:p w14:paraId="0772187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46446C4">
        <w:tc>
          <w:tcPr>
            <w:tcW w:w="8840" w:type="dxa"/>
            <w:gridSpan w:val="8"/>
            <w:vAlign w:val="center"/>
          </w:tcPr>
          <w:p w14:paraId="238D38C5">
            <w:pPr>
              <w:jc w:val="center"/>
            </w:pPr>
            <w:r>
              <w:rPr>
                <w:rFonts w:ascii="宋体" w:hAnsi="宋体" w:eastAsia="宋体"/>
                <w:sz w:val="24"/>
              </w:rPr>
              <w:t>单位整体支出绩效自评表</w:t>
            </w:r>
          </w:p>
        </w:tc>
      </w:tr>
      <w:tr w14:paraId="0243B9E3">
        <w:tblPrEx>
          <w:tblCellMar>
            <w:top w:w="0" w:type="dxa"/>
            <w:left w:w="108" w:type="dxa"/>
            <w:bottom w:w="0" w:type="dxa"/>
            <w:right w:w="108" w:type="dxa"/>
          </w:tblCellMar>
        </w:tblPrEx>
        <w:tc>
          <w:tcPr>
            <w:tcW w:w="8840" w:type="dxa"/>
            <w:gridSpan w:val="8"/>
            <w:vAlign w:val="center"/>
          </w:tcPr>
          <w:p w14:paraId="6A1EE379">
            <w:pPr>
              <w:jc w:val="center"/>
            </w:pPr>
            <w:r>
              <w:rPr>
                <w:rFonts w:ascii="宋体" w:hAnsi="宋体" w:eastAsia="宋体"/>
                <w:sz w:val="24"/>
              </w:rPr>
              <w:t>（2024年度）</w:t>
            </w:r>
          </w:p>
        </w:tc>
      </w:tr>
      <w:tr w14:paraId="625976C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1C3B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CBB29A">
            <w:pPr>
              <w:jc w:val="center"/>
            </w:pPr>
            <w:r>
              <w:rPr>
                <w:rFonts w:ascii="宋体" w:hAnsi="宋体" w:eastAsia="宋体"/>
                <w:sz w:val="16"/>
              </w:rPr>
              <w:t>中共托里县委统战部</w:t>
            </w:r>
          </w:p>
        </w:tc>
      </w:tr>
      <w:tr w14:paraId="67F4405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97E3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CA91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5B59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469BED">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570E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4F73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8A4C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440E3">
            <w:pPr>
              <w:jc w:val="center"/>
            </w:pPr>
            <w:r>
              <w:rPr>
                <w:rFonts w:ascii="宋体" w:hAnsi="宋体" w:eastAsia="宋体"/>
                <w:sz w:val="16"/>
              </w:rPr>
              <w:t>得分</w:t>
            </w:r>
          </w:p>
        </w:tc>
      </w:tr>
      <w:tr w14:paraId="38FBCE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C458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1C63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6A27F">
            <w:pPr>
              <w:jc w:val="center"/>
            </w:pPr>
            <w:r>
              <w:rPr>
                <w:rFonts w:ascii="宋体" w:hAnsi="宋体" w:eastAsia="宋体"/>
                <w:sz w:val="16"/>
              </w:rPr>
              <w:t>415.99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B2E19">
            <w:pPr>
              <w:jc w:val="center"/>
            </w:pPr>
            <w:r>
              <w:rPr>
                <w:rFonts w:ascii="宋体" w:hAnsi="宋体" w:eastAsia="宋体"/>
                <w:sz w:val="16"/>
              </w:rPr>
              <w:t>860.47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A3E6E">
            <w:pPr>
              <w:jc w:val="center"/>
            </w:pPr>
            <w:r>
              <w:rPr>
                <w:rFonts w:ascii="宋体" w:hAnsi="宋体" w:eastAsia="宋体"/>
                <w:sz w:val="16"/>
              </w:rPr>
              <w:t>860.45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FDDE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8F5A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B6EBD">
            <w:pPr>
              <w:jc w:val="center"/>
            </w:pPr>
            <w:r>
              <w:rPr>
                <w:rFonts w:ascii="宋体" w:hAnsi="宋体" w:eastAsia="宋体"/>
                <w:sz w:val="16"/>
              </w:rPr>
              <w:t>10</w:t>
            </w:r>
          </w:p>
        </w:tc>
      </w:tr>
      <w:tr w14:paraId="508708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23B4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5C4707">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C4CF4">
            <w:pPr>
              <w:jc w:val="center"/>
            </w:pPr>
            <w:r>
              <w:rPr>
                <w:rFonts w:ascii="宋体" w:hAnsi="宋体" w:eastAsia="宋体"/>
                <w:sz w:val="16"/>
              </w:rPr>
              <w:t>30.57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A214B">
            <w:pPr>
              <w:jc w:val="center"/>
            </w:pPr>
            <w:r>
              <w:rPr>
                <w:rFonts w:ascii="宋体" w:hAnsi="宋体" w:eastAsia="宋体"/>
                <w:sz w:val="16"/>
              </w:rPr>
              <w:t>402.86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21C18">
            <w:pPr>
              <w:jc w:val="center"/>
            </w:pPr>
            <w:r>
              <w:rPr>
                <w:rFonts w:ascii="宋体" w:hAnsi="宋体" w:eastAsia="宋体"/>
                <w:sz w:val="16"/>
              </w:rPr>
              <w:t>402.86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35E46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156B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966413">
            <w:pPr>
              <w:jc w:val="center"/>
            </w:pPr>
            <w:r>
              <w:rPr>
                <w:rFonts w:ascii="宋体" w:hAnsi="宋体" w:eastAsia="宋体"/>
                <w:sz w:val="16"/>
              </w:rPr>
              <w:t>-</w:t>
            </w:r>
          </w:p>
        </w:tc>
      </w:tr>
      <w:tr w14:paraId="39A90A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E37D0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D7D66">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1A9CF">
            <w:pPr>
              <w:jc w:val="center"/>
            </w:pPr>
            <w:r>
              <w:rPr>
                <w:rFonts w:ascii="宋体" w:hAnsi="宋体" w:eastAsia="宋体"/>
                <w:sz w:val="16"/>
              </w:rPr>
              <w:t>385.42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CD2E3">
            <w:pPr>
              <w:jc w:val="center"/>
            </w:pPr>
            <w:r>
              <w:rPr>
                <w:rFonts w:ascii="宋体" w:hAnsi="宋体" w:eastAsia="宋体"/>
                <w:sz w:val="16"/>
              </w:rPr>
              <w:t>457.61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FB50B">
            <w:pPr>
              <w:jc w:val="center"/>
            </w:pPr>
            <w:r>
              <w:rPr>
                <w:rFonts w:ascii="宋体" w:hAnsi="宋体" w:eastAsia="宋体"/>
                <w:sz w:val="16"/>
              </w:rPr>
              <w:t>457.59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A9E2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F51D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05A46">
            <w:pPr>
              <w:jc w:val="center"/>
            </w:pPr>
            <w:r>
              <w:rPr>
                <w:rFonts w:ascii="宋体" w:hAnsi="宋体" w:eastAsia="宋体"/>
                <w:sz w:val="16"/>
              </w:rPr>
              <w:t>-</w:t>
            </w:r>
          </w:p>
        </w:tc>
      </w:tr>
      <w:tr w14:paraId="4CD8012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79F38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DA06C">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7B9B4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9562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7870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5AC8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8DC2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61539">
            <w:pPr>
              <w:jc w:val="center"/>
            </w:pPr>
            <w:r>
              <w:rPr>
                <w:rFonts w:ascii="宋体" w:hAnsi="宋体" w:eastAsia="宋体"/>
                <w:sz w:val="16"/>
              </w:rPr>
              <w:t>-</w:t>
            </w:r>
          </w:p>
        </w:tc>
      </w:tr>
      <w:tr w14:paraId="3170B73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09DD2">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0CB00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CD44CB">
            <w:pPr>
              <w:jc w:val="center"/>
            </w:pPr>
            <w:r>
              <w:rPr>
                <w:rFonts w:ascii="宋体" w:hAnsi="宋体" w:eastAsia="宋体"/>
                <w:sz w:val="16"/>
              </w:rPr>
              <w:t>实际完成情况</w:t>
            </w:r>
          </w:p>
        </w:tc>
      </w:tr>
      <w:tr w14:paraId="3E1250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67BCC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6E9650">
            <w:pPr>
              <w:jc w:val="both"/>
            </w:pPr>
            <w:r>
              <w:rPr>
                <w:rFonts w:ascii="宋体" w:hAnsi="宋体" w:eastAsia="宋体"/>
                <w:sz w:val="16"/>
              </w:rPr>
              <w:t>认真学习贯彻党的二十大精神和习近平总书记关于做好新时代党的统一战线工作的重要思想，着力抓好党中央关于统战工作各项决策，地委安排部署和县委工作要求的贯彻落实，不断解决统战工作要点难点问题，牢牢守住不发生</w:t>
            </w:r>
            <w:r>
              <w:rPr>
                <w:rFonts w:hint="eastAsia" w:ascii="宋体" w:hAnsi="宋体"/>
                <w:sz w:val="16"/>
                <w:lang w:eastAsia="zh-CN"/>
              </w:rPr>
              <w:t>重大</w:t>
            </w:r>
            <w:r>
              <w:rPr>
                <w:rFonts w:ascii="宋体" w:hAnsi="宋体" w:eastAsia="宋体"/>
                <w:sz w:val="16"/>
              </w:rPr>
              <w:t>风险的底线，不断巩固和发展爱国统一战线，为托里县改革发展稳定智慧力量。增强</w:t>
            </w:r>
            <w:r>
              <w:rPr>
                <w:rFonts w:hint="eastAsia" w:ascii="宋体" w:hAnsi="宋体"/>
                <w:sz w:val="16"/>
                <w:lang w:eastAsia="zh-CN"/>
              </w:rPr>
              <w:t>尊法学法守法用法</w:t>
            </w:r>
            <w:r>
              <w:rPr>
                <w:rFonts w:ascii="宋体" w:hAnsi="宋体" w:eastAsia="宋体"/>
                <w:sz w:val="16"/>
              </w:rPr>
              <w:t>意识。2024年完成发放各种宣传</w:t>
            </w:r>
            <w:r>
              <w:rPr>
                <w:rFonts w:hint="eastAsia" w:ascii="宋体" w:hAnsi="宋体"/>
                <w:sz w:val="16"/>
                <w:lang w:eastAsia="zh-CN"/>
              </w:rPr>
              <w:t>材</w:t>
            </w:r>
            <w:r>
              <w:rPr>
                <w:rFonts w:ascii="宋体" w:hAnsi="宋体" w:eastAsia="宋体"/>
                <w:sz w:val="16"/>
              </w:rPr>
              <w:t>料200份，全年开展各类培训活动2项，全县乡镇统战民宗专干培训3次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AB4E16">
            <w:pPr>
              <w:jc w:val="both"/>
            </w:pPr>
            <w:r>
              <w:rPr>
                <w:rFonts w:ascii="宋体" w:hAnsi="宋体" w:eastAsia="宋体"/>
                <w:sz w:val="16"/>
              </w:rPr>
              <w:t>认真学习贯彻党的二十大精神和习近平总书记关于做好新时代党的统一战线工作的重要思想，着力抓好党中央关于统战工作各项决策，地委安排部署和县委工作要求的贯彻落实，不断解决统战工作要点难点问题，牢牢守住不发生</w:t>
            </w:r>
            <w:r>
              <w:rPr>
                <w:rFonts w:hint="eastAsia" w:ascii="宋体" w:hAnsi="宋体"/>
                <w:sz w:val="16"/>
                <w:lang w:eastAsia="zh-CN"/>
              </w:rPr>
              <w:t>重大</w:t>
            </w:r>
            <w:r>
              <w:rPr>
                <w:rFonts w:ascii="宋体" w:hAnsi="宋体" w:eastAsia="宋体"/>
                <w:sz w:val="16"/>
              </w:rPr>
              <w:t>风险的底线，不断巩固和发展爱国统一战线，为托里县改革发展稳定智慧力量。增强</w:t>
            </w:r>
            <w:r>
              <w:rPr>
                <w:rFonts w:hint="eastAsia" w:ascii="宋体" w:hAnsi="宋体"/>
                <w:sz w:val="16"/>
                <w:lang w:eastAsia="zh-CN"/>
              </w:rPr>
              <w:t>尊法学法守法用法</w:t>
            </w:r>
            <w:r>
              <w:rPr>
                <w:rFonts w:ascii="宋体" w:hAnsi="宋体" w:eastAsia="宋体"/>
                <w:sz w:val="16"/>
              </w:rPr>
              <w:t>意识。2024年完成发放了各种宣传</w:t>
            </w:r>
            <w:r>
              <w:rPr>
                <w:rFonts w:hint="eastAsia" w:ascii="宋体" w:hAnsi="宋体"/>
                <w:sz w:val="16"/>
                <w:lang w:eastAsia="zh-CN"/>
              </w:rPr>
              <w:t>材</w:t>
            </w:r>
            <w:r>
              <w:rPr>
                <w:rFonts w:ascii="宋体" w:hAnsi="宋体" w:eastAsia="宋体"/>
                <w:sz w:val="16"/>
              </w:rPr>
              <w:t>料200份，全年开展各类培训活动2项，全县乡镇统战民宗专干培训3次</w:t>
            </w:r>
          </w:p>
        </w:tc>
      </w:tr>
      <w:tr w14:paraId="50FC9FF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C569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EBB9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3ED6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D8C7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9E8B2">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4FEE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1881B">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590B9">
            <w:pPr>
              <w:jc w:val="center"/>
            </w:pPr>
            <w:r>
              <w:rPr>
                <w:rFonts w:ascii="宋体" w:hAnsi="宋体" w:eastAsia="宋体"/>
                <w:sz w:val="16"/>
              </w:rPr>
              <w:t>得分</w:t>
            </w:r>
          </w:p>
        </w:tc>
      </w:tr>
      <w:tr w14:paraId="259AEDA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83D4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EC0A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FDB21">
            <w:pPr>
              <w:jc w:val="center"/>
            </w:pPr>
            <w:r>
              <w:rPr>
                <w:rFonts w:ascii="宋体" w:hAnsi="宋体" w:eastAsia="宋体"/>
                <w:sz w:val="16"/>
              </w:rPr>
              <w:t>发放各种宣传</w:t>
            </w:r>
            <w:r>
              <w:rPr>
                <w:rFonts w:hint="eastAsia" w:ascii="宋体" w:hAnsi="宋体"/>
                <w:sz w:val="16"/>
                <w:lang w:eastAsia="zh-CN"/>
              </w:rPr>
              <w:t>材</w:t>
            </w:r>
            <w:r>
              <w:rPr>
                <w:rFonts w:ascii="宋体" w:hAnsi="宋体" w:eastAsia="宋体"/>
                <w:sz w:val="16"/>
              </w:rPr>
              <w:t>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90923">
            <w:pPr>
              <w:jc w:val="center"/>
            </w:pPr>
            <w:r>
              <w:rPr>
                <w:rFonts w:ascii="宋体" w:hAnsi="宋体" w:eastAsia="宋体"/>
                <w:sz w:val="16"/>
              </w:rPr>
              <w:t>&gt;=200份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DD5B7">
            <w:pPr>
              <w:jc w:val="center"/>
            </w:pPr>
            <w:r>
              <w:rPr>
                <w:rFonts w:ascii="宋体" w:hAnsi="宋体" w:eastAsia="宋体"/>
                <w:sz w:val="16"/>
              </w:rPr>
              <w:t>2024年统战工作计划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53440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AB073">
            <w:pPr>
              <w:jc w:val="center"/>
            </w:pPr>
            <w:r>
              <w:rPr>
                <w:rFonts w:ascii="宋体" w:hAnsi="宋体" w:eastAsia="宋体"/>
                <w:sz w:val="16"/>
              </w:rPr>
              <w:t>&gt;=200份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11112">
            <w:pPr>
              <w:jc w:val="center"/>
            </w:pPr>
            <w:r>
              <w:rPr>
                <w:rFonts w:ascii="宋体" w:hAnsi="宋体" w:eastAsia="宋体"/>
                <w:sz w:val="16"/>
              </w:rPr>
              <w:t>15</w:t>
            </w:r>
          </w:p>
        </w:tc>
      </w:tr>
      <w:tr w14:paraId="1D2BE9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44BCF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6FB92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347308">
            <w:pPr>
              <w:jc w:val="center"/>
            </w:pPr>
            <w:r>
              <w:rPr>
                <w:rFonts w:ascii="宋体" w:hAnsi="宋体" w:eastAsia="宋体"/>
                <w:sz w:val="16"/>
              </w:rPr>
              <w:t>推进中国化工作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C12B8">
            <w:pPr>
              <w:jc w:val="center"/>
            </w:pPr>
            <w:r>
              <w:rPr>
                <w:rFonts w:ascii="宋体" w:hAnsi="宋体" w:eastAsia="宋体"/>
                <w:sz w:val="16"/>
              </w:rPr>
              <w:t>&gt;=3项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3925E">
            <w:pPr>
              <w:jc w:val="center"/>
            </w:pPr>
            <w:r>
              <w:rPr>
                <w:rFonts w:ascii="宋体" w:hAnsi="宋体" w:eastAsia="宋体"/>
                <w:sz w:val="16"/>
              </w:rPr>
              <w:t>2024年统战工作计划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1DFC9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51161">
            <w:pPr>
              <w:jc w:val="center"/>
            </w:pPr>
            <w:r>
              <w:rPr>
                <w:rFonts w:ascii="宋体" w:hAnsi="宋体" w:eastAsia="宋体"/>
                <w:sz w:val="16"/>
              </w:rPr>
              <w:t>&gt;=3项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3618B">
            <w:pPr>
              <w:jc w:val="center"/>
            </w:pPr>
            <w:r>
              <w:rPr>
                <w:rFonts w:ascii="宋体" w:hAnsi="宋体" w:eastAsia="宋体"/>
                <w:sz w:val="16"/>
              </w:rPr>
              <w:t>15</w:t>
            </w:r>
          </w:p>
        </w:tc>
      </w:tr>
      <w:tr w14:paraId="0E5274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FE3CA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E8C9B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A37BC">
            <w:pPr>
              <w:jc w:val="center"/>
            </w:pPr>
            <w:r>
              <w:rPr>
                <w:rFonts w:ascii="宋体" w:hAnsi="宋体" w:eastAsia="宋体"/>
                <w:sz w:val="16"/>
              </w:rPr>
              <w:t>全年开展民宗系统各类培训活动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02D38">
            <w:pPr>
              <w:jc w:val="center"/>
            </w:pPr>
            <w:r>
              <w:rPr>
                <w:rFonts w:ascii="宋体" w:hAnsi="宋体" w:eastAsia="宋体"/>
                <w:sz w:val="16"/>
              </w:rPr>
              <w:t>&gt;=3项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2F019">
            <w:pPr>
              <w:jc w:val="center"/>
            </w:pPr>
            <w:r>
              <w:rPr>
                <w:rFonts w:ascii="宋体" w:hAnsi="宋体" w:eastAsia="宋体"/>
                <w:sz w:val="16"/>
              </w:rPr>
              <w:t>2024年统战工作计划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F8C5E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D30373">
            <w:pPr>
              <w:jc w:val="center"/>
            </w:pPr>
            <w:r>
              <w:rPr>
                <w:rFonts w:ascii="宋体" w:hAnsi="宋体" w:eastAsia="宋体"/>
                <w:sz w:val="16"/>
              </w:rPr>
              <w:t>&gt;=3项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B264A">
            <w:pPr>
              <w:jc w:val="center"/>
            </w:pPr>
            <w:r>
              <w:rPr>
                <w:rFonts w:ascii="宋体" w:hAnsi="宋体" w:eastAsia="宋体"/>
                <w:sz w:val="16"/>
              </w:rPr>
              <w:t>15</w:t>
            </w:r>
          </w:p>
        </w:tc>
      </w:tr>
      <w:tr w14:paraId="18B67D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58252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34B4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46B9E2">
            <w:pPr>
              <w:jc w:val="center"/>
            </w:pPr>
            <w:r>
              <w:rPr>
                <w:rFonts w:ascii="宋体" w:hAnsi="宋体" w:eastAsia="宋体"/>
                <w:sz w:val="16"/>
              </w:rPr>
              <w:t>开展人员培训次数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601AD3">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FEAF1">
            <w:pPr>
              <w:jc w:val="center"/>
            </w:pPr>
            <w:r>
              <w:rPr>
                <w:rFonts w:ascii="宋体" w:hAnsi="宋体" w:eastAsia="宋体"/>
                <w:sz w:val="16"/>
              </w:rPr>
              <w:t>2024年统战工作计划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7A3A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9D64F">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ABF71">
            <w:pPr>
              <w:jc w:val="center"/>
            </w:pPr>
            <w:r>
              <w:rPr>
                <w:rFonts w:ascii="宋体" w:hAnsi="宋体" w:eastAsia="宋体"/>
                <w:sz w:val="16"/>
              </w:rPr>
              <w:t>15</w:t>
            </w:r>
          </w:p>
        </w:tc>
      </w:tr>
      <w:tr w14:paraId="7DF0977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E70A9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4F1F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08885">
            <w:pPr>
              <w:jc w:val="center"/>
            </w:pPr>
            <w:r>
              <w:rPr>
                <w:rFonts w:ascii="宋体" w:hAnsi="宋体" w:eastAsia="宋体"/>
                <w:sz w:val="16"/>
              </w:rPr>
              <w:t>打造示范点数量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84E16C">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55407B">
            <w:pPr>
              <w:jc w:val="center"/>
            </w:pPr>
            <w:r>
              <w:rPr>
                <w:rFonts w:ascii="宋体" w:hAnsi="宋体" w:eastAsia="宋体"/>
                <w:sz w:val="16"/>
              </w:rPr>
              <w:t>2024年统战工作计划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6CC4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5E393">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C8ADE">
            <w:pPr>
              <w:jc w:val="center"/>
            </w:pPr>
            <w:r>
              <w:rPr>
                <w:rFonts w:ascii="宋体" w:hAnsi="宋体" w:eastAsia="宋体"/>
                <w:sz w:val="16"/>
              </w:rPr>
              <w:t>15</w:t>
            </w:r>
          </w:p>
        </w:tc>
      </w:tr>
      <w:tr w14:paraId="71AE87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108EC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D2E81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57AF2">
            <w:pPr>
              <w:jc w:val="center"/>
            </w:pPr>
            <w:r>
              <w:rPr>
                <w:rFonts w:ascii="宋体" w:hAnsi="宋体" w:eastAsia="宋体"/>
                <w:sz w:val="16"/>
              </w:rPr>
              <w:t>全县乡镇统战民宗专干培训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E85C7">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37AFF">
            <w:pPr>
              <w:jc w:val="center"/>
            </w:pPr>
            <w:r>
              <w:rPr>
                <w:rFonts w:ascii="宋体" w:hAnsi="宋体" w:eastAsia="宋体"/>
                <w:sz w:val="16"/>
              </w:rPr>
              <w:t>2024年统战工作计划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3481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B5A1B">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CB3E4">
            <w:pPr>
              <w:jc w:val="center"/>
            </w:pPr>
            <w:r>
              <w:rPr>
                <w:rFonts w:ascii="宋体" w:hAnsi="宋体" w:eastAsia="宋体"/>
                <w:sz w:val="16"/>
              </w:rPr>
              <w:t>15</w:t>
            </w:r>
          </w:p>
        </w:tc>
      </w:tr>
    </w:tbl>
    <w:p w14:paraId="43F79101">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04"/>
        <w:gridCol w:w="856"/>
        <w:gridCol w:w="604"/>
        <w:gridCol w:w="696"/>
        <w:gridCol w:w="612"/>
        <w:gridCol w:w="604"/>
        <w:gridCol w:w="612"/>
        <w:gridCol w:w="696"/>
        <w:gridCol w:w="621"/>
        <w:gridCol w:w="696"/>
        <w:gridCol w:w="630"/>
      </w:tblGrid>
      <w:tr w14:paraId="6E3C8328">
        <w:tblPrEx>
          <w:tblCellMar>
            <w:top w:w="0" w:type="dxa"/>
            <w:left w:w="108" w:type="dxa"/>
            <w:bottom w:w="0" w:type="dxa"/>
            <w:right w:w="108" w:type="dxa"/>
          </w:tblCellMar>
        </w:tblPrEx>
        <w:tc>
          <w:tcPr>
            <w:tcW w:w="8848" w:type="dxa"/>
            <w:gridSpan w:val="14"/>
            <w:vAlign w:val="center"/>
          </w:tcPr>
          <w:p w14:paraId="6CB9DEFE">
            <w:pPr>
              <w:jc w:val="center"/>
            </w:pPr>
            <w:r>
              <w:rPr>
                <w:rFonts w:ascii="宋体" w:hAnsi="宋体" w:eastAsia="宋体"/>
                <w:sz w:val="24"/>
              </w:rPr>
              <w:t>项目支出绩效自评表</w:t>
            </w:r>
          </w:p>
        </w:tc>
      </w:tr>
      <w:tr w14:paraId="764CE564">
        <w:tblPrEx>
          <w:tblCellMar>
            <w:top w:w="0" w:type="dxa"/>
            <w:left w:w="108" w:type="dxa"/>
            <w:bottom w:w="0" w:type="dxa"/>
            <w:right w:w="108" w:type="dxa"/>
          </w:tblCellMar>
        </w:tblPrEx>
        <w:tc>
          <w:tcPr>
            <w:tcW w:w="8848" w:type="dxa"/>
            <w:gridSpan w:val="14"/>
            <w:vAlign w:val="center"/>
          </w:tcPr>
          <w:p w14:paraId="5A045A65">
            <w:pPr>
              <w:jc w:val="center"/>
            </w:pPr>
            <w:r>
              <w:rPr>
                <w:rFonts w:ascii="宋体" w:hAnsi="宋体" w:eastAsia="宋体"/>
                <w:sz w:val="24"/>
              </w:rPr>
              <w:t>(2024年度)</w:t>
            </w:r>
          </w:p>
        </w:tc>
      </w:tr>
      <w:tr w14:paraId="689BF0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0EED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A96873">
            <w:pPr>
              <w:jc w:val="center"/>
            </w:pPr>
            <w:r>
              <w:rPr>
                <w:rFonts w:ascii="宋体" w:hAnsi="宋体" w:eastAsia="宋体"/>
                <w:sz w:val="16"/>
              </w:rPr>
              <w:t>民族贸易和民族特需商品生产贷款贴息</w:t>
            </w:r>
          </w:p>
        </w:tc>
      </w:tr>
      <w:tr w14:paraId="512EDC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BFD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267D34">
            <w:pPr>
              <w:jc w:val="center"/>
            </w:pPr>
            <w:r>
              <w:rPr>
                <w:rFonts w:ascii="宋体" w:hAnsi="宋体" w:eastAsia="宋体"/>
                <w:sz w:val="16"/>
              </w:rPr>
              <w:t>中共托里县委统战部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B6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EF28EC">
            <w:pPr>
              <w:jc w:val="center"/>
            </w:pPr>
            <w:r>
              <w:rPr>
                <w:rFonts w:ascii="宋体" w:hAnsi="宋体" w:eastAsia="宋体"/>
                <w:sz w:val="16"/>
              </w:rPr>
              <w:t>中共托里县委统战部</w:t>
            </w:r>
          </w:p>
        </w:tc>
      </w:tr>
      <w:tr w14:paraId="7AAE0F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ED2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88B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7D05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077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D0F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01BC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C3A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75380">
            <w:pPr>
              <w:jc w:val="center"/>
            </w:pPr>
            <w:r>
              <w:rPr>
                <w:rFonts w:ascii="宋体" w:hAnsi="宋体" w:eastAsia="宋体"/>
                <w:sz w:val="16"/>
              </w:rPr>
              <w:t>得分</w:t>
            </w:r>
          </w:p>
        </w:tc>
      </w:tr>
      <w:tr w14:paraId="469310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0BE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4DC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2492A">
            <w:pPr>
              <w:jc w:val="center"/>
            </w:pPr>
            <w:r>
              <w:rPr>
                <w:rFonts w:ascii="宋体" w:hAnsi="宋体" w:eastAsia="宋体"/>
                <w:sz w:val="16"/>
              </w:rPr>
              <w:t>373.43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F630C">
            <w:pPr>
              <w:jc w:val="center"/>
            </w:pPr>
            <w:r>
              <w:rPr>
                <w:rFonts w:ascii="宋体" w:hAnsi="宋体" w:eastAsia="宋体"/>
                <w:sz w:val="16"/>
              </w:rPr>
              <w:t>373.43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E9210">
            <w:pPr>
              <w:jc w:val="center"/>
            </w:pPr>
            <w:r>
              <w:rPr>
                <w:rFonts w:ascii="宋体" w:hAnsi="宋体" w:eastAsia="宋体"/>
                <w:sz w:val="16"/>
              </w:rPr>
              <w:t>373.43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67F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E08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FA7C">
            <w:pPr>
              <w:jc w:val="center"/>
            </w:pPr>
            <w:r>
              <w:rPr>
                <w:rFonts w:ascii="宋体" w:hAnsi="宋体" w:eastAsia="宋体"/>
                <w:sz w:val="16"/>
              </w:rPr>
              <w:t>10.00</w:t>
            </w:r>
          </w:p>
        </w:tc>
      </w:tr>
      <w:tr w14:paraId="43F959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B5D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CF7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4DCA9">
            <w:pPr>
              <w:jc w:val="center"/>
            </w:pPr>
            <w:r>
              <w:rPr>
                <w:rFonts w:ascii="宋体" w:hAnsi="宋体" w:eastAsia="宋体"/>
                <w:sz w:val="16"/>
              </w:rPr>
              <w:t>373.43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696C3">
            <w:pPr>
              <w:jc w:val="center"/>
            </w:pPr>
            <w:r>
              <w:rPr>
                <w:rFonts w:ascii="宋体" w:hAnsi="宋体" w:eastAsia="宋体"/>
                <w:sz w:val="16"/>
              </w:rPr>
              <w:t>373.43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5FE9D">
            <w:pPr>
              <w:jc w:val="center"/>
            </w:pPr>
            <w:r>
              <w:rPr>
                <w:rFonts w:ascii="宋体" w:hAnsi="宋体" w:eastAsia="宋体"/>
                <w:sz w:val="16"/>
              </w:rPr>
              <w:t>373.43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2AB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AE6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19F47">
            <w:pPr>
              <w:jc w:val="center"/>
            </w:pPr>
            <w:r>
              <w:rPr>
                <w:rFonts w:ascii="宋体" w:hAnsi="宋体" w:eastAsia="宋体"/>
                <w:sz w:val="16"/>
              </w:rPr>
              <w:t>—</w:t>
            </w:r>
          </w:p>
        </w:tc>
      </w:tr>
      <w:tr w14:paraId="18ACC8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ED4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4151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DDF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BB1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118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5E9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B0F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B421A">
            <w:pPr>
              <w:jc w:val="center"/>
            </w:pPr>
            <w:r>
              <w:rPr>
                <w:rFonts w:ascii="宋体" w:hAnsi="宋体" w:eastAsia="宋体"/>
                <w:sz w:val="16"/>
              </w:rPr>
              <w:t>—</w:t>
            </w:r>
          </w:p>
        </w:tc>
      </w:tr>
      <w:tr w14:paraId="109CEE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3602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116B4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92FC27">
            <w:pPr>
              <w:jc w:val="center"/>
            </w:pPr>
            <w:r>
              <w:rPr>
                <w:rFonts w:ascii="宋体" w:hAnsi="宋体" w:eastAsia="宋体"/>
                <w:sz w:val="16"/>
              </w:rPr>
              <w:t>实际完成情况</w:t>
            </w:r>
          </w:p>
        </w:tc>
      </w:tr>
      <w:tr w14:paraId="579238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E2B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C02D2E">
            <w:pPr>
              <w:jc w:val="both"/>
            </w:pPr>
            <w:r>
              <w:rPr>
                <w:rFonts w:ascii="宋体" w:hAnsi="宋体" w:eastAsia="宋体"/>
                <w:sz w:val="16"/>
              </w:rPr>
              <w:t>2024年项目资金373.43万元 ,用于支持4家民贸民品企业 （粮食收储公司贷款贴息、兵锦棉业有限公司贷款贴息、绿之风农业发展有限公司贷款贴息、天山小哥农业科技有限公司贷款贴息）对资金使用情况进行监督检查1次 ，保证资金规范使用,不断提升企业发展效果,有效提升民贸民品企业带动当地就业 ，企业满意度达到96%。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72824D">
            <w:pPr>
              <w:jc w:val="both"/>
            </w:pPr>
            <w:r>
              <w:rPr>
                <w:rFonts w:ascii="宋体" w:hAnsi="宋体" w:eastAsia="宋体"/>
                <w:sz w:val="16"/>
              </w:rPr>
              <w:t>2024年项目资金373.43万元 ,截至2024年6月30日，已支付373.43万元,用于支持4家民贸民品企业 （粮食收储公司贷款贴息、兵锦棉业有限公司贷款贴息、绿之风农业发展有限公司贷款贴息、天山小哥农业科技有限公司贷款贴息）对资金使用情况进行监督检查1次 ，保证资金规范使用,不断提升企业发展效果,有效提升民贸民品企业带动当地就业 ，企业满意度达到96%。</w:t>
            </w:r>
          </w:p>
        </w:tc>
      </w:tr>
      <w:tr w14:paraId="2B8DA2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DECD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F2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5E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EBE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8C72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7B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C40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2700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78B0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92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E04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421E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BEA9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5F99">
            <w:pPr>
              <w:jc w:val="center"/>
            </w:pPr>
            <w:r>
              <w:rPr>
                <w:rFonts w:ascii="宋体" w:hAnsi="宋体" w:eastAsia="宋体"/>
                <w:sz w:val="16"/>
              </w:rPr>
              <w:t>偏差原因分析及改进措施</w:t>
            </w:r>
          </w:p>
        </w:tc>
      </w:tr>
      <w:tr w14:paraId="243C68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4E8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79E0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157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71CA7">
            <w:pPr>
              <w:jc w:val="center"/>
            </w:pPr>
            <w:r>
              <w:rPr>
                <w:rFonts w:ascii="宋体" w:hAnsi="宋体" w:eastAsia="宋体"/>
                <w:sz w:val="16"/>
              </w:rPr>
              <w:t>支持民贸民品企业数量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8686">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75E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A8B42">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BBD6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3D8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71E2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767D">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B0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B88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21AF">
            <w:pPr>
              <w:jc w:val="center"/>
            </w:pPr>
          </w:p>
        </w:tc>
      </w:tr>
      <w:tr w14:paraId="15395E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D4F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1E1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474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D252">
            <w:pPr>
              <w:jc w:val="center"/>
            </w:pPr>
            <w:r>
              <w:rPr>
                <w:rFonts w:ascii="宋体" w:hAnsi="宋体" w:eastAsia="宋体"/>
                <w:sz w:val="16"/>
              </w:rPr>
              <w:t>项目监督检查次数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DB93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09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FD5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36C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CAE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C66E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445C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60B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53F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0BDD1">
            <w:pPr>
              <w:jc w:val="center"/>
            </w:pPr>
          </w:p>
        </w:tc>
      </w:tr>
      <w:tr w14:paraId="32B21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1E1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311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439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B6E2D">
            <w:pPr>
              <w:jc w:val="center"/>
            </w:pPr>
            <w:r>
              <w:rPr>
                <w:rFonts w:ascii="宋体" w:hAnsi="宋体" w:eastAsia="宋体"/>
                <w:sz w:val="16"/>
              </w:rPr>
              <w:t>贴息政策支持覆盖率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7D8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00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7CF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680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45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186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93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9F2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850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CF52">
            <w:pPr>
              <w:jc w:val="center"/>
            </w:pPr>
          </w:p>
        </w:tc>
      </w:tr>
      <w:tr w14:paraId="140860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870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EEF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862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C603">
            <w:pPr>
              <w:jc w:val="center"/>
            </w:pPr>
            <w:r>
              <w:rPr>
                <w:rFonts w:ascii="宋体" w:hAnsi="宋体" w:eastAsia="宋体"/>
                <w:sz w:val="16"/>
              </w:rPr>
              <w:t>贴息资金管理规范率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EC8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54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92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311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CC8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CD91">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A9F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C0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A11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8D5AA">
            <w:pPr>
              <w:jc w:val="center"/>
            </w:pPr>
          </w:p>
        </w:tc>
      </w:tr>
      <w:tr w14:paraId="1127A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F8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4BC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E77B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A97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204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C2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42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11C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5EC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C8BA">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6D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C3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4F8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5FB79">
            <w:pPr>
              <w:jc w:val="center"/>
            </w:pPr>
          </w:p>
        </w:tc>
      </w:tr>
      <w:tr w14:paraId="54F8AC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F55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187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2B7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E1F1">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D6D4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BA3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40337">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2B4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A5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EE04">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490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33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979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4E7C">
            <w:pPr>
              <w:jc w:val="center"/>
            </w:pPr>
          </w:p>
        </w:tc>
      </w:tr>
      <w:tr w14:paraId="66B9EE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02F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385F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CF4A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DF90">
            <w:pPr>
              <w:jc w:val="center"/>
            </w:pPr>
            <w:r>
              <w:rPr>
                <w:rFonts w:ascii="宋体" w:hAnsi="宋体" w:eastAsia="宋体"/>
                <w:sz w:val="16"/>
              </w:rPr>
              <w:t>粮食收储公司贷款贴息成本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B9F2">
            <w:pPr>
              <w:jc w:val="center"/>
            </w:pPr>
            <w:r>
              <w:rPr>
                <w:rFonts w:ascii="宋体" w:hAnsi="宋体" w:eastAsia="宋体"/>
                <w:sz w:val="16"/>
              </w:rPr>
              <w:t>&lt;=291.40万元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5A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6798F">
            <w:pPr>
              <w:jc w:val="center"/>
            </w:pPr>
            <w:r>
              <w:rPr>
                <w:rFonts w:ascii="宋体" w:hAnsi="宋体" w:eastAsia="宋体"/>
                <w:sz w:val="16"/>
              </w:rPr>
              <w:t>176.21万元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134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1FF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68C0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0E584">
            <w:pPr>
              <w:jc w:val="center"/>
            </w:pPr>
            <w:r>
              <w:rPr>
                <w:rFonts w:ascii="宋体" w:hAnsi="宋体" w:eastAsia="宋体"/>
                <w:sz w:val="16"/>
              </w:rPr>
              <w:t>=291.4万元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42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79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05606">
            <w:pPr>
              <w:jc w:val="center"/>
            </w:pPr>
          </w:p>
        </w:tc>
      </w:tr>
      <w:tr w14:paraId="660596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C05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F7D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159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48F3">
            <w:pPr>
              <w:jc w:val="center"/>
            </w:pPr>
            <w:r>
              <w:rPr>
                <w:rFonts w:ascii="宋体" w:hAnsi="宋体" w:eastAsia="宋体"/>
                <w:sz w:val="16"/>
              </w:rPr>
              <w:t>兵锦棉业贷款贴息成本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CAECB">
            <w:pPr>
              <w:jc w:val="center"/>
            </w:pPr>
            <w:r>
              <w:rPr>
                <w:rFonts w:ascii="宋体" w:hAnsi="宋体" w:eastAsia="宋体"/>
                <w:sz w:val="16"/>
              </w:rPr>
              <w:t>&lt;=53.23万元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27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5C394">
            <w:pPr>
              <w:jc w:val="center"/>
            </w:pPr>
            <w:r>
              <w:rPr>
                <w:rFonts w:ascii="宋体" w:hAnsi="宋体" w:eastAsia="宋体"/>
                <w:sz w:val="16"/>
              </w:rPr>
              <w:t>154.38万元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5F8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1AB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E4D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9CE5">
            <w:pPr>
              <w:jc w:val="center"/>
            </w:pPr>
            <w:r>
              <w:rPr>
                <w:rFonts w:ascii="宋体" w:hAnsi="宋体" w:eastAsia="宋体"/>
                <w:sz w:val="16"/>
              </w:rPr>
              <w:t>=53.23万元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81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EA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699C6">
            <w:pPr>
              <w:jc w:val="center"/>
            </w:pPr>
          </w:p>
        </w:tc>
      </w:tr>
      <w:tr w14:paraId="3C7E69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6D2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BDC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AD7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25D9">
            <w:pPr>
              <w:jc w:val="center"/>
            </w:pPr>
            <w:r>
              <w:rPr>
                <w:rFonts w:ascii="宋体" w:hAnsi="宋体" w:eastAsia="宋体"/>
                <w:sz w:val="16"/>
              </w:rPr>
              <w:t>绿之风农业发展有限公司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3868">
            <w:pPr>
              <w:jc w:val="center"/>
            </w:pPr>
            <w:r>
              <w:rPr>
                <w:rFonts w:ascii="宋体" w:hAnsi="宋体" w:eastAsia="宋体"/>
                <w:sz w:val="16"/>
              </w:rPr>
              <w:t>&lt;=18.30万元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3F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51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F1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DC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C3B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B33A4">
            <w:pPr>
              <w:jc w:val="center"/>
            </w:pPr>
            <w:r>
              <w:rPr>
                <w:rFonts w:ascii="宋体" w:hAnsi="宋体" w:eastAsia="宋体"/>
                <w:sz w:val="16"/>
              </w:rPr>
              <w:t>=18.3万元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FD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D9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7772">
            <w:pPr>
              <w:jc w:val="center"/>
            </w:pPr>
          </w:p>
        </w:tc>
      </w:tr>
      <w:tr w14:paraId="7C215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8A2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1FF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708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744E">
            <w:pPr>
              <w:jc w:val="center"/>
            </w:pPr>
            <w:r>
              <w:rPr>
                <w:rFonts w:ascii="宋体" w:hAnsi="宋体" w:eastAsia="宋体"/>
                <w:sz w:val="16"/>
              </w:rPr>
              <w:t>天山小哥农业科技有限公司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3764">
            <w:pPr>
              <w:jc w:val="center"/>
            </w:pPr>
            <w:r>
              <w:rPr>
                <w:rFonts w:ascii="宋体" w:hAnsi="宋体" w:eastAsia="宋体"/>
                <w:sz w:val="16"/>
              </w:rPr>
              <w:t>&lt;=10.50万元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B2C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698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DEB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F0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B78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BD5E">
            <w:pPr>
              <w:jc w:val="center"/>
            </w:pPr>
            <w:r>
              <w:rPr>
                <w:rFonts w:ascii="宋体" w:hAnsi="宋体" w:eastAsia="宋体"/>
                <w:sz w:val="16"/>
              </w:rPr>
              <w: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F9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25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4CA0">
            <w:pPr>
              <w:jc w:val="center"/>
            </w:pPr>
          </w:p>
        </w:tc>
      </w:tr>
      <w:tr w14:paraId="6FB4B0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954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0359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D3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22AE">
            <w:pPr>
              <w:jc w:val="center"/>
            </w:pPr>
            <w:r>
              <w:rPr>
                <w:rFonts w:ascii="宋体" w:hAnsi="宋体" w:eastAsia="宋体"/>
                <w:sz w:val="16"/>
              </w:rPr>
              <w:t>提升民贸民品企业带动当地就业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CEF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8D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F10E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57B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4A6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E51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CEA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B45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7E0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AC79">
            <w:pPr>
              <w:jc w:val="center"/>
            </w:pPr>
          </w:p>
        </w:tc>
      </w:tr>
      <w:tr w14:paraId="4349D3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519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C02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6A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34F7">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3D2CA">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1EA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42A8">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65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D75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74D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8297">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1C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55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BC776">
            <w:pPr>
              <w:jc w:val="center"/>
            </w:pPr>
          </w:p>
        </w:tc>
      </w:tr>
      <w:tr w14:paraId="23153B3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627DC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59FC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84EE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83B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F27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9FCE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A151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2728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D8C6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411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955792"/>
        </w:tc>
      </w:tr>
    </w:tbl>
    <w:p w14:paraId="4B00529F">
      <w:r>
        <w:br w:type="page"/>
      </w:r>
    </w:p>
    <w:p w14:paraId="13846502">
      <w:pPr>
        <w:spacing w:line="640" w:lineRule="exact"/>
        <w:ind w:firstLine="640"/>
        <w:jc w:val="both"/>
        <w:outlineLvl w:val="2"/>
      </w:pPr>
      <w:r>
        <w:rPr>
          <w:rFonts w:ascii="黑体" w:hAnsi="黑体" w:eastAsia="黑体"/>
          <w:sz w:val="32"/>
        </w:rPr>
        <w:t>十二、其他需说明的事项</w:t>
      </w:r>
    </w:p>
    <w:p w14:paraId="7282151A">
      <w:pPr>
        <w:spacing w:line="580" w:lineRule="exact"/>
        <w:ind w:firstLine="640"/>
        <w:jc w:val="both"/>
      </w:pPr>
      <w:r>
        <w:rPr>
          <w:rFonts w:ascii="仿宋_GB2312" w:hAnsi="仿宋_GB2312" w:eastAsia="仿宋_GB2312"/>
          <w:b w:val="0"/>
          <w:sz w:val="32"/>
        </w:rPr>
        <w:t>本单位无其他需说明的事项。</w:t>
      </w:r>
    </w:p>
    <w:p w14:paraId="75346FBE">
      <w:r>
        <w:br w:type="page"/>
      </w:r>
    </w:p>
    <w:p w14:paraId="2A95A793">
      <w:pPr>
        <w:spacing w:line="240" w:lineRule="auto"/>
        <w:jc w:val="center"/>
        <w:outlineLvl w:val="1"/>
      </w:pPr>
      <w:r>
        <w:rPr>
          <w:rFonts w:ascii="黑体" w:hAnsi="黑体" w:eastAsia="黑体"/>
          <w:sz w:val="32"/>
        </w:rPr>
        <w:t>第三部分 专业名词解释</w:t>
      </w:r>
    </w:p>
    <w:p w14:paraId="6377054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31237E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5949D1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A486B9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1B0D15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83BB32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EA3AC9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3FA257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B63DE5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73A670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DA3882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FD59FC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FB6B52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6C0E3D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5305FD0">
      <w:r>
        <w:br w:type="page"/>
      </w:r>
    </w:p>
    <w:p w14:paraId="42BE19E6">
      <w:pPr>
        <w:spacing w:line="240" w:lineRule="auto"/>
        <w:jc w:val="center"/>
        <w:outlineLvl w:val="1"/>
      </w:pPr>
      <w:r>
        <w:rPr>
          <w:rFonts w:ascii="黑体" w:hAnsi="黑体" w:eastAsia="黑体"/>
          <w:sz w:val="32"/>
        </w:rPr>
        <w:t>第四部分 部门决算报表（见附表）</w:t>
      </w:r>
    </w:p>
    <w:p w14:paraId="509CDE73">
      <w:pPr>
        <w:spacing w:line="240" w:lineRule="auto"/>
        <w:ind w:firstLine="640"/>
        <w:jc w:val="both"/>
      </w:pPr>
      <w:r>
        <w:rPr>
          <w:rFonts w:ascii="仿宋_GB2312" w:hAnsi="仿宋_GB2312" w:eastAsia="仿宋_GB2312"/>
          <w:b w:val="0"/>
          <w:sz w:val="32"/>
        </w:rPr>
        <w:t>一、《收入支出决算总表》</w:t>
      </w:r>
    </w:p>
    <w:p w14:paraId="0827B26C">
      <w:pPr>
        <w:spacing w:line="240" w:lineRule="auto"/>
        <w:ind w:firstLine="640"/>
        <w:jc w:val="both"/>
      </w:pPr>
      <w:r>
        <w:rPr>
          <w:rFonts w:ascii="仿宋_GB2312" w:hAnsi="仿宋_GB2312" w:eastAsia="仿宋_GB2312"/>
          <w:b w:val="0"/>
          <w:sz w:val="32"/>
        </w:rPr>
        <w:t>二、《收入决算表》</w:t>
      </w:r>
    </w:p>
    <w:p w14:paraId="10291369">
      <w:pPr>
        <w:spacing w:line="240" w:lineRule="auto"/>
        <w:ind w:firstLine="640"/>
        <w:jc w:val="both"/>
      </w:pPr>
      <w:r>
        <w:rPr>
          <w:rFonts w:ascii="仿宋_GB2312" w:hAnsi="仿宋_GB2312" w:eastAsia="仿宋_GB2312"/>
          <w:b w:val="0"/>
          <w:sz w:val="32"/>
        </w:rPr>
        <w:t>三、《支出决算表》</w:t>
      </w:r>
    </w:p>
    <w:p w14:paraId="227B3261">
      <w:pPr>
        <w:spacing w:line="240" w:lineRule="auto"/>
        <w:ind w:firstLine="640"/>
        <w:jc w:val="both"/>
      </w:pPr>
      <w:r>
        <w:rPr>
          <w:rFonts w:ascii="仿宋_GB2312" w:hAnsi="仿宋_GB2312" w:eastAsia="仿宋_GB2312"/>
          <w:b w:val="0"/>
          <w:sz w:val="32"/>
        </w:rPr>
        <w:t>四、《财政拨款收入支出决算总表》</w:t>
      </w:r>
    </w:p>
    <w:p w14:paraId="56FCB0F0">
      <w:pPr>
        <w:spacing w:line="240" w:lineRule="auto"/>
        <w:ind w:firstLine="640"/>
        <w:jc w:val="both"/>
      </w:pPr>
      <w:r>
        <w:rPr>
          <w:rFonts w:ascii="仿宋_GB2312" w:hAnsi="仿宋_GB2312" w:eastAsia="仿宋_GB2312"/>
          <w:b w:val="0"/>
          <w:sz w:val="32"/>
        </w:rPr>
        <w:t>五、《一般公共预算财政拨款支出决算表》</w:t>
      </w:r>
    </w:p>
    <w:p w14:paraId="2BDEBB24">
      <w:pPr>
        <w:spacing w:line="240" w:lineRule="auto"/>
        <w:ind w:firstLine="640"/>
        <w:jc w:val="both"/>
      </w:pPr>
      <w:r>
        <w:rPr>
          <w:rFonts w:ascii="仿宋_GB2312" w:hAnsi="仿宋_GB2312" w:eastAsia="仿宋_GB2312"/>
          <w:b w:val="0"/>
          <w:sz w:val="32"/>
        </w:rPr>
        <w:t>六、《一般公共预算财政拨款基本支出决算表》</w:t>
      </w:r>
    </w:p>
    <w:p w14:paraId="2190539E">
      <w:pPr>
        <w:spacing w:line="240" w:lineRule="auto"/>
        <w:ind w:firstLine="640"/>
        <w:jc w:val="both"/>
      </w:pPr>
      <w:r>
        <w:rPr>
          <w:rFonts w:ascii="仿宋_GB2312" w:hAnsi="仿宋_GB2312" w:eastAsia="仿宋_GB2312"/>
          <w:b w:val="0"/>
          <w:sz w:val="32"/>
        </w:rPr>
        <w:t>七、《政府性基金预算财政拨款收入支出决算表》</w:t>
      </w:r>
    </w:p>
    <w:p w14:paraId="097A8494">
      <w:pPr>
        <w:spacing w:line="240" w:lineRule="auto"/>
        <w:ind w:firstLine="640"/>
        <w:jc w:val="both"/>
      </w:pPr>
      <w:r>
        <w:rPr>
          <w:rFonts w:ascii="仿宋_GB2312" w:hAnsi="仿宋_GB2312" w:eastAsia="仿宋_GB2312"/>
          <w:b w:val="0"/>
          <w:sz w:val="32"/>
        </w:rPr>
        <w:t>八、《国有资本经营预算财政拨款收入支出决算表》</w:t>
      </w:r>
    </w:p>
    <w:p w14:paraId="5C5B2BBB">
      <w:pPr>
        <w:spacing w:line="240" w:lineRule="auto"/>
        <w:ind w:firstLine="640"/>
        <w:jc w:val="both"/>
      </w:pPr>
      <w:r>
        <w:rPr>
          <w:rFonts w:ascii="仿宋_GB2312" w:hAnsi="仿宋_GB2312" w:eastAsia="仿宋_GB2312"/>
          <w:b w:val="0"/>
          <w:sz w:val="32"/>
        </w:rPr>
        <w:t>九、《财政拨款“三公”经费支出决算表》</w:t>
      </w:r>
    </w:p>
    <w:p w14:paraId="326531FC">
      <w:pPr>
        <w:spacing w:line="240" w:lineRule="auto"/>
        <w:ind w:firstLine="640"/>
        <w:jc w:val="both"/>
      </w:pPr>
    </w:p>
    <w:p w14:paraId="7E55694C">
      <w:pPr>
        <w:spacing w:line="240" w:lineRule="auto"/>
        <w:ind w:firstLine="640"/>
        <w:jc w:val="both"/>
      </w:pPr>
    </w:p>
    <w:p w14:paraId="31AEE56E">
      <w:pPr>
        <w:spacing w:line="240" w:lineRule="auto"/>
        <w:ind w:firstLine="640"/>
        <w:jc w:val="both"/>
      </w:pPr>
    </w:p>
    <w:p w14:paraId="56472D1A">
      <w:pPr>
        <w:spacing w:line="240" w:lineRule="auto"/>
        <w:ind w:firstLine="640"/>
        <w:jc w:val="both"/>
      </w:pPr>
    </w:p>
    <w:p w14:paraId="2B2B9A1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D96126-5626-4D08-97D6-143A7DB643E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DDE6BB3-45FE-45D2-9611-F15997489112}"/>
  </w:font>
  <w:font w:name="仿宋_GB2312">
    <w:altName w:val="仿宋"/>
    <w:panose1 w:val="02010609030101010101"/>
    <w:charset w:val="86"/>
    <w:family w:val="modern"/>
    <w:pitch w:val="default"/>
    <w:sig w:usb0="00000000" w:usb1="00000000" w:usb2="00000000" w:usb3="00000000" w:csb0="00040000" w:csb1="00000000"/>
    <w:embedRegular r:id="rId3" w:fontKey="{E8CFEE4A-4C3F-4C67-BFE5-2F08D855D2C1}"/>
  </w:font>
  <w:font w:name="楷体_GB2312">
    <w:altName w:val="楷体"/>
    <w:panose1 w:val="00000000000000000000"/>
    <w:charset w:val="00"/>
    <w:family w:val="auto"/>
    <w:pitch w:val="default"/>
    <w:sig w:usb0="00000000" w:usb1="00000000" w:usb2="00000000" w:usb3="00000000" w:csb0="00000000" w:csb1="00000000"/>
    <w:embedRegular r:id="rId4" w:fontKey="{A1ADF3FA-04C2-4A87-85FC-2FC04B058499}"/>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9B80A9C"/>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865D09"/>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5935</Words>
  <Characters>6775</Characters>
  <Lines>0</Lines>
  <Paragraphs>0</Paragraphs>
  <TotalTime>8</TotalTime>
  <ScaleCrop>false</ScaleCrop>
  <LinksUpToDate>false</LinksUpToDate>
  <CharactersWithSpaces>6783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2025-11-03T02:30:45Z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