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中共托里县委政法委员会2024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720EF3A">
      <w:r>
        <w:br w:type="page"/>
      </w:r>
    </w:p>
    <w:p w14:paraId="2520A071">
      <w:pPr>
        <w:spacing w:line="640" w:lineRule="exact"/>
        <w:jc w:val="center"/>
        <w:outlineLvl w:val="1"/>
      </w:pPr>
      <w:r>
        <w:rPr>
          <w:rFonts w:ascii="黑体" w:hAnsi="黑体" w:eastAsia="黑体"/>
          <w:sz w:val="32"/>
        </w:rPr>
        <w:t>第一部分 单位概况</w:t>
      </w:r>
    </w:p>
    <w:p w14:paraId="76210AB0">
      <w:pPr>
        <w:spacing w:line="640" w:lineRule="exact"/>
        <w:ind w:firstLine="640"/>
        <w:jc w:val="both"/>
        <w:outlineLvl w:val="2"/>
      </w:pPr>
      <w:r>
        <w:rPr>
          <w:rFonts w:ascii="黑体" w:hAnsi="黑体" w:eastAsia="黑体"/>
          <w:sz w:val="32"/>
        </w:rPr>
        <w:t>一、主要职能</w:t>
      </w:r>
    </w:p>
    <w:p w14:paraId="0FEA328D">
      <w:pPr>
        <w:spacing w:line="580" w:lineRule="exact"/>
        <w:ind w:firstLine="640"/>
        <w:jc w:val="both"/>
      </w:pPr>
      <w:r>
        <w:rPr>
          <w:rFonts w:ascii="仿宋_GB2312" w:hAnsi="仿宋_GB2312" w:eastAsia="仿宋_GB2312"/>
          <w:sz w:val="32"/>
        </w:rPr>
        <w:t>（1）根据中央的路线、方针、政策和县委、县政府关于政法工作的决策和部署，统一政法部门的思想和行动。</w:t>
      </w:r>
    </w:p>
    <w:p w14:paraId="742A8257">
      <w:pPr>
        <w:spacing w:line="580" w:lineRule="exact"/>
        <w:ind w:firstLine="640"/>
        <w:jc w:val="both"/>
      </w:pPr>
      <w:r>
        <w:rPr>
          <w:rFonts w:ascii="仿宋_GB2312" w:hAnsi="仿宋_GB2312" w:eastAsia="仿宋_GB2312"/>
          <w:sz w:val="32"/>
        </w:rPr>
        <w:t>（2）对全县的政法工作作出全局性部署，并督促贯彻落实。</w:t>
      </w:r>
    </w:p>
    <w:p w14:paraId="25A5D0C9">
      <w:pPr>
        <w:spacing w:line="580" w:lineRule="exact"/>
        <w:ind w:firstLine="640"/>
        <w:jc w:val="both"/>
      </w:pPr>
      <w:r>
        <w:rPr>
          <w:rFonts w:ascii="仿宋_GB2312" w:hAnsi="仿宋_GB2312" w:eastAsia="仿宋_GB2312"/>
          <w:sz w:val="32"/>
        </w:rPr>
        <w:t>（3）组织、协调、指导全县社会治安综合治理工作，推动各项措施的落实。</w:t>
      </w:r>
    </w:p>
    <w:p w14:paraId="5A76A3B3">
      <w:pPr>
        <w:spacing w:line="580" w:lineRule="exact"/>
        <w:ind w:firstLine="640"/>
        <w:jc w:val="both"/>
      </w:pPr>
      <w:r>
        <w:rPr>
          <w:rFonts w:ascii="仿宋_GB2312" w:hAnsi="仿宋_GB2312" w:eastAsia="仿宋_GB2312"/>
          <w:sz w:val="32"/>
        </w:rPr>
        <w:t>（4）检查政法部门执行</w:t>
      </w:r>
      <w:r>
        <w:rPr>
          <w:rFonts w:hint="eastAsia" w:ascii="仿宋_GB2312" w:hAnsi="仿宋_GB2312" w:eastAsia="仿宋_GB2312"/>
          <w:sz w:val="32"/>
          <w:lang w:eastAsia="zh-CN"/>
        </w:rPr>
        <w:t>法律法规</w:t>
      </w:r>
      <w:r>
        <w:rPr>
          <w:rFonts w:ascii="仿宋_GB2312" w:hAnsi="仿宋_GB2312" w:eastAsia="仿宋_GB2312"/>
          <w:sz w:val="32"/>
        </w:rPr>
        <w:t>和方针、政策的情况，结合全县实际，研究制定严肃执法、落实党的方针、政策的具体措施。</w:t>
      </w:r>
    </w:p>
    <w:p w14:paraId="74B8A02D">
      <w:pPr>
        <w:spacing w:line="580" w:lineRule="exact"/>
        <w:ind w:firstLine="640"/>
        <w:jc w:val="both"/>
      </w:pPr>
      <w:r>
        <w:rPr>
          <w:rFonts w:ascii="仿宋_GB2312" w:hAnsi="仿宋_GB2312" w:eastAsia="仿宋_GB2312"/>
          <w:sz w:val="32"/>
        </w:rPr>
        <w:t>（5）监督和支持各政法部门依法行使职权，指导和协调政法各部门在依法相互制约的同时密切配合，督促、推动大案要案的查处工作，讨论、研究有争议的重大、疑难案件。</w:t>
      </w:r>
    </w:p>
    <w:p w14:paraId="102E3A1E">
      <w:pPr>
        <w:spacing w:line="580" w:lineRule="exact"/>
        <w:ind w:firstLine="640"/>
        <w:jc w:val="both"/>
      </w:pPr>
      <w:r>
        <w:rPr>
          <w:rFonts w:ascii="仿宋_GB2312" w:hAnsi="仿宋_GB2312" w:eastAsia="仿宋_GB2312"/>
          <w:sz w:val="32"/>
        </w:rPr>
        <w:t>（6）组织推动全县政法战线的调查研究工作，总结新经验，解决新问题，探索政法工作改革。</w:t>
      </w:r>
    </w:p>
    <w:p w14:paraId="1C110D02">
      <w:pPr>
        <w:spacing w:line="580" w:lineRule="exact"/>
        <w:ind w:firstLine="640"/>
        <w:jc w:val="both"/>
      </w:pPr>
      <w:r>
        <w:rPr>
          <w:rFonts w:ascii="仿宋_GB2312" w:hAnsi="仿宋_GB2312" w:eastAsia="仿宋_GB2312"/>
          <w:sz w:val="32"/>
        </w:rPr>
        <w:t>（7）研究加强政法队伍建设和领导班子建设的措施，协助组织部门考察、管理同级政法部门的领导干部。</w:t>
      </w:r>
    </w:p>
    <w:p w14:paraId="76B741B2">
      <w:pPr>
        <w:spacing w:line="580" w:lineRule="exact"/>
        <w:ind w:firstLine="640"/>
        <w:jc w:val="both"/>
      </w:pPr>
      <w:r>
        <w:rPr>
          <w:rFonts w:ascii="仿宋_GB2312" w:hAnsi="仿宋_GB2312" w:eastAsia="仿宋_GB2312"/>
          <w:sz w:val="32"/>
        </w:rPr>
        <w:t>（8）办理县委和上级政法委员会交办的其他事项。</w:t>
      </w:r>
    </w:p>
    <w:p w14:paraId="0D73B708">
      <w:pPr>
        <w:spacing w:line="640" w:lineRule="exact"/>
        <w:ind w:firstLine="640"/>
        <w:jc w:val="both"/>
        <w:outlineLvl w:val="2"/>
      </w:pPr>
      <w:r>
        <w:rPr>
          <w:rFonts w:ascii="黑体" w:hAnsi="黑体" w:eastAsia="黑体"/>
          <w:sz w:val="32"/>
        </w:rPr>
        <w:t>二、机构设置及人员情况</w:t>
      </w:r>
    </w:p>
    <w:p w14:paraId="7616220C">
      <w:pPr>
        <w:spacing w:line="580" w:lineRule="exact"/>
        <w:ind w:firstLine="640"/>
        <w:jc w:val="both"/>
      </w:pPr>
      <w:r>
        <w:rPr>
          <w:rFonts w:ascii="仿宋_GB2312" w:hAnsi="仿宋_GB2312" w:eastAsia="仿宋_GB2312"/>
          <w:sz w:val="32"/>
        </w:rPr>
        <w:t>中共托里县委政法委员会2024年度，实有人数44人，其中：在职人员27人，增加6人；离休人员0人，增加0人；退休人员17人,增加0人。</w:t>
      </w:r>
    </w:p>
    <w:p w14:paraId="51C042FA">
      <w:pPr>
        <w:spacing w:line="580" w:lineRule="exact"/>
        <w:ind w:firstLine="640"/>
        <w:jc w:val="both"/>
      </w:pPr>
      <w:r>
        <w:rPr>
          <w:rFonts w:ascii="仿宋_GB2312" w:hAnsi="仿宋_GB2312" w:eastAsia="仿宋_GB2312"/>
          <w:sz w:val="32"/>
        </w:rPr>
        <w:t>中共托里县委政法委员会无下属预算单位，下设2个科室，分别是：托里县网格化管理中心、托里县维稳指挥中心。</w:t>
      </w:r>
    </w:p>
    <w:p w14:paraId="601A600D">
      <w:r>
        <w:br w:type="page"/>
      </w:r>
    </w:p>
    <w:p w14:paraId="2A5CFAB2">
      <w:pPr>
        <w:spacing w:line="240" w:lineRule="auto"/>
        <w:jc w:val="center"/>
        <w:outlineLvl w:val="1"/>
      </w:pPr>
      <w:r>
        <w:rPr>
          <w:rFonts w:ascii="黑体" w:hAnsi="黑体" w:eastAsia="黑体"/>
          <w:sz w:val="32"/>
        </w:rPr>
        <w:t>第二部分 部门决算情况说明</w:t>
      </w:r>
    </w:p>
    <w:p w14:paraId="08D67C13">
      <w:pPr>
        <w:spacing w:line="640" w:lineRule="exact"/>
        <w:ind w:firstLine="640"/>
        <w:jc w:val="both"/>
        <w:outlineLvl w:val="2"/>
      </w:pPr>
      <w:r>
        <w:rPr>
          <w:rFonts w:ascii="黑体" w:hAnsi="黑体" w:eastAsia="黑体"/>
          <w:sz w:val="32"/>
        </w:rPr>
        <w:t>一、收入支出决算总体情况说明</w:t>
      </w:r>
    </w:p>
    <w:p w14:paraId="3D5F306C">
      <w:pPr>
        <w:spacing w:line="580" w:lineRule="exact"/>
        <w:ind w:firstLine="640"/>
        <w:jc w:val="both"/>
      </w:pPr>
      <w:r>
        <w:rPr>
          <w:rFonts w:ascii="仿宋_GB2312" w:hAnsi="仿宋_GB2312" w:eastAsia="仿宋_GB2312"/>
          <w:b/>
          <w:sz w:val="32"/>
        </w:rPr>
        <w:t>2024年度收入总计1,366.14万元，</w:t>
      </w:r>
      <w:r>
        <w:rPr>
          <w:rFonts w:ascii="仿宋_GB2312" w:hAnsi="仿宋_GB2312" w:eastAsia="仿宋_GB2312"/>
          <w:b w:val="0"/>
          <w:sz w:val="32"/>
        </w:rPr>
        <w:t>其中：本年收入合计1,248.95万元，使用非财政拨款结余（含专用结余）0.00万元，年初结转和结余117.20万元。</w:t>
      </w:r>
    </w:p>
    <w:p w14:paraId="26A45494">
      <w:pPr>
        <w:spacing w:line="580" w:lineRule="exact"/>
        <w:ind w:firstLine="640"/>
        <w:jc w:val="both"/>
      </w:pPr>
      <w:r>
        <w:rPr>
          <w:rFonts w:ascii="仿宋_GB2312" w:hAnsi="仿宋_GB2312" w:eastAsia="仿宋_GB2312"/>
          <w:b/>
          <w:sz w:val="32"/>
        </w:rPr>
        <w:t>2024年度支出总计1,366.14万元，</w:t>
      </w:r>
      <w:r>
        <w:rPr>
          <w:rFonts w:ascii="仿宋_GB2312" w:hAnsi="仿宋_GB2312" w:eastAsia="仿宋_GB2312"/>
          <w:b w:val="0"/>
          <w:sz w:val="32"/>
        </w:rPr>
        <w:t>其中：本年支出合计1,249.44万元，结余分配0.00万元，年末结转和结余116.70万元。</w:t>
      </w:r>
    </w:p>
    <w:p w14:paraId="14F6E50D">
      <w:pPr>
        <w:spacing w:line="580" w:lineRule="exact"/>
        <w:ind w:firstLine="640"/>
        <w:jc w:val="both"/>
      </w:pPr>
      <w:r>
        <w:rPr>
          <w:rFonts w:ascii="仿宋_GB2312" w:hAnsi="仿宋_GB2312" w:eastAsia="仿宋_GB2312"/>
          <w:b w:val="0"/>
          <w:sz w:val="32"/>
        </w:rPr>
        <w:t>收入支出总体与上年相比，减少392.75万元，下降22.33%，主要原因是：本年度减少专项人员生活补助、设备工程采购经费。</w:t>
      </w:r>
    </w:p>
    <w:p w14:paraId="3A37BD4D">
      <w:pPr>
        <w:spacing w:line="640" w:lineRule="exact"/>
        <w:ind w:firstLine="640"/>
        <w:jc w:val="both"/>
        <w:outlineLvl w:val="2"/>
      </w:pPr>
      <w:r>
        <w:rPr>
          <w:rFonts w:ascii="黑体" w:hAnsi="黑体" w:eastAsia="黑体"/>
          <w:sz w:val="32"/>
        </w:rPr>
        <w:t>二、收入决算情况说明</w:t>
      </w:r>
    </w:p>
    <w:p w14:paraId="6AF2FFC2">
      <w:pPr>
        <w:spacing w:line="580" w:lineRule="exact"/>
        <w:ind w:firstLine="640"/>
        <w:jc w:val="both"/>
      </w:pPr>
      <w:r>
        <w:rPr>
          <w:rFonts w:ascii="仿宋_GB2312" w:hAnsi="仿宋_GB2312" w:eastAsia="仿宋_GB2312"/>
          <w:b/>
          <w:sz w:val="32"/>
        </w:rPr>
        <w:t>本年收入1,248.95万元，</w:t>
      </w:r>
      <w:r>
        <w:rPr>
          <w:rFonts w:ascii="仿宋_GB2312" w:hAnsi="仿宋_GB2312" w:eastAsia="仿宋_GB2312"/>
          <w:b w:val="0"/>
          <w:sz w:val="32"/>
        </w:rPr>
        <w:t>其中：财政拨款收入1,239.51万元，占99.24%；上级补助收入0.00万元，占0.00%；事业收入0.00万元，占0.00%；经营收入0.00万元，占0.00%；附属单位上缴收入0.00万元，占0.00%；其他收入9.44万元，占0.76%。</w:t>
      </w:r>
    </w:p>
    <w:p w14:paraId="32505F30">
      <w:pPr>
        <w:spacing w:line="640" w:lineRule="exact"/>
        <w:ind w:firstLine="640"/>
        <w:jc w:val="both"/>
        <w:outlineLvl w:val="2"/>
      </w:pPr>
      <w:r>
        <w:rPr>
          <w:rFonts w:ascii="黑体" w:hAnsi="黑体" w:eastAsia="黑体"/>
          <w:sz w:val="32"/>
        </w:rPr>
        <w:t>三、支出决算情况说明</w:t>
      </w:r>
    </w:p>
    <w:p w14:paraId="1C6012B1">
      <w:pPr>
        <w:spacing w:line="580" w:lineRule="exact"/>
        <w:ind w:firstLine="640"/>
        <w:jc w:val="both"/>
      </w:pPr>
      <w:r>
        <w:rPr>
          <w:rFonts w:ascii="仿宋_GB2312" w:hAnsi="仿宋_GB2312" w:eastAsia="仿宋_GB2312"/>
          <w:b/>
          <w:sz w:val="32"/>
        </w:rPr>
        <w:t>本年支出1,249.44万元，</w:t>
      </w:r>
      <w:r>
        <w:rPr>
          <w:rFonts w:ascii="仿宋_GB2312" w:hAnsi="仿宋_GB2312" w:eastAsia="仿宋_GB2312"/>
          <w:b w:val="0"/>
          <w:sz w:val="32"/>
        </w:rPr>
        <w:t>其中：基本支出471.80万元，占37.76%；项目支出777.64万元，占62.24%；上缴上级支出0.00万元，占0.00%；经营支出0.00万元，占0.00%；对附属单位补助支出0.00万元，占0.00%。</w:t>
      </w:r>
    </w:p>
    <w:p w14:paraId="67595DA9">
      <w:pPr>
        <w:spacing w:line="640" w:lineRule="exact"/>
        <w:ind w:firstLine="640"/>
        <w:jc w:val="both"/>
        <w:outlineLvl w:val="2"/>
      </w:pPr>
      <w:r>
        <w:rPr>
          <w:rFonts w:ascii="黑体" w:hAnsi="黑体" w:eastAsia="黑体"/>
          <w:sz w:val="32"/>
        </w:rPr>
        <w:t>四、财政拨款收入支出决算总体情况说明</w:t>
      </w:r>
    </w:p>
    <w:p w14:paraId="41E24679">
      <w:pPr>
        <w:spacing w:line="580" w:lineRule="exact"/>
        <w:ind w:firstLine="640"/>
        <w:jc w:val="both"/>
      </w:pPr>
      <w:r>
        <w:rPr>
          <w:rFonts w:ascii="仿宋_GB2312" w:hAnsi="仿宋_GB2312" w:eastAsia="仿宋_GB2312"/>
          <w:b/>
          <w:sz w:val="32"/>
        </w:rPr>
        <w:t>2024年度财政拨款收入总计1,239.51万元，</w:t>
      </w:r>
      <w:r>
        <w:rPr>
          <w:rFonts w:ascii="仿宋_GB2312" w:hAnsi="仿宋_GB2312" w:eastAsia="仿宋_GB2312"/>
          <w:b w:val="0"/>
          <w:sz w:val="32"/>
        </w:rPr>
        <w:t>其中：年初财政拨款结转和结余0.00万元，本年财政拨款收入1,239.51万元。</w:t>
      </w:r>
      <w:r>
        <w:rPr>
          <w:rFonts w:ascii="仿宋_GB2312" w:hAnsi="仿宋_GB2312" w:eastAsia="仿宋_GB2312"/>
          <w:b/>
          <w:sz w:val="32"/>
        </w:rPr>
        <w:t>财政拨款支出总计1,239.51万元，</w:t>
      </w:r>
      <w:r>
        <w:rPr>
          <w:rFonts w:ascii="仿宋_GB2312" w:hAnsi="仿宋_GB2312" w:eastAsia="仿宋_GB2312"/>
          <w:b w:val="0"/>
          <w:sz w:val="32"/>
        </w:rPr>
        <w:t>其中：年末财政拨款结转和结余0.00万元，本年财政拨款支出1,239.51万元。</w:t>
      </w:r>
    </w:p>
    <w:p w14:paraId="2959621D">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减少376.13万元，下降23.28%，主要原因是：本年度减少专项人员生活补助、设备工程采购经费。</w:t>
      </w:r>
      <w:r>
        <w:rPr>
          <w:rFonts w:ascii="仿宋_GB2312" w:hAnsi="仿宋_GB2312" w:eastAsia="仿宋_GB2312"/>
          <w:b/>
          <w:sz w:val="32"/>
        </w:rPr>
        <w:t>与年初预算相比，</w:t>
      </w:r>
      <w:r>
        <w:rPr>
          <w:rFonts w:ascii="仿宋_GB2312" w:hAnsi="仿宋_GB2312" w:eastAsia="仿宋_GB2312"/>
          <w:b w:val="0"/>
          <w:sz w:val="32"/>
        </w:rPr>
        <w:t>年初预算数843.45万元，决算数1,239.51万元，预决算差异率46.96%，主要原因是：本年在职人员增加，年中追加人员经费及人员工资、社保、公积金基数调增部分资金，导致预决算存在差异；年中追加智慧小区项目、支付以前年度拖欠弱电项目资金、综治相关项目资金，导致预决算存在差异。</w:t>
      </w:r>
    </w:p>
    <w:p w14:paraId="275E5497">
      <w:pPr>
        <w:spacing w:line="640" w:lineRule="exact"/>
        <w:ind w:firstLine="640"/>
        <w:jc w:val="both"/>
        <w:outlineLvl w:val="2"/>
      </w:pPr>
      <w:r>
        <w:rPr>
          <w:rFonts w:ascii="黑体" w:hAnsi="黑体" w:eastAsia="黑体"/>
          <w:sz w:val="32"/>
        </w:rPr>
        <w:t>五、一般公共预算财政拨款支出决算情况说明</w:t>
      </w:r>
    </w:p>
    <w:p w14:paraId="7F77799A">
      <w:pPr>
        <w:spacing w:line="640" w:lineRule="exact"/>
        <w:ind w:firstLine="640"/>
        <w:jc w:val="both"/>
        <w:outlineLvl w:val="3"/>
      </w:pPr>
      <w:r>
        <w:rPr>
          <w:rFonts w:ascii="楷体_GB2312" w:hAnsi="楷体_GB2312" w:eastAsia="楷体_GB2312"/>
          <w:b/>
          <w:sz w:val="32"/>
        </w:rPr>
        <w:t>（一）一般公共预算财政拨款支出决算总体情况</w:t>
      </w:r>
    </w:p>
    <w:p w14:paraId="02AFB1F5">
      <w:pPr>
        <w:spacing w:line="580" w:lineRule="exact"/>
        <w:ind w:firstLine="640"/>
        <w:jc w:val="both"/>
      </w:pPr>
      <w:r>
        <w:rPr>
          <w:rFonts w:ascii="仿宋_GB2312" w:hAnsi="仿宋_GB2312" w:eastAsia="仿宋_GB2312"/>
          <w:b/>
          <w:sz w:val="32"/>
        </w:rPr>
        <w:t>2024年度一般公共预算财政拨款支出1,199.71万元，</w:t>
      </w:r>
      <w:r>
        <w:rPr>
          <w:rFonts w:ascii="仿宋_GB2312" w:hAnsi="仿宋_GB2312" w:eastAsia="仿宋_GB2312"/>
          <w:b w:val="0"/>
          <w:sz w:val="32"/>
        </w:rPr>
        <w:t>占本年支出合计的96.02%。</w:t>
      </w:r>
      <w:r>
        <w:rPr>
          <w:rFonts w:ascii="仿宋_GB2312" w:hAnsi="仿宋_GB2312" w:eastAsia="仿宋_GB2312"/>
          <w:b/>
          <w:sz w:val="32"/>
        </w:rPr>
        <w:t>与上年相比，</w:t>
      </w:r>
      <w:r>
        <w:rPr>
          <w:rFonts w:ascii="仿宋_GB2312" w:hAnsi="仿宋_GB2312" w:eastAsia="仿宋_GB2312"/>
          <w:b w:val="0"/>
          <w:sz w:val="32"/>
        </w:rPr>
        <w:t>减少415.93万元，下降25.74%，主要原因是：本年度减少专项人员生活补助、设备工程采购经费。</w:t>
      </w:r>
      <w:r>
        <w:rPr>
          <w:rFonts w:ascii="仿宋_GB2312" w:hAnsi="仿宋_GB2312" w:eastAsia="仿宋_GB2312"/>
          <w:b/>
          <w:sz w:val="32"/>
        </w:rPr>
        <w:t>与年初预算相比,</w:t>
      </w:r>
      <w:r>
        <w:rPr>
          <w:rFonts w:ascii="仿宋_GB2312" w:hAnsi="仿宋_GB2312" w:eastAsia="仿宋_GB2312"/>
          <w:b w:val="0"/>
          <w:sz w:val="32"/>
        </w:rPr>
        <w:t>年初预算数843.45万元，决算数1,199.71万元，预决算差异率42.24%，主要原因是：本年在职人员增加，年中追加人员经费及人员工资、社保、公积金基数调增部分资金，导致预决算存在差异；年中追加智慧小区项目，导致预决算存在差异。</w:t>
      </w:r>
    </w:p>
    <w:p w14:paraId="08A1438A">
      <w:pPr>
        <w:spacing w:line="640" w:lineRule="exact"/>
        <w:ind w:firstLine="640"/>
        <w:jc w:val="both"/>
        <w:outlineLvl w:val="3"/>
      </w:pPr>
      <w:r>
        <w:rPr>
          <w:rFonts w:ascii="楷体_GB2312" w:hAnsi="楷体_GB2312" w:eastAsia="楷体_GB2312"/>
          <w:b/>
          <w:sz w:val="32"/>
        </w:rPr>
        <w:t>（二）一般公共预算财政拨款支出决算结构情况</w:t>
      </w:r>
    </w:p>
    <w:p w14:paraId="48C938D8">
      <w:pPr>
        <w:spacing w:line="580" w:lineRule="exact"/>
        <w:ind w:firstLine="640"/>
        <w:jc w:val="both"/>
      </w:pPr>
      <w:r>
        <w:rPr>
          <w:rFonts w:ascii="仿宋_GB2312" w:hAnsi="仿宋_GB2312" w:eastAsia="仿宋_GB2312"/>
          <w:b w:val="0"/>
          <w:sz w:val="32"/>
        </w:rPr>
        <w:t>1.一般公共服务支出(类)560.32万元,占46.70%。</w:t>
      </w:r>
    </w:p>
    <w:p w14:paraId="6CBCDEA6">
      <w:pPr>
        <w:spacing w:line="580" w:lineRule="exact"/>
        <w:ind w:firstLine="640"/>
        <w:jc w:val="both"/>
      </w:pPr>
      <w:r>
        <w:rPr>
          <w:rFonts w:ascii="仿宋_GB2312" w:hAnsi="仿宋_GB2312" w:eastAsia="仿宋_GB2312"/>
          <w:b w:val="0"/>
          <w:sz w:val="32"/>
        </w:rPr>
        <w:t>2.国防支出(类)30.00万元,占2.50%。</w:t>
      </w:r>
    </w:p>
    <w:p w14:paraId="434EBF0D">
      <w:pPr>
        <w:spacing w:line="580" w:lineRule="exact"/>
        <w:ind w:firstLine="640"/>
        <w:jc w:val="both"/>
      </w:pPr>
      <w:r>
        <w:rPr>
          <w:rFonts w:ascii="仿宋_GB2312" w:hAnsi="仿宋_GB2312" w:eastAsia="仿宋_GB2312"/>
          <w:b w:val="0"/>
          <w:sz w:val="32"/>
        </w:rPr>
        <w:t>3.科学技术支出(类)496.96万元,占41.42%。</w:t>
      </w:r>
    </w:p>
    <w:p w14:paraId="0F0B1025">
      <w:pPr>
        <w:spacing w:line="580" w:lineRule="exact"/>
        <w:ind w:firstLine="640"/>
        <w:jc w:val="both"/>
      </w:pPr>
      <w:r>
        <w:rPr>
          <w:rFonts w:ascii="仿宋_GB2312" w:hAnsi="仿宋_GB2312" w:eastAsia="仿宋_GB2312"/>
          <w:b w:val="0"/>
          <w:sz w:val="32"/>
        </w:rPr>
        <w:t>4.社会保障和就业支出(类)54.39万元,占4.53%。</w:t>
      </w:r>
    </w:p>
    <w:p w14:paraId="38E177B6">
      <w:pPr>
        <w:spacing w:line="580" w:lineRule="exact"/>
        <w:ind w:firstLine="640"/>
        <w:jc w:val="both"/>
      </w:pPr>
      <w:r>
        <w:rPr>
          <w:rFonts w:ascii="仿宋_GB2312" w:hAnsi="仿宋_GB2312" w:eastAsia="仿宋_GB2312"/>
          <w:b w:val="0"/>
          <w:sz w:val="32"/>
        </w:rPr>
        <w:t>5.卫生健康支出(类)25.46万元,占2.12%。</w:t>
      </w:r>
    </w:p>
    <w:p w14:paraId="2B8C8392">
      <w:pPr>
        <w:spacing w:line="580" w:lineRule="exact"/>
        <w:ind w:firstLine="640"/>
        <w:jc w:val="both"/>
      </w:pPr>
      <w:r>
        <w:rPr>
          <w:rFonts w:ascii="仿宋_GB2312" w:hAnsi="仿宋_GB2312" w:eastAsia="仿宋_GB2312"/>
          <w:b w:val="0"/>
          <w:sz w:val="32"/>
        </w:rPr>
        <w:t>6.住房保障支出(类)32.57万元,占2.71%。</w:t>
      </w:r>
    </w:p>
    <w:p w14:paraId="5927D148">
      <w:pPr>
        <w:spacing w:line="640" w:lineRule="exact"/>
        <w:ind w:firstLine="640"/>
        <w:jc w:val="both"/>
        <w:outlineLvl w:val="3"/>
      </w:pPr>
      <w:r>
        <w:rPr>
          <w:rFonts w:ascii="楷体_GB2312" w:hAnsi="楷体_GB2312" w:eastAsia="楷体_GB2312"/>
          <w:b/>
          <w:sz w:val="32"/>
        </w:rPr>
        <w:t>（三）一般公共预算财政拨款支出决算具体情况</w:t>
      </w:r>
    </w:p>
    <w:p w14:paraId="446BE178">
      <w:pPr>
        <w:spacing w:line="580" w:lineRule="exact"/>
        <w:ind w:firstLine="640"/>
        <w:jc w:val="both"/>
      </w:pPr>
      <w:r>
        <w:rPr>
          <w:rFonts w:ascii="仿宋_GB2312" w:hAnsi="仿宋_GB2312" w:eastAsia="仿宋_GB2312"/>
          <w:b w:val="0"/>
          <w:sz w:val="32"/>
        </w:rPr>
        <w:t>1.一般公共服务支出(类)党委办公厅（室）及相关机构事务(款)行政运行(项):支出决算数为364.91万元，比上年决算减少124.76万元，下降25.48%,主要原因是：本年度减少相关日常运行经费，较上年减少部分电费支出、专项人员经费支出。</w:t>
      </w:r>
    </w:p>
    <w:p w14:paraId="57FFB0CD">
      <w:pPr>
        <w:spacing w:line="580" w:lineRule="exact"/>
        <w:ind w:firstLine="640"/>
        <w:jc w:val="both"/>
      </w:pPr>
      <w:r>
        <w:rPr>
          <w:rFonts w:ascii="仿宋_GB2312" w:hAnsi="仿宋_GB2312" w:eastAsia="仿宋_GB2312"/>
          <w:b w:val="0"/>
          <w:sz w:val="32"/>
        </w:rPr>
        <w:t>2.一般公共服务支出(类)党委办公厅（室）及相关机构事务(款)其他党委办公厅（室）及相关机构事务支出(项):支出决算数为195.41万元，比上年决算增加195.41万元，增长100.00%,主要原因是：本年增加智慧小区项目。</w:t>
      </w:r>
    </w:p>
    <w:p w14:paraId="0897DB02">
      <w:pPr>
        <w:spacing w:line="580" w:lineRule="exact"/>
        <w:ind w:firstLine="640"/>
        <w:jc w:val="both"/>
      </w:pPr>
      <w:r>
        <w:rPr>
          <w:rFonts w:ascii="仿宋_GB2312" w:hAnsi="仿宋_GB2312" w:eastAsia="仿宋_GB2312"/>
          <w:b w:val="0"/>
          <w:sz w:val="32"/>
        </w:rPr>
        <w:t>3.一般公共服务支出(类)其他一般公共服务支出(款)其他一般公共服务支出(项):支出决算数为0.00万元，比上年决算减少37.84万元，下降100.00%,主要原因是：本年度较上年减少专项人员经费支出。</w:t>
      </w:r>
    </w:p>
    <w:p w14:paraId="1E5480C8">
      <w:pPr>
        <w:spacing w:line="580" w:lineRule="exact"/>
        <w:ind w:firstLine="640"/>
        <w:jc w:val="both"/>
      </w:pPr>
      <w:r>
        <w:rPr>
          <w:rFonts w:ascii="仿宋_GB2312" w:hAnsi="仿宋_GB2312" w:eastAsia="仿宋_GB2312"/>
          <w:b w:val="0"/>
          <w:sz w:val="32"/>
        </w:rPr>
        <w:t>4.国防支出(类)国防动员(款)边海防(项):支出决算数为20.50万元，比上年决算增加20.50万元，增长100.00%,主要原因是：本年度支付以前年度边防基础设施维修维护费，导致经费增加。</w:t>
      </w:r>
    </w:p>
    <w:p w14:paraId="1C769BE5">
      <w:pPr>
        <w:spacing w:line="580" w:lineRule="exact"/>
        <w:ind w:firstLine="640"/>
        <w:jc w:val="both"/>
      </w:pPr>
      <w:r>
        <w:rPr>
          <w:rFonts w:ascii="仿宋_GB2312" w:hAnsi="仿宋_GB2312" w:eastAsia="仿宋_GB2312"/>
          <w:b w:val="0"/>
          <w:sz w:val="32"/>
        </w:rPr>
        <w:t>5.国防支出(类)其他国防支出(款)其他国防支出(项):支出决算数为9.50万元，比上年决算增加9.50万元，增长100.00%,主要原因是：本年新增支付铁丝网维修维护项目。</w:t>
      </w:r>
    </w:p>
    <w:p w14:paraId="1FDB6891">
      <w:pPr>
        <w:spacing w:line="580" w:lineRule="exact"/>
        <w:ind w:firstLine="640"/>
        <w:jc w:val="both"/>
      </w:pPr>
      <w:r>
        <w:rPr>
          <w:rFonts w:ascii="仿宋_GB2312" w:hAnsi="仿宋_GB2312" w:eastAsia="仿宋_GB2312"/>
          <w:b w:val="0"/>
          <w:sz w:val="32"/>
        </w:rPr>
        <w:t>6.科学技术支出(类)技术研究与开发(款)科技成果转化与扩散(项):支出决算数为496.96万元，比上年决算减少503.04万元，下降50.30%,主要原因是：本年减少设备工程采购经费。</w:t>
      </w:r>
    </w:p>
    <w:p w14:paraId="547E362F">
      <w:pPr>
        <w:spacing w:line="580" w:lineRule="exact"/>
        <w:ind w:firstLine="640"/>
        <w:jc w:val="both"/>
      </w:pPr>
      <w:r>
        <w:rPr>
          <w:rFonts w:ascii="仿宋_GB2312" w:hAnsi="仿宋_GB2312" w:eastAsia="仿宋_GB2312"/>
          <w:b w:val="0"/>
          <w:sz w:val="32"/>
        </w:rPr>
        <w:t>7.社会保障和就业支出(类)行政事业单位养老支出(款)行政单位离退休(项):支出决算数为13.84万元，比上年决算增加3.47万元，增长33.46%,主要原因是：本年增加退休人员基础绩效奖，退休费支出增加。</w:t>
      </w:r>
    </w:p>
    <w:p w14:paraId="527437F4">
      <w:pPr>
        <w:spacing w:line="580" w:lineRule="exact"/>
        <w:ind w:firstLine="640"/>
        <w:jc w:val="both"/>
      </w:pPr>
      <w:r>
        <w:rPr>
          <w:rFonts w:ascii="仿宋_GB2312" w:hAnsi="仿宋_GB2312" w:eastAsia="仿宋_GB2312"/>
          <w:b w:val="0"/>
          <w:sz w:val="32"/>
        </w:rPr>
        <w:t>8.社会保障和就业支出(类)行政事业单位养老支出(款)机关事业单位基本养老保险缴费支出(项):支出决算数为40.55万元，比上年决算增加7.30万元，增长21.95%,主要原因是：本年在职人员增加，在职人员工资基数调增，养老缴费基数上涨，相应支出增加。</w:t>
      </w:r>
    </w:p>
    <w:p w14:paraId="4C3EBD2A">
      <w:pPr>
        <w:spacing w:line="580" w:lineRule="exact"/>
        <w:ind w:firstLine="640"/>
        <w:jc w:val="both"/>
      </w:pPr>
      <w:r>
        <w:rPr>
          <w:rFonts w:ascii="仿宋_GB2312" w:hAnsi="仿宋_GB2312" w:eastAsia="仿宋_GB2312"/>
          <w:b w:val="0"/>
          <w:sz w:val="32"/>
        </w:rPr>
        <w:t>9.卫生健康支出(类)公共卫生(款)突发公共卫生事件应急处置(项):支出决算数为5.54万元，比上年决算增加5.54万元，增长100.00%,主要原因是：本年度支付以前年度防控项目，导致经费增加。</w:t>
      </w:r>
    </w:p>
    <w:p w14:paraId="240562A2">
      <w:pPr>
        <w:spacing w:line="580" w:lineRule="exact"/>
        <w:ind w:firstLine="640"/>
        <w:jc w:val="both"/>
      </w:pPr>
      <w:r>
        <w:rPr>
          <w:rFonts w:ascii="仿宋_GB2312" w:hAnsi="仿宋_GB2312" w:eastAsia="仿宋_GB2312"/>
          <w:b w:val="0"/>
          <w:sz w:val="32"/>
        </w:rPr>
        <w:t>10.卫生健康支出(类)行政事业单位医疗(款)行政单位医疗(项):支出决算数为17.03万元，比上年决算增加2.07万元，增长13.84%,主要原因是：本年在职人员增加，在职人员工资基数调增，医疗缴费基数上涨，相应支出增加。</w:t>
      </w:r>
    </w:p>
    <w:p w14:paraId="0455CEDA">
      <w:pPr>
        <w:spacing w:line="580" w:lineRule="exact"/>
        <w:ind w:firstLine="640"/>
        <w:jc w:val="both"/>
      </w:pPr>
      <w:r>
        <w:rPr>
          <w:rFonts w:ascii="仿宋_GB2312" w:hAnsi="仿宋_GB2312" w:eastAsia="仿宋_GB2312"/>
          <w:b w:val="0"/>
          <w:sz w:val="32"/>
        </w:rPr>
        <w:t>11.卫生健康支出(类)行政事业单位医疗(款)公务员医疗补助(项):支出决算数为2.89万元，比上年决算增加0.20万元，增长7.43%,主要原因是：本年在职人员工资基数调增，医疗缴费基数上涨，相应支出增加。</w:t>
      </w:r>
    </w:p>
    <w:p w14:paraId="405F29F2">
      <w:pPr>
        <w:spacing w:line="580" w:lineRule="exact"/>
        <w:ind w:firstLine="640"/>
        <w:jc w:val="both"/>
      </w:pPr>
      <w:r>
        <w:rPr>
          <w:rFonts w:ascii="仿宋_GB2312" w:hAnsi="仿宋_GB2312" w:eastAsia="仿宋_GB2312"/>
          <w:b w:val="0"/>
          <w:sz w:val="32"/>
        </w:rPr>
        <w:t>12.住房保障支出(类)住房改革支出(款)住房公积金(项):支出决算数为32.57万元，比上年决算增加5.72万元，增长21.30%,主要原因是：本年在职人员增加，在职人员工资基数调增，公积金缴费基数上涨，相应支出增加。</w:t>
      </w:r>
    </w:p>
    <w:p w14:paraId="4BFB1B63">
      <w:pPr>
        <w:spacing w:line="640" w:lineRule="exact"/>
        <w:ind w:firstLine="640"/>
        <w:jc w:val="both"/>
        <w:outlineLvl w:val="2"/>
      </w:pPr>
      <w:r>
        <w:rPr>
          <w:rFonts w:ascii="黑体" w:hAnsi="黑体" w:eastAsia="黑体"/>
          <w:sz w:val="32"/>
        </w:rPr>
        <w:t>六、一般公共预算财政拨款基本支出决算情况说明</w:t>
      </w:r>
    </w:p>
    <w:p w14:paraId="2C185A68">
      <w:pPr>
        <w:spacing w:line="580" w:lineRule="exact"/>
        <w:ind w:firstLine="640"/>
        <w:jc w:val="both"/>
      </w:pPr>
      <w:r>
        <w:rPr>
          <w:rFonts w:ascii="仿宋_GB2312" w:hAnsi="仿宋_GB2312" w:eastAsia="仿宋_GB2312"/>
          <w:b w:val="0"/>
          <w:sz w:val="32"/>
        </w:rPr>
        <w:t>2024年度一般公共预算财政拨款基本支出471.80万元，其中：</w:t>
      </w:r>
      <w:r>
        <w:rPr>
          <w:rFonts w:ascii="仿宋_GB2312" w:hAnsi="仿宋_GB2312" w:eastAsia="仿宋_GB2312"/>
          <w:b/>
          <w:sz w:val="32"/>
        </w:rPr>
        <w:t>人员经费437.70万元，</w:t>
      </w:r>
      <w:r>
        <w:rPr>
          <w:rFonts w:ascii="仿宋_GB2312" w:hAnsi="仿宋_GB2312" w:eastAsia="仿宋_GB2312"/>
          <w:b w:val="0"/>
          <w:sz w:val="32"/>
        </w:rPr>
        <w:t>包括：基本工资、津贴补贴、奖金、绩效工资、机关事业单位基本养老保险缴费、职工基本医疗保险缴费、公务员医疗补助缴费、其他社会保障缴费、住房公积金、其他工资福利支出、退休费、奖励金。</w:t>
      </w:r>
    </w:p>
    <w:p w14:paraId="5C387C1C">
      <w:pPr>
        <w:spacing w:line="580" w:lineRule="exact"/>
        <w:ind w:firstLine="640"/>
        <w:jc w:val="both"/>
      </w:pPr>
      <w:r>
        <w:rPr>
          <w:rFonts w:ascii="仿宋_GB2312" w:hAnsi="仿宋_GB2312" w:eastAsia="仿宋_GB2312"/>
          <w:b/>
          <w:sz w:val="32"/>
        </w:rPr>
        <w:t>公用经费34.10万元，</w:t>
      </w:r>
      <w:r>
        <w:rPr>
          <w:rFonts w:ascii="仿宋_GB2312" w:hAnsi="仿宋_GB2312" w:eastAsia="仿宋_GB2312"/>
          <w:b w:val="0"/>
          <w:sz w:val="32"/>
        </w:rPr>
        <w:t>包括：办公费、电费、邮电费、取暖费、差旅费、公务接待费、工会经费、公务用车运行维护费。</w:t>
      </w:r>
    </w:p>
    <w:p w14:paraId="02687D04">
      <w:pPr>
        <w:spacing w:line="640" w:lineRule="exact"/>
        <w:ind w:firstLine="640"/>
        <w:jc w:val="both"/>
        <w:outlineLvl w:val="2"/>
      </w:pPr>
      <w:r>
        <w:rPr>
          <w:rFonts w:ascii="黑体" w:hAnsi="黑体" w:eastAsia="黑体"/>
          <w:sz w:val="32"/>
        </w:rPr>
        <w:t>七、政府性基金预算财政拨款收入支出决算情况说明</w:t>
      </w:r>
    </w:p>
    <w:p w14:paraId="0ED24B71">
      <w:pPr>
        <w:spacing w:line="580" w:lineRule="exact"/>
        <w:ind w:firstLine="640"/>
        <w:jc w:val="both"/>
      </w:pPr>
      <w:r>
        <w:rPr>
          <w:rFonts w:ascii="仿宋_GB2312" w:hAnsi="仿宋_GB2312" w:eastAsia="仿宋_GB2312"/>
          <w:b/>
          <w:sz w:val="32"/>
        </w:rPr>
        <w:t>2024年度政府性基金预算财政拨款收入总计39.80万元，</w:t>
      </w:r>
      <w:r>
        <w:rPr>
          <w:rFonts w:ascii="仿宋_GB2312" w:hAnsi="仿宋_GB2312" w:eastAsia="仿宋_GB2312"/>
          <w:b w:val="0"/>
          <w:sz w:val="32"/>
        </w:rPr>
        <w:t>其中：年初结转和结余0.00万元，本年收入39.80万元。</w:t>
      </w:r>
      <w:r>
        <w:rPr>
          <w:rFonts w:ascii="仿宋_GB2312" w:hAnsi="仿宋_GB2312" w:eastAsia="仿宋_GB2312"/>
          <w:b/>
          <w:sz w:val="32"/>
        </w:rPr>
        <w:t>政府性基金预算财政拨款支出总计39.80万元，</w:t>
      </w:r>
      <w:r>
        <w:rPr>
          <w:rFonts w:ascii="仿宋_GB2312" w:hAnsi="仿宋_GB2312" w:eastAsia="仿宋_GB2312"/>
          <w:b w:val="0"/>
          <w:sz w:val="32"/>
        </w:rPr>
        <w:t>其中：年末结转和结余0.00万元，本年支出39.80万元。</w:t>
      </w:r>
    </w:p>
    <w:p w14:paraId="427C32EF">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增加39.80万元，增长100.00%，主要原因是：本年支付以前年度拖欠弱电项目资金、综治相关项目资金，导致经费增加。</w:t>
      </w:r>
      <w:r>
        <w:rPr>
          <w:rFonts w:ascii="仿宋_GB2312" w:hAnsi="仿宋_GB2312" w:eastAsia="仿宋_GB2312"/>
          <w:b/>
          <w:sz w:val="32"/>
        </w:rPr>
        <w:t>与年初预算相比，</w:t>
      </w:r>
      <w:r>
        <w:rPr>
          <w:rFonts w:ascii="仿宋_GB2312" w:hAnsi="仿宋_GB2312" w:eastAsia="仿宋_GB2312"/>
          <w:b w:val="0"/>
          <w:sz w:val="32"/>
        </w:rPr>
        <w:t>年初预算数0.00万元，决算数39.80万元，预决算差异率100.00%，主要原因是：年中追加支付以前年度拖欠弱电项目资金、综治相关项目资金，导致预决算存在差异。</w:t>
      </w:r>
    </w:p>
    <w:p w14:paraId="0320A9D7">
      <w:pPr>
        <w:spacing w:line="580" w:lineRule="exact"/>
        <w:ind w:firstLine="640"/>
        <w:jc w:val="both"/>
      </w:pPr>
      <w:r>
        <w:rPr>
          <w:rFonts w:ascii="仿宋_GB2312" w:hAnsi="仿宋_GB2312" w:eastAsia="仿宋_GB2312"/>
          <w:b w:val="0"/>
          <w:sz w:val="32"/>
        </w:rPr>
        <w:t>政府性基金预算财政拨款支出39.80万元。</w:t>
      </w:r>
    </w:p>
    <w:p w14:paraId="38736EF0">
      <w:pPr>
        <w:spacing w:line="580" w:lineRule="exact"/>
        <w:ind w:firstLine="640"/>
        <w:jc w:val="both"/>
      </w:pPr>
      <w:r>
        <w:rPr>
          <w:rFonts w:ascii="仿宋_GB2312" w:hAnsi="仿宋_GB2312" w:eastAsia="仿宋_GB2312"/>
          <w:b w:val="0"/>
          <w:sz w:val="32"/>
        </w:rPr>
        <w:t>1.城乡社区支出(类)国有土地使用权出让收入安排的支出(款)其他国有土地使用权出让收入安排的支出(项):支出决算数为39.80万元，比上年决算增加39.80万元，增长100.00%,主要原因是：本年支付以前年度拖欠弱电项目资金、综治相关项目资金，导致经费增加。</w:t>
      </w:r>
    </w:p>
    <w:p w14:paraId="0DB064D2">
      <w:pPr>
        <w:spacing w:line="640" w:lineRule="exact"/>
        <w:ind w:firstLine="640"/>
        <w:jc w:val="both"/>
        <w:outlineLvl w:val="2"/>
      </w:pPr>
      <w:r>
        <w:rPr>
          <w:rFonts w:ascii="黑体" w:hAnsi="黑体" w:eastAsia="黑体"/>
          <w:sz w:val="32"/>
        </w:rPr>
        <w:t>八、国有资本经营预算财政拨款收入支出决算情况说明</w:t>
      </w:r>
    </w:p>
    <w:p w14:paraId="297C3B25">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3BB487A8">
      <w:pPr>
        <w:spacing w:line="640" w:lineRule="exact"/>
        <w:ind w:firstLine="640"/>
        <w:jc w:val="both"/>
        <w:outlineLvl w:val="2"/>
      </w:pPr>
      <w:r>
        <w:rPr>
          <w:rFonts w:ascii="黑体" w:hAnsi="黑体" w:eastAsia="黑体"/>
          <w:sz w:val="32"/>
        </w:rPr>
        <w:t>九、财政拨款“三公”经费支出决算情况说明</w:t>
      </w:r>
    </w:p>
    <w:p w14:paraId="6FCE78E6">
      <w:pPr>
        <w:spacing w:line="580" w:lineRule="exact"/>
        <w:ind w:firstLine="640"/>
        <w:jc w:val="both"/>
        <w:rPr>
          <w:spacing w:val="-6"/>
          <w:sz w:val="32"/>
        </w:rPr>
      </w:pPr>
      <w:r>
        <w:rPr>
          <w:rFonts w:ascii="仿宋_GB2312" w:hAnsi="仿宋_GB2312" w:eastAsia="仿宋_GB2312"/>
          <w:b/>
          <w:spacing w:val="-6"/>
          <w:sz w:val="32"/>
        </w:rPr>
        <w:t>2024年度财政拨款“三公”经费支出9.56万元，</w:t>
      </w:r>
      <w:r>
        <w:rPr>
          <w:rFonts w:ascii="仿宋_GB2312" w:hAnsi="仿宋_GB2312" w:eastAsia="仿宋_GB2312"/>
          <w:b w:val="0"/>
          <w:spacing w:val="-6"/>
          <w:sz w:val="32"/>
        </w:rPr>
        <w:t>比上年增加3.82万元，增长66.55%，主要原因是：本年度支付以前年度车辆维修、运行经费较多，导致经费增加。其中：因公出国（境）费支出0.00万元，占0.00%，比上年增加0.00万元，增长0.00%，主要原因是：2023年与2024年均未安排因公出国（境）费支出。公务用车购置及运行维护费支出9.00万元，占94.14%，比上年增加4.88万元，增长118.45%，主要原因是：本年度支付以前年度车辆维修、运行经费较多，导致经费增加。公务接待费支出0.56万元，占5.86%，比上年减少1.06万元，下降65.43%，主要原因是：严格落实中央八项规定精神，厉行节约，减少公务接待费；年末部分接待费未能及时支付，致使本年度该资金有所下降。</w:t>
      </w:r>
    </w:p>
    <w:p w14:paraId="786D55DA">
      <w:pPr>
        <w:spacing w:line="580" w:lineRule="exact"/>
        <w:ind w:firstLine="640"/>
        <w:jc w:val="both"/>
      </w:pPr>
      <w:r>
        <w:rPr>
          <w:rFonts w:ascii="仿宋_GB2312" w:hAnsi="仿宋_GB2312" w:eastAsia="仿宋_GB2312"/>
          <w:b/>
          <w:sz w:val="32"/>
        </w:rPr>
        <w:t>具体情况如下：</w:t>
      </w:r>
    </w:p>
    <w:p w14:paraId="6E21E153">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5523AC75">
      <w:pPr>
        <w:spacing w:line="580" w:lineRule="exact"/>
        <w:ind w:firstLine="640"/>
        <w:jc w:val="both"/>
      </w:pPr>
      <w:r>
        <w:rPr>
          <w:rFonts w:ascii="仿宋_GB2312" w:hAnsi="仿宋_GB2312" w:eastAsia="仿宋_GB2312"/>
          <w:b w:val="0"/>
          <w:sz w:val="32"/>
        </w:rPr>
        <w:t>公务用车购置及运行维护费9.00万元，其中：公务用车购置费0.00万元，公务用车运行维护费9.00万元。公务用车运行维护费开支内容包括车辆加油费、维修费、保险费。公务用车购置数0辆，公务用车保有量16辆。国有资产占用情况中固定资产车辆16辆，与公务用车保有量差异原因是：本单位固定资产车辆与公务用车保有量一致无差异。</w:t>
      </w:r>
    </w:p>
    <w:p w14:paraId="011291E2">
      <w:pPr>
        <w:spacing w:line="580" w:lineRule="exact"/>
        <w:ind w:firstLine="640"/>
        <w:jc w:val="both"/>
      </w:pPr>
      <w:r>
        <w:rPr>
          <w:rFonts w:ascii="仿宋_GB2312" w:hAnsi="仿宋_GB2312" w:eastAsia="仿宋_GB2312"/>
          <w:b w:val="0"/>
          <w:sz w:val="32"/>
        </w:rPr>
        <w:t>公务接待费0.56万元，开支内容包括因督导检查，接待上级领导产生的就餐费。单位全年安排的国内公务接待13批次，93人次。</w:t>
      </w:r>
    </w:p>
    <w:p w14:paraId="731FA808">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9.56万元，决算数9.56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9.00万元，决算数9.00万元，预决算差异率0.00%，主要原因是：严格按照预算执行，预决算无差异。公务接待费全年预算数0.56万元，决算数0.56万元，预决算差异率0.00%，主要原因是：严格按照预算执行，预决算无差异。</w:t>
      </w:r>
    </w:p>
    <w:p w14:paraId="24393510">
      <w:pPr>
        <w:spacing w:line="640" w:lineRule="exact"/>
        <w:ind w:firstLine="640"/>
        <w:jc w:val="both"/>
        <w:outlineLvl w:val="2"/>
      </w:pPr>
      <w:r>
        <w:rPr>
          <w:rFonts w:ascii="黑体" w:hAnsi="黑体" w:eastAsia="黑体"/>
          <w:sz w:val="32"/>
        </w:rPr>
        <w:t>十、其他重要事项的情况说明</w:t>
      </w:r>
    </w:p>
    <w:p w14:paraId="1CF8B1AD">
      <w:pPr>
        <w:spacing w:line="640" w:lineRule="exact"/>
        <w:ind w:firstLine="640"/>
        <w:jc w:val="both"/>
        <w:outlineLvl w:val="3"/>
      </w:pPr>
      <w:r>
        <w:rPr>
          <w:rFonts w:ascii="楷体_GB2312" w:hAnsi="楷体_GB2312" w:eastAsia="楷体_GB2312"/>
          <w:b/>
          <w:sz w:val="32"/>
        </w:rPr>
        <w:t>（一）机关运行经费及公用经费支出情况</w:t>
      </w:r>
    </w:p>
    <w:p w14:paraId="1AC779A6">
      <w:pPr>
        <w:spacing w:line="580" w:lineRule="exact"/>
        <w:ind w:firstLine="640"/>
        <w:jc w:val="both"/>
      </w:pPr>
      <w:r>
        <w:rPr>
          <w:rFonts w:ascii="仿宋_GB2312" w:hAnsi="仿宋_GB2312" w:eastAsia="仿宋_GB2312"/>
          <w:b w:val="0"/>
          <w:sz w:val="32"/>
        </w:rPr>
        <w:t>2024年度中共托里县委政法委员会（行政单位和参照公务员法管理事业单位）机关运行经费支出34.10万元，比上年增加7.73万元，增长29.31%，主要原因是：本年增加办公费，导致公用经费增加。</w:t>
      </w:r>
    </w:p>
    <w:p w14:paraId="1EF3CC6E">
      <w:pPr>
        <w:spacing w:line="640" w:lineRule="exact"/>
        <w:ind w:firstLine="640"/>
        <w:jc w:val="both"/>
        <w:outlineLvl w:val="3"/>
      </w:pPr>
      <w:r>
        <w:rPr>
          <w:rFonts w:ascii="楷体_GB2312" w:hAnsi="楷体_GB2312" w:eastAsia="楷体_GB2312"/>
          <w:b/>
          <w:sz w:val="32"/>
        </w:rPr>
        <w:t>（二）政府采购情况</w:t>
      </w:r>
    </w:p>
    <w:p w14:paraId="4D1567F3">
      <w:pPr>
        <w:spacing w:line="580" w:lineRule="exact"/>
        <w:ind w:firstLine="640"/>
        <w:jc w:val="both"/>
      </w:pPr>
      <w:r>
        <w:rPr>
          <w:rFonts w:ascii="仿宋_GB2312" w:hAnsi="仿宋_GB2312" w:eastAsia="仿宋_GB2312"/>
          <w:b w:val="0"/>
          <w:sz w:val="32"/>
        </w:rPr>
        <w:t>2024年度政府采购支出总额929.04万元，其中：政府采购货物支出926.65万元、政府采购工程支出0.00万元、政府采购服务支出2.38万元。</w:t>
      </w:r>
    </w:p>
    <w:p w14:paraId="5B84FA74">
      <w:pPr>
        <w:spacing w:line="580" w:lineRule="exact"/>
        <w:ind w:firstLine="640"/>
        <w:jc w:val="both"/>
      </w:pPr>
      <w:r>
        <w:rPr>
          <w:rFonts w:ascii="仿宋_GB2312" w:hAnsi="仿宋_GB2312" w:eastAsia="仿宋_GB2312"/>
          <w:b w:val="0"/>
          <w:sz w:val="32"/>
        </w:rPr>
        <w:t>授予中小企业合同金额928.27万元，占政府采购支出总额的99.92%，其中：授予小微企业合同金额9.60万元，占政府采购支出总额的1.03%。</w:t>
      </w:r>
    </w:p>
    <w:p w14:paraId="1F51685B">
      <w:pPr>
        <w:spacing w:line="640" w:lineRule="exact"/>
        <w:ind w:firstLine="640"/>
        <w:jc w:val="both"/>
        <w:outlineLvl w:val="3"/>
      </w:pPr>
      <w:r>
        <w:rPr>
          <w:rFonts w:ascii="楷体_GB2312" w:hAnsi="楷体_GB2312" w:eastAsia="楷体_GB2312"/>
          <w:b/>
          <w:sz w:val="32"/>
        </w:rPr>
        <w:t>（三）国有资产占用情况说明</w:t>
      </w:r>
    </w:p>
    <w:p w14:paraId="4972E480">
      <w:pPr>
        <w:spacing w:line="580" w:lineRule="exact"/>
        <w:ind w:firstLine="640"/>
        <w:jc w:val="both"/>
      </w:pPr>
      <w:r>
        <w:rPr>
          <w:rFonts w:ascii="仿宋_GB2312" w:hAnsi="仿宋_GB2312" w:eastAsia="仿宋_GB2312"/>
          <w:b w:val="0"/>
          <w:sz w:val="32"/>
        </w:rPr>
        <w:t>截至2024年12月31日，房屋5,691.69平方米，价值2,246.16万元。车辆16辆，价值191.18万元，其中：副部（省）级及以上领导用车0辆、主要负责人用车0辆、机要通信用车0辆、应急保障用车1辆、执法执勤用车15辆、特种专业技术用车0辆、离退休干部服务用车0辆、其他用车0辆，其他用车主要是：本单位无其他用车。单价100万元（含）以上设备（不含车辆）2台（套）。</w:t>
      </w:r>
    </w:p>
    <w:p w14:paraId="222A7E01">
      <w:pPr>
        <w:spacing w:line="640" w:lineRule="exact"/>
        <w:ind w:firstLine="640"/>
        <w:jc w:val="both"/>
        <w:outlineLvl w:val="2"/>
      </w:pPr>
      <w:r>
        <w:rPr>
          <w:rFonts w:ascii="黑体" w:hAnsi="黑体" w:eastAsia="黑体"/>
          <w:sz w:val="32"/>
        </w:rPr>
        <w:t>十一、预算绩效的情况说明</w:t>
      </w:r>
    </w:p>
    <w:p w14:paraId="0AC47498">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根据预算绩效管理要求，本单位2024年度预算绩效管理形成整体支出绩效自评表1个，全年预算总额1,366.14万元，实际执行总额1,249.44万元；预算绩效评价项目</w:t>
      </w:r>
      <w:r>
        <w:rPr>
          <w:rFonts w:hint="eastAsia" w:ascii="仿宋_GB2312" w:hAnsi="仿宋_GB2312" w:eastAsia="仿宋_GB2312"/>
          <w:b w:val="0"/>
          <w:sz w:val="32"/>
          <w:lang w:val="en-US" w:eastAsia="zh-CN"/>
        </w:rPr>
        <w:t>16</w:t>
      </w:r>
      <w:r>
        <w:rPr>
          <w:rFonts w:ascii="仿宋_GB2312" w:hAnsi="仿宋_GB2312" w:eastAsia="仿宋_GB2312"/>
          <w:b w:val="0"/>
          <w:sz w:val="32"/>
        </w:rPr>
        <w:t>个，全年预算数</w:t>
      </w:r>
      <w:r>
        <w:rPr>
          <w:rFonts w:hint="eastAsia" w:ascii="仿宋_GB2312" w:hAnsi="仿宋_GB2312" w:eastAsia="仿宋_GB2312"/>
          <w:b w:val="0"/>
          <w:sz w:val="32"/>
        </w:rPr>
        <w:t>894.34</w:t>
      </w:r>
      <w:r>
        <w:rPr>
          <w:rFonts w:ascii="仿宋_GB2312" w:hAnsi="仿宋_GB2312" w:eastAsia="仿宋_GB2312"/>
          <w:b w:val="0"/>
          <w:sz w:val="32"/>
        </w:rPr>
        <w:t>万元，全年执行数</w:t>
      </w:r>
      <w:r>
        <w:rPr>
          <w:rFonts w:hint="eastAsia" w:ascii="仿宋_GB2312" w:hAnsi="仿宋_GB2312" w:eastAsia="仿宋_GB2312"/>
          <w:b w:val="0"/>
          <w:sz w:val="32"/>
        </w:rPr>
        <w:t>777.64</w:t>
      </w:r>
      <w:r>
        <w:rPr>
          <w:rFonts w:ascii="仿宋_GB2312" w:hAnsi="仿宋_GB2312" w:eastAsia="仿宋_GB2312"/>
          <w:b w:val="0"/>
          <w:sz w:val="32"/>
        </w:rPr>
        <w:t>万元。预算绩效管理取得的成效：根据中央的路线、方针、政策和县委、县政府关于政法工作的决策和部署，统一政法部门的思想和行动。组织、协调、指导全县社会治安综合治理工作，推动了各项措施的落实。认真贯彻落实党的十九大精神和县委、县政府决策部署，努力工作，创先争优，按照年初工作安排</w:t>
      </w:r>
      <w:r>
        <w:rPr>
          <w:rFonts w:hint="eastAsia" w:ascii="仿宋_GB2312" w:hAnsi="仿宋_GB2312" w:eastAsia="仿宋_GB2312"/>
          <w:b w:val="0"/>
          <w:sz w:val="32"/>
          <w:lang w:eastAsia="zh-CN"/>
        </w:rPr>
        <w:t>及时</w:t>
      </w:r>
      <w:r>
        <w:rPr>
          <w:rFonts w:ascii="仿宋_GB2312" w:hAnsi="仿宋_GB2312" w:eastAsia="仿宋_GB2312"/>
          <w:b w:val="0"/>
          <w:sz w:val="32"/>
        </w:rPr>
        <w:t>完成各项工作任务。组织推动了全县政法战线的调查研究工作，总结新经验，解决新问题，探索政法工作改革。发现的问题及原因：一是对全面预算绩效管理的认识不足，对该项工作的重视和支持不够，没有认真领会预算绩效管理对单位内部控制的重要性，认识不到预算绩效管理对实现发展目标，发挥社会职能的重要性；二是绩效指标设置不够科学，准确，因工程项目专业性较强，对项目的建设内容了解不详细，另对绩效指标内容掌握</w:t>
      </w:r>
      <w:r>
        <w:rPr>
          <w:rFonts w:hint="eastAsia" w:ascii="仿宋_GB2312" w:hAnsi="仿宋_GB2312" w:eastAsia="仿宋_GB2312"/>
          <w:b w:val="0"/>
          <w:sz w:val="32"/>
          <w:lang w:eastAsia="zh-CN"/>
        </w:rPr>
        <w:t>得</w:t>
      </w:r>
      <w:r>
        <w:rPr>
          <w:rFonts w:ascii="仿宋_GB2312" w:hAnsi="仿宋_GB2312" w:eastAsia="仿宋_GB2312"/>
          <w:b w:val="0"/>
          <w:sz w:val="32"/>
        </w:rPr>
        <w:t>不熟练，在设置绩效指标</w:t>
      </w:r>
      <w:r>
        <w:rPr>
          <w:rFonts w:hint="eastAsia" w:ascii="仿宋_GB2312" w:hAnsi="仿宋_GB2312" w:eastAsia="仿宋_GB2312"/>
          <w:b w:val="0"/>
          <w:sz w:val="32"/>
          <w:lang w:eastAsia="zh-CN"/>
        </w:rPr>
        <w:t>时</w:t>
      </w:r>
      <w:r>
        <w:rPr>
          <w:rFonts w:ascii="仿宋_GB2312" w:hAnsi="仿宋_GB2312" w:eastAsia="仿宋_GB2312"/>
          <w:b w:val="0"/>
          <w:sz w:val="32"/>
        </w:rPr>
        <w:t>指标内容不明确，范围较大，导致部分指标与绩效目标相关性不强，在一定程度上缺乏科学性和准确性。下一步改进措施：一是认真贯彻落实绩效工作，转变观念，从思想上重视绩效工作，加强自身学习，不断提高对绩效工作的理解和运用，真正把绩效工作落到实处；二是对项目建设内容进行确定并制定项目预算书，严格按照内容进行项目的实施及资金的使用，项目实施严格按照文件要求</w:t>
      </w:r>
      <w:r>
        <w:rPr>
          <w:rFonts w:hint="eastAsia" w:ascii="仿宋_GB2312" w:hAnsi="仿宋_GB2312" w:eastAsia="仿宋_GB2312"/>
          <w:b w:val="0"/>
          <w:sz w:val="32"/>
          <w:lang w:eastAsia="zh-CN"/>
        </w:rPr>
        <w:t>实施</w:t>
      </w:r>
      <w:r>
        <w:rPr>
          <w:rFonts w:ascii="仿宋_GB2312" w:hAnsi="仿宋_GB2312" w:eastAsia="仿宋_GB2312"/>
          <w:b w:val="0"/>
          <w:sz w:val="32"/>
        </w:rPr>
        <w:t>，确保项目资金安排使用更加科学，发挥项目资金最大作用。具体附整体支出绩效自评表，项目支出绩效自评表和评价报告。</w:t>
      </w:r>
    </w:p>
    <w:p w14:paraId="300A3025">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532389E1">
        <w:tblPrEx>
          <w:tblCellMar>
            <w:top w:w="0" w:type="dxa"/>
            <w:left w:w="108" w:type="dxa"/>
            <w:bottom w:w="0" w:type="dxa"/>
            <w:right w:w="108" w:type="dxa"/>
          </w:tblCellMar>
        </w:tblPrEx>
        <w:tc>
          <w:tcPr>
            <w:tcW w:w="8840" w:type="dxa"/>
            <w:gridSpan w:val="8"/>
            <w:vAlign w:val="center"/>
          </w:tcPr>
          <w:p w14:paraId="01EC0F7B">
            <w:pPr>
              <w:jc w:val="center"/>
            </w:pPr>
            <w:r>
              <w:rPr>
                <w:rFonts w:ascii="宋体" w:hAnsi="宋体" w:eastAsia="宋体"/>
                <w:sz w:val="24"/>
              </w:rPr>
              <w:t>单位整体支出绩效自评表</w:t>
            </w:r>
          </w:p>
        </w:tc>
      </w:tr>
      <w:tr w14:paraId="4411C0C7">
        <w:tblPrEx>
          <w:tblCellMar>
            <w:top w:w="0" w:type="dxa"/>
            <w:left w:w="108" w:type="dxa"/>
            <w:bottom w:w="0" w:type="dxa"/>
            <w:right w:w="108" w:type="dxa"/>
          </w:tblCellMar>
        </w:tblPrEx>
        <w:tc>
          <w:tcPr>
            <w:tcW w:w="8840" w:type="dxa"/>
            <w:gridSpan w:val="8"/>
            <w:vAlign w:val="center"/>
          </w:tcPr>
          <w:p w14:paraId="0C1AFD95">
            <w:pPr>
              <w:jc w:val="center"/>
            </w:pPr>
            <w:r>
              <w:rPr>
                <w:rFonts w:ascii="宋体" w:hAnsi="宋体" w:eastAsia="宋体"/>
                <w:sz w:val="24"/>
              </w:rPr>
              <w:t>（2024年度）</w:t>
            </w:r>
          </w:p>
        </w:tc>
      </w:tr>
      <w:tr w14:paraId="5C42742E">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149727">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87624B">
            <w:pPr>
              <w:jc w:val="center"/>
            </w:pPr>
            <w:r>
              <w:rPr>
                <w:rFonts w:ascii="宋体" w:hAnsi="宋体" w:eastAsia="宋体"/>
                <w:sz w:val="16"/>
              </w:rPr>
              <w:t>中共托里县委政法委员会</w:t>
            </w:r>
          </w:p>
        </w:tc>
      </w:tr>
      <w:tr w14:paraId="5A2ED996">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BAFBF7">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C7501C">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96FEBB">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A8C679">
            <w:pPr>
              <w:jc w:val="center"/>
            </w:pPr>
            <w:r>
              <w:rPr>
                <w:rFonts w:ascii="宋体" w:hAnsi="宋体" w:eastAsia="宋体"/>
                <w:sz w:val="16"/>
              </w:rPr>
              <w:t>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D57286">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07485E">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4349F6">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B28A5B">
            <w:pPr>
              <w:jc w:val="center"/>
            </w:pPr>
            <w:r>
              <w:rPr>
                <w:rFonts w:ascii="宋体" w:hAnsi="宋体" w:eastAsia="宋体"/>
                <w:sz w:val="16"/>
              </w:rPr>
              <w:t>得分</w:t>
            </w:r>
          </w:p>
        </w:tc>
      </w:tr>
      <w:tr w14:paraId="3C6DDF8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2E80F8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B0AF7D">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91DA50">
            <w:pPr>
              <w:jc w:val="center"/>
            </w:pPr>
            <w:r>
              <w:rPr>
                <w:rFonts w:ascii="宋体" w:hAnsi="宋体" w:eastAsia="宋体"/>
                <w:sz w:val="16"/>
              </w:rPr>
              <w:t>876.55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DFC054">
            <w:pPr>
              <w:jc w:val="center"/>
            </w:pPr>
            <w:r>
              <w:rPr>
                <w:rFonts w:ascii="宋体" w:hAnsi="宋体" w:eastAsia="宋体"/>
                <w:sz w:val="16"/>
              </w:rPr>
              <w:t>1,366.14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6EC304">
            <w:pPr>
              <w:jc w:val="center"/>
            </w:pPr>
            <w:r>
              <w:rPr>
                <w:rFonts w:ascii="宋体" w:hAnsi="宋体" w:eastAsia="宋体"/>
                <w:sz w:val="16"/>
              </w:rPr>
              <w:t>1,249.44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A3506F">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242CF4">
            <w:pPr>
              <w:jc w:val="center"/>
            </w:pPr>
            <w:r>
              <w:rPr>
                <w:rFonts w:ascii="宋体" w:hAnsi="宋体" w:eastAsia="宋体"/>
                <w:sz w:val="16"/>
              </w:rPr>
              <w:t>91.46%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F41819">
            <w:pPr>
              <w:jc w:val="center"/>
            </w:pPr>
            <w:r>
              <w:rPr>
                <w:rFonts w:ascii="宋体" w:hAnsi="宋体" w:eastAsia="宋体"/>
                <w:sz w:val="16"/>
              </w:rPr>
              <w:t>9.15</w:t>
            </w:r>
          </w:p>
        </w:tc>
      </w:tr>
      <w:tr w14:paraId="1EB3C30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C4548A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7A4DCF">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95C88B">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80B34C">
            <w:pPr>
              <w:jc w:val="center"/>
            </w:pPr>
            <w:r>
              <w:rPr>
                <w:rFonts w:ascii="宋体" w:hAnsi="宋体" w:eastAsia="宋体"/>
                <w:sz w:val="16"/>
              </w:rPr>
              <w:t>275.60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3BFD37">
            <w:pPr>
              <w:jc w:val="center"/>
            </w:pPr>
            <w:r>
              <w:rPr>
                <w:rFonts w:ascii="宋体" w:hAnsi="宋体" w:eastAsia="宋体"/>
                <w:sz w:val="16"/>
              </w:rPr>
              <w:t>275.60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ED247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68242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0A0046">
            <w:pPr>
              <w:jc w:val="center"/>
            </w:pPr>
            <w:r>
              <w:rPr>
                <w:rFonts w:ascii="宋体" w:hAnsi="宋体" w:eastAsia="宋体"/>
                <w:sz w:val="16"/>
              </w:rPr>
              <w:t>-</w:t>
            </w:r>
          </w:p>
        </w:tc>
      </w:tr>
      <w:tr w14:paraId="00CCD24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B21D27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842ED7">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B56D4E">
            <w:pPr>
              <w:jc w:val="center"/>
            </w:pPr>
            <w:r>
              <w:rPr>
                <w:rFonts w:ascii="宋体" w:hAnsi="宋体" w:eastAsia="宋体"/>
                <w:sz w:val="16"/>
              </w:rPr>
              <w:t>843.45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7038BE">
            <w:pPr>
              <w:jc w:val="center"/>
              <w:rPr>
                <w:rFonts w:hint="default" w:eastAsia="宋体"/>
                <w:lang w:val="en-US" w:eastAsia="zh-CN"/>
              </w:rPr>
            </w:pPr>
            <w:r>
              <w:rPr>
                <w:rFonts w:ascii="宋体" w:hAnsi="宋体" w:eastAsia="宋体"/>
                <w:sz w:val="16"/>
              </w:rPr>
              <w:t>1,081.</w:t>
            </w:r>
            <w:r>
              <w:rPr>
                <w:rFonts w:hint="eastAsia" w:ascii="宋体" w:hAnsi="宋体"/>
                <w:sz w:val="16"/>
                <w:lang w:val="en-US" w:eastAsia="zh-CN"/>
              </w:rPr>
              <w:t>38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CBE49E">
            <w:pPr>
              <w:jc w:val="center"/>
            </w:pPr>
            <w:r>
              <w:rPr>
                <w:rFonts w:ascii="宋体" w:hAnsi="宋体" w:eastAsia="宋体"/>
                <w:sz w:val="16"/>
              </w:rPr>
              <w:t>964.68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49B66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1E169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E4AC6B">
            <w:pPr>
              <w:jc w:val="center"/>
            </w:pPr>
            <w:r>
              <w:rPr>
                <w:rFonts w:ascii="宋体" w:hAnsi="宋体" w:eastAsia="宋体"/>
                <w:sz w:val="16"/>
              </w:rPr>
              <w:t>-</w:t>
            </w:r>
          </w:p>
        </w:tc>
      </w:tr>
      <w:tr w14:paraId="7A62C05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06020F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BAB16E">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8E810A">
            <w:pPr>
              <w:jc w:val="center"/>
            </w:pPr>
            <w:r>
              <w:rPr>
                <w:rFonts w:ascii="宋体" w:hAnsi="宋体" w:eastAsia="宋体"/>
                <w:sz w:val="16"/>
              </w:rPr>
              <w:t>33.10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3CBF94">
            <w:pPr>
              <w:jc w:val="center"/>
            </w:pPr>
            <w:r>
              <w:rPr>
                <w:rFonts w:ascii="宋体" w:hAnsi="宋体" w:eastAsia="宋体"/>
                <w:sz w:val="16"/>
              </w:rPr>
              <w:t>9.16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A0751F">
            <w:pPr>
              <w:jc w:val="center"/>
            </w:pPr>
            <w:r>
              <w:rPr>
                <w:rFonts w:ascii="宋体" w:hAnsi="宋体" w:eastAsia="宋体"/>
                <w:sz w:val="16"/>
              </w:rPr>
              <w:t>9.16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49828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BCF99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404AE2">
            <w:pPr>
              <w:jc w:val="center"/>
            </w:pPr>
            <w:r>
              <w:rPr>
                <w:rFonts w:ascii="宋体" w:hAnsi="宋体" w:eastAsia="宋体"/>
                <w:sz w:val="16"/>
              </w:rPr>
              <w:t>-</w:t>
            </w:r>
          </w:p>
        </w:tc>
      </w:tr>
      <w:tr w14:paraId="316631E6">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5577AC">
            <w:pPr>
              <w:jc w:val="center"/>
            </w:pPr>
            <w:r>
              <w:rPr>
                <w:rFonts w:ascii="宋体" w:hAnsi="宋体" w:eastAsia="宋体"/>
                <w:sz w:val="16"/>
              </w:rPr>
              <w:t>年度总目标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37A674F">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7428599">
            <w:pPr>
              <w:jc w:val="center"/>
            </w:pPr>
            <w:r>
              <w:rPr>
                <w:rFonts w:ascii="宋体" w:hAnsi="宋体" w:eastAsia="宋体"/>
                <w:sz w:val="16"/>
              </w:rPr>
              <w:t>实际完成情况</w:t>
            </w:r>
          </w:p>
        </w:tc>
      </w:tr>
      <w:tr w14:paraId="096F61C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368AA0B"/>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A83C1B6">
            <w:pPr>
              <w:jc w:val="both"/>
            </w:pPr>
            <w:r>
              <w:rPr>
                <w:rFonts w:ascii="宋体" w:hAnsi="宋体" w:eastAsia="宋体"/>
                <w:sz w:val="16"/>
              </w:rPr>
              <w:t>加强政法信息宣传稿达到5000条，强化新闻纪律学习，加大政法委干部培训力度达到12</w:t>
            </w:r>
            <w:r>
              <w:rPr>
                <w:rFonts w:hint="eastAsia" w:ascii="宋体" w:hAnsi="宋体"/>
                <w:sz w:val="16"/>
                <w:lang w:eastAsia="zh-CN"/>
              </w:rPr>
              <w:t>次</w:t>
            </w:r>
            <w:r>
              <w:rPr>
                <w:rFonts w:ascii="宋体" w:hAnsi="宋体" w:eastAsia="宋体"/>
                <w:sz w:val="16"/>
              </w:rPr>
              <w:t>会议，5次业务培训，不断增强政法宣传传播力，引导力、影响力、</w:t>
            </w:r>
            <w:r>
              <w:rPr>
                <w:rFonts w:hint="eastAsia" w:ascii="宋体" w:hAnsi="宋体"/>
                <w:sz w:val="16"/>
                <w:lang w:eastAsia="zh-CN"/>
              </w:rPr>
              <w:t>公信力</w:t>
            </w:r>
            <w:r>
              <w:rPr>
                <w:rFonts w:ascii="宋体" w:hAnsi="宋体" w:eastAsia="宋体"/>
                <w:sz w:val="16"/>
              </w:rPr>
              <w:t>；加强队伍建设，建立健全员工绩效考核激励机制，确保政法宣传队伍人才辈出。</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0864B27">
            <w:pPr>
              <w:jc w:val="both"/>
            </w:pPr>
            <w:r>
              <w:rPr>
                <w:rFonts w:ascii="宋体" w:hAnsi="宋体" w:eastAsia="宋体"/>
                <w:sz w:val="16"/>
              </w:rPr>
              <w:t>完成加强政法信息宣传稿达到5000条，强化新闻纪律学习，加大政法委干部培训力度达到12次会议，5次业务培训，不断增强政法宣传传播力，引导力、影响力、</w:t>
            </w:r>
            <w:r>
              <w:rPr>
                <w:rFonts w:hint="eastAsia" w:ascii="宋体" w:hAnsi="宋体"/>
                <w:sz w:val="16"/>
                <w:lang w:eastAsia="zh-CN"/>
              </w:rPr>
              <w:t>公信力</w:t>
            </w:r>
            <w:r>
              <w:rPr>
                <w:rFonts w:ascii="宋体" w:hAnsi="宋体" w:eastAsia="宋体"/>
                <w:sz w:val="16"/>
              </w:rPr>
              <w:t>；</w:t>
            </w:r>
          </w:p>
        </w:tc>
      </w:tr>
      <w:tr w14:paraId="6B6E2EF5">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DC6F8E">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C5AEC5">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A7287B">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9110D6">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F41A21">
            <w:pPr>
              <w:jc w:val="center"/>
            </w:pPr>
            <w:r>
              <w:rPr>
                <w:rFonts w:ascii="宋体" w:hAnsi="宋体" w:eastAsia="宋体"/>
                <w:sz w:val="16"/>
              </w:rPr>
              <w:t>指标设定依据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5CDABB">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C0E471">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653284">
            <w:pPr>
              <w:jc w:val="center"/>
            </w:pPr>
            <w:r>
              <w:rPr>
                <w:rFonts w:ascii="宋体" w:hAnsi="宋体" w:eastAsia="宋体"/>
                <w:sz w:val="16"/>
              </w:rPr>
              <w:t>得分</w:t>
            </w:r>
          </w:p>
        </w:tc>
      </w:tr>
      <w:tr w14:paraId="0E8F659C">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60D50B">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F1B7BB">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52A8F3">
            <w:pPr>
              <w:jc w:val="center"/>
            </w:pPr>
            <w:r>
              <w:rPr>
                <w:rFonts w:ascii="宋体" w:hAnsi="宋体" w:eastAsia="宋体"/>
                <w:sz w:val="16"/>
              </w:rPr>
              <w:t>编发稿件数量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A16D94">
            <w:pPr>
              <w:jc w:val="center"/>
            </w:pPr>
            <w:r>
              <w:rPr>
                <w:rFonts w:ascii="宋体" w:hAnsi="宋体" w:eastAsia="宋体"/>
                <w:sz w:val="16"/>
              </w:rPr>
              <w:t>&gt;=5000条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1B6931">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C58E9E">
            <w:pPr>
              <w:jc w:val="center"/>
            </w:pPr>
            <w:r>
              <w:rPr>
                <w:rFonts w:ascii="宋体" w:hAnsi="宋体" w:eastAsia="宋体"/>
                <w:sz w:val="16"/>
              </w:rPr>
              <w:t>17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0749F6">
            <w:pPr>
              <w:jc w:val="center"/>
            </w:pPr>
            <w:r>
              <w:rPr>
                <w:rFonts w:ascii="宋体" w:hAnsi="宋体" w:eastAsia="宋体"/>
                <w:sz w:val="16"/>
              </w:rPr>
              <w:t>&gt;=5000条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E9F0D4">
            <w:pPr>
              <w:jc w:val="center"/>
            </w:pPr>
            <w:r>
              <w:rPr>
                <w:rFonts w:ascii="宋体" w:hAnsi="宋体" w:eastAsia="宋体"/>
                <w:sz w:val="16"/>
              </w:rPr>
              <w:t>17</w:t>
            </w:r>
          </w:p>
        </w:tc>
      </w:tr>
      <w:tr w14:paraId="1A03527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4C41C41"/>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B9A4E5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538A06">
            <w:pPr>
              <w:jc w:val="center"/>
            </w:pPr>
            <w:r>
              <w:rPr>
                <w:rFonts w:ascii="宋体" w:hAnsi="宋体" w:eastAsia="宋体"/>
                <w:sz w:val="16"/>
              </w:rPr>
              <w:t>政法委工作会议数量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DD7B11">
            <w:pPr>
              <w:jc w:val="center"/>
            </w:pPr>
            <w:r>
              <w:rPr>
                <w:rFonts w:ascii="宋体" w:hAnsi="宋体" w:eastAsia="宋体"/>
                <w:sz w:val="16"/>
              </w:rPr>
              <w:t>&gt;=12次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9BB4D4">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1BCD25">
            <w:pPr>
              <w:jc w:val="center"/>
            </w:pPr>
            <w:r>
              <w:rPr>
                <w:rFonts w:ascii="宋体" w:hAnsi="宋体" w:eastAsia="宋体"/>
                <w:sz w:val="16"/>
              </w:rPr>
              <w:t>17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0CE254">
            <w:pPr>
              <w:jc w:val="center"/>
            </w:pPr>
            <w:r>
              <w:rPr>
                <w:rFonts w:ascii="宋体" w:hAnsi="宋体" w:eastAsia="宋体"/>
                <w:sz w:val="16"/>
              </w:rPr>
              <w:t>&gt;=12次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7DD009">
            <w:pPr>
              <w:jc w:val="center"/>
            </w:pPr>
            <w:r>
              <w:rPr>
                <w:rFonts w:ascii="宋体" w:hAnsi="宋体" w:eastAsia="宋体"/>
                <w:sz w:val="16"/>
              </w:rPr>
              <w:t>17</w:t>
            </w:r>
          </w:p>
        </w:tc>
      </w:tr>
      <w:tr w14:paraId="2AAA85A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3B89510"/>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FE2430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4EB78B">
            <w:pPr>
              <w:jc w:val="center"/>
            </w:pPr>
            <w:r>
              <w:rPr>
                <w:rFonts w:ascii="宋体" w:hAnsi="宋体" w:eastAsia="宋体"/>
                <w:sz w:val="16"/>
              </w:rPr>
              <w:t>政法委干部工作培训数量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F41EE3">
            <w:pPr>
              <w:jc w:val="center"/>
            </w:pPr>
            <w:r>
              <w:rPr>
                <w:rFonts w:ascii="宋体" w:hAnsi="宋体" w:eastAsia="宋体"/>
                <w:sz w:val="16"/>
              </w:rPr>
              <w:t>&gt;=5次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A0DC71">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C35265">
            <w:pPr>
              <w:jc w:val="center"/>
            </w:pPr>
            <w:r>
              <w:rPr>
                <w:rFonts w:ascii="宋体" w:hAnsi="宋体" w:eastAsia="宋体"/>
                <w:sz w:val="16"/>
              </w:rPr>
              <w:t>17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4B126D">
            <w:pPr>
              <w:jc w:val="center"/>
            </w:pPr>
            <w:r>
              <w:rPr>
                <w:rFonts w:ascii="宋体" w:hAnsi="宋体" w:eastAsia="宋体"/>
                <w:sz w:val="16"/>
              </w:rPr>
              <w:t>&gt;=5次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0915CF">
            <w:pPr>
              <w:jc w:val="center"/>
            </w:pPr>
            <w:r>
              <w:rPr>
                <w:rFonts w:ascii="宋体" w:hAnsi="宋体" w:eastAsia="宋体"/>
                <w:sz w:val="16"/>
              </w:rPr>
              <w:t>17</w:t>
            </w:r>
          </w:p>
        </w:tc>
      </w:tr>
      <w:tr w14:paraId="291C088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3FAED52"/>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0A9B5E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1AB798">
            <w:pPr>
              <w:jc w:val="center"/>
            </w:pPr>
            <w:r>
              <w:rPr>
                <w:rFonts w:ascii="宋体" w:hAnsi="宋体" w:eastAsia="宋体"/>
                <w:sz w:val="16"/>
              </w:rPr>
              <w:t>政法委辅警工作培训数量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44E589">
            <w:pPr>
              <w:jc w:val="center"/>
            </w:pPr>
            <w:r>
              <w:rPr>
                <w:rFonts w:ascii="宋体" w:hAnsi="宋体" w:eastAsia="宋体"/>
                <w:sz w:val="16"/>
              </w:rPr>
              <w:t>&gt;=4次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BB4AA6">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B85EEE">
            <w:pPr>
              <w:jc w:val="center"/>
            </w:pPr>
            <w:r>
              <w:rPr>
                <w:rFonts w:ascii="宋体" w:hAnsi="宋体" w:eastAsia="宋体"/>
                <w:sz w:val="16"/>
              </w:rPr>
              <w:t>17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D39745">
            <w:pPr>
              <w:jc w:val="center"/>
            </w:pPr>
            <w:r>
              <w:rPr>
                <w:rFonts w:ascii="宋体" w:hAnsi="宋体" w:eastAsia="宋体"/>
                <w:sz w:val="16"/>
              </w:rPr>
              <w:t>&gt;=4次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BC9251">
            <w:pPr>
              <w:jc w:val="center"/>
            </w:pPr>
            <w:r>
              <w:rPr>
                <w:rFonts w:ascii="宋体" w:hAnsi="宋体" w:eastAsia="宋体"/>
                <w:sz w:val="16"/>
              </w:rPr>
              <w:t>17</w:t>
            </w:r>
          </w:p>
        </w:tc>
      </w:tr>
      <w:tr w14:paraId="5621B2F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D82B08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622D2B">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A29136">
            <w:pPr>
              <w:jc w:val="center"/>
            </w:pPr>
            <w:r>
              <w:rPr>
                <w:rFonts w:ascii="宋体" w:hAnsi="宋体" w:eastAsia="宋体"/>
                <w:sz w:val="16"/>
              </w:rPr>
              <w:t>采编稿件优秀作品增长率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BEF490">
            <w:pPr>
              <w:jc w:val="center"/>
            </w:pPr>
            <w:r>
              <w:rPr>
                <w:rFonts w:ascii="宋体" w:hAnsi="宋体" w:eastAsia="宋体"/>
                <w:sz w:val="16"/>
              </w:rPr>
              <w:t>&gt;=10%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A8110C">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F2F847">
            <w:pPr>
              <w:jc w:val="center"/>
            </w:pPr>
            <w:r>
              <w:rPr>
                <w:rFonts w:ascii="宋体" w:hAnsi="宋体" w:eastAsia="宋体"/>
                <w:sz w:val="16"/>
              </w:rPr>
              <w:t>22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45BF87">
            <w:pPr>
              <w:jc w:val="center"/>
            </w:pPr>
            <w:r>
              <w:rPr>
                <w:rFonts w:ascii="宋体" w:hAnsi="宋体" w:eastAsia="宋体"/>
                <w:sz w:val="16"/>
              </w:rPr>
              <w:t>&gt;=10%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A5B91F">
            <w:pPr>
              <w:jc w:val="center"/>
            </w:pPr>
            <w:r>
              <w:rPr>
                <w:rFonts w:ascii="宋体" w:hAnsi="宋体" w:eastAsia="宋体"/>
                <w:sz w:val="16"/>
              </w:rPr>
              <w:t>22</w:t>
            </w:r>
          </w:p>
        </w:tc>
      </w:tr>
    </w:tbl>
    <w:p w14:paraId="3D3B686A">
      <w:r>
        <w:br w:type="page"/>
      </w:r>
    </w:p>
    <w:tbl>
      <w:tblPr>
        <w:tblStyle w:val="9"/>
        <w:tblW w:w="0" w:type="auto"/>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96"/>
        <w:gridCol w:w="475"/>
        <w:gridCol w:w="789"/>
      </w:tblGrid>
      <w:tr w14:paraId="5057E5EC">
        <w:tblPrEx>
          <w:tblCellMar>
            <w:top w:w="0" w:type="dxa"/>
            <w:left w:w="108" w:type="dxa"/>
            <w:bottom w:w="0" w:type="dxa"/>
            <w:right w:w="108" w:type="dxa"/>
          </w:tblCellMar>
        </w:tblPrEx>
        <w:tc>
          <w:tcPr>
            <w:tcW w:w="9040" w:type="dxa"/>
            <w:gridSpan w:val="14"/>
            <w:vAlign w:val="center"/>
          </w:tcPr>
          <w:p w14:paraId="27DE227D">
            <w:pPr>
              <w:jc w:val="center"/>
            </w:pPr>
            <w:r>
              <w:rPr>
                <w:rFonts w:ascii="宋体" w:hAnsi="宋体" w:eastAsia="宋体"/>
                <w:sz w:val="24"/>
              </w:rPr>
              <w:t>项目支出绩效自评表</w:t>
            </w:r>
          </w:p>
        </w:tc>
      </w:tr>
      <w:tr w14:paraId="3F998FD9">
        <w:tblPrEx>
          <w:tblCellMar>
            <w:top w:w="0" w:type="dxa"/>
            <w:left w:w="108" w:type="dxa"/>
            <w:bottom w:w="0" w:type="dxa"/>
            <w:right w:w="108" w:type="dxa"/>
          </w:tblCellMar>
        </w:tblPrEx>
        <w:tc>
          <w:tcPr>
            <w:tcW w:w="9040" w:type="dxa"/>
            <w:gridSpan w:val="14"/>
            <w:vAlign w:val="center"/>
          </w:tcPr>
          <w:p w14:paraId="2969E728">
            <w:pPr>
              <w:jc w:val="center"/>
            </w:pPr>
            <w:r>
              <w:rPr>
                <w:rFonts w:ascii="宋体" w:hAnsi="宋体" w:eastAsia="宋体"/>
                <w:sz w:val="24"/>
              </w:rPr>
              <w:t>(2024年度)</w:t>
            </w:r>
          </w:p>
        </w:tc>
      </w:tr>
      <w:tr w14:paraId="7F7E165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01653">
            <w:pPr>
              <w:jc w:val="center"/>
            </w:pPr>
            <w:r>
              <w:rPr>
                <w:rFonts w:ascii="宋体" w:hAnsi="宋体" w:eastAsia="宋体"/>
                <w:sz w:val="16"/>
              </w:rPr>
              <w:t>项目名称</w:t>
            </w:r>
          </w:p>
        </w:tc>
        <w:tc>
          <w:tcPr>
            <w:tcW w:w="8408"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352BF95">
            <w:pPr>
              <w:jc w:val="center"/>
            </w:pPr>
            <w:r>
              <w:rPr>
                <w:rFonts w:ascii="宋体" w:hAnsi="宋体" w:eastAsia="宋体"/>
                <w:sz w:val="16"/>
              </w:rPr>
              <w:t>2024年赴辽培训资金项目</w:t>
            </w:r>
          </w:p>
        </w:tc>
      </w:tr>
      <w:tr w14:paraId="0FBDB19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8ECC1">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8D26EC">
            <w:pPr>
              <w:jc w:val="center"/>
            </w:pPr>
            <w:r>
              <w:rPr>
                <w:rFonts w:ascii="宋体" w:hAnsi="宋体" w:eastAsia="宋体"/>
                <w:sz w:val="16"/>
              </w:rPr>
              <w:t>中共托里县委政法委员会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EFA8E">
            <w:pPr>
              <w:jc w:val="center"/>
            </w:pPr>
            <w:r>
              <w:rPr>
                <w:rFonts w:ascii="宋体" w:hAnsi="宋体" w:eastAsia="宋体"/>
                <w:sz w:val="16"/>
              </w:rPr>
              <w:t>实施单位</w:t>
            </w:r>
          </w:p>
        </w:tc>
        <w:tc>
          <w:tcPr>
            <w:tcW w:w="3288"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E69D7EE">
            <w:pPr>
              <w:jc w:val="center"/>
            </w:pPr>
            <w:r>
              <w:rPr>
                <w:rFonts w:ascii="宋体" w:hAnsi="宋体" w:eastAsia="宋体"/>
                <w:sz w:val="16"/>
              </w:rPr>
              <w:t>中共托里县委政法委员会</w:t>
            </w:r>
          </w:p>
        </w:tc>
      </w:tr>
      <w:tr w14:paraId="57F6257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9FF2A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33D84C">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2A481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F647B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5980A5">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25A4E6">
            <w:pPr>
              <w:jc w:val="center"/>
            </w:pPr>
            <w:r>
              <w:rPr>
                <w:rFonts w:ascii="宋体" w:hAnsi="宋体" w:eastAsia="宋体"/>
                <w:sz w:val="16"/>
              </w:rPr>
              <w:t>分值</w:t>
            </w:r>
          </w:p>
        </w:tc>
        <w:tc>
          <w:tcPr>
            <w:tcW w:w="117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1C43C9">
            <w:pPr>
              <w:jc w:val="center"/>
            </w:pPr>
            <w:r>
              <w:rPr>
                <w:rFonts w:ascii="宋体" w:hAnsi="宋体" w:eastAsia="宋体"/>
                <w:sz w:val="16"/>
              </w:rPr>
              <w:t>执行率</w:t>
            </w:r>
          </w:p>
        </w:tc>
        <w:tc>
          <w:tcPr>
            <w:tcW w:w="789" w:type="dxa"/>
            <w:tcBorders>
              <w:top w:val="single" w:color="auto" w:sz="10" w:space="0"/>
              <w:left w:val="single" w:color="auto" w:sz="10" w:space="0"/>
              <w:bottom w:val="single" w:color="auto" w:sz="10" w:space="0"/>
              <w:right w:val="single" w:color="auto" w:sz="10" w:space="0"/>
              <w:insideV w:val="single" w:sz="10" w:space="0"/>
            </w:tcBorders>
            <w:vAlign w:val="center"/>
          </w:tcPr>
          <w:p w14:paraId="4DC0E7DD">
            <w:pPr>
              <w:jc w:val="center"/>
            </w:pPr>
            <w:r>
              <w:rPr>
                <w:rFonts w:ascii="宋体" w:hAnsi="宋体" w:eastAsia="宋体"/>
                <w:sz w:val="16"/>
              </w:rPr>
              <w:t>得分</w:t>
            </w:r>
          </w:p>
        </w:tc>
      </w:tr>
      <w:tr w14:paraId="7FD180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B384A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8E8861">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4B8B55">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3612FF">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A64E1A">
            <w:pPr>
              <w:jc w:val="center"/>
            </w:pPr>
            <w:r>
              <w:rPr>
                <w:rFonts w:ascii="宋体" w:hAnsi="宋体" w:eastAsia="宋体"/>
                <w:sz w:val="16"/>
              </w:rPr>
              <w:t>4.66</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C4B9AD">
            <w:pPr>
              <w:jc w:val="center"/>
            </w:pPr>
            <w:r>
              <w:rPr>
                <w:rFonts w:ascii="宋体" w:hAnsi="宋体" w:eastAsia="宋体"/>
                <w:sz w:val="16"/>
              </w:rPr>
              <w:t>10</w:t>
            </w:r>
          </w:p>
        </w:tc>
        <w:tc>
          <w:tcPr>
            <w:tcW w:w="117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5D4995">
            <w:pPr>
              <w:jc w:val="center"/>
            </w:pPr>
            <w:r>
              <w:rPr>
                <w:rFonts w:ascii="宋体" w:hAnsi="宋体" w:eastAsia="宋体"/>
                <w:sz w:val="16"/>
              </w:rPr>
              <w:t>77.67%</w:t>
            </w:r>
          </w:p>
        </w:tc>
        <w:tc>
          <w:tcPr>
            <w:tcW w:w="789" w:type="dxa"/>
            <w:tcBorders>
              <w:top w:val="single" w:color="auto" w:sz="10" w:space="0"/>
              <w:left w:val="single" w:color="auto" w:sz="10" w:space="0"/>
              <w:bottom w:val="single" w:color="auto" w:sz="10" w:space="0"/>
              <w:right w:val="single" w:color="auto" w:sz="10" w:space="0"/>
              <w:insideV w:val="single" w:sz="10" w:space="0"/>
            </w:tcBorders>
            <w:vAlign w:val="center"/>
          </w:tcPr>
          <w:p w14:paraId="17429BEC">
            <w:pPr>
              <w:jc w:val="center"/>
            </w:pPr>
            <w:r>
              <w:rPr>
                <w:rFonts w:ascii="宋体" w:hAnsi="宋体" w:eastAsia="宋体"/>
                <w:sz w:val="16"/>
              </w:rPr>
              <w:t>7.77</w:t>
            </w:r>
          </w:p>
        </w:tc>
      </w:tr>
      <w:tr w14:paraId="5A53D1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0A8B0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4B96F8">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78A90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35B07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50FFD7">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B55807">
            <w:pPr>
              <w:jc w:val="center"/>
            </w:pPr>
            <w:r>
              <w:rPr>
                <w:rFonts w:ascii="宋体" w:hAnsi="宋体" w:eastAsia="宋体"/>
                <w:sz w:val="16"/>
              </w:rPr>
              <w:t>—</w:t>
            </w:r>
          </w:p>
        </w:tc>
        <w:tc>
          <w:tcPr>
            <w:tcW w:w="117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02AD20">
            <w:pPr>
              <w:jc w:val="center"/>
            </w:pPr>
            <w:r>
              <w:rPr>
                <w:rFonts w:ascii="宋体" w:hAnsi="宋体" w:eastAsia="宋体"/>
                <w:sz w:val="16"/>
              </w:rPr>
              <w:t>—</w:t>
            </w:r>
          </w:p>
        </w:tc>
        <w:tc>
          <w:tcPr>
            <w:tcW w:w="789" w:type="dxa"/>
            <w:tcBorders>
              <w:top w:val="single" w:color="auto" w:sz="10" w:space="0"/>
              <w:left w:val="single" w:color="auto" w:sz="10" w:space="0"/>
              <w:bottom w:val="single" w:color="auto" w:sz="10" w:space="0"/>
              <w:right w:val="single" w:color="auto" w:sz="10" w:space="0"/>
              <w:insideV w:val="single" w:sz="10" w:space="0"/>
            </w:tcBorders>
            <w:vAlign w:val="center"/>
          </w:tcPr>
          <w:p w14:paraId="3C582796">
            <w:pPr>
              <w:jc w:val="center"/>
            </w:pPr>
            <w:r>
              <w:rPr>
                <w:rFonts w:ascii="宋体" w:hAnsi="宋体" w:eastAsia="宋体"/>
                <w:sz w:val="16"/>
              </w:rPr>
              <w:t>—</w:t>
            </w:r>
          </w:p>
        </w:tc>
      </w:tr>
      <w:tr w14:paraId="19642A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E1BBA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195AD4">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8B38AA">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886B9F">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5DFD18">
            <w:pPr>
              <w:jc w:val="center"/>
            </w:pPr>
            <w:r>
              <w:rPr>
                <w:rFonts w:ascii="宋体" w:hAnsi="宋体" w:eastAsia="宋体"/>
                <w:sz w:val="16"/>
              </w:rPr>
              <w:t>4.66</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A2EACA">
            <w:pPr>
              <w:jc w:val="center"/>
            </w:pPr>
            <w:r>
              <w:rPr>
                <w:rFonts w:ascii="宋体" w:hAnsi="宋体" w:eastAsia="宋体"/>
                <w:sz w:val="16"/>
              </w:rPr>
              <w:t>—</w:t>
            </w:r>
          </w:p>
        </w:tc>
        <w:tc>
          <w:tcPr>
            <w:tcW w:w="117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864D4C">
            <w:pPr>
              <w:jc w:val="center"/>
            </w:pPr>
            <w:r>
              <w:rPr>
                <w:rFonts w:ascii="宋体" w:hAnsi="宋体" w:eastAsia="宋体"/>
                <w:sz w:val="16"/>
              </w:rPr>
              <w:t>—</w:t>
            </w:r>
          </w:p>
        </w:tc>
        <w:tc>
          <w:tcPr>
            <w:tcW w:w="789" w:type="dxa"/>
            <w:tcBorders>
              <w:top w:val="single" w:color="auto" w:sz="10" w:space="0"/>
              <w:left w:val="single" w:color="auto" w:sz="10" w:space="0"/>
              <w:bottom w:val="single" w:color="auto" w:sz="10" w:space="0"/>
              <w:right w:val="single" w:color="auto" w:sz="10" w:space="0"/>
              <w:insideV w:val="single" w:sz="10" w:space="0"/>
            </w:tcBorders>
            <w:vAlign w:val="center"/>
          </w:tcPr>
          <w:p w14:paraId="13FFDFA6">
            <w:pPr>
              <w:jc w:val="center"/>
            </w:pPr>
            <w:r>
              <w:rPr>
                <w:rFonts w:ascii="宋体" w:hAnsi="宋体" w:eastAsia="宋体"/>
                <w:sz w:val="16"/>
              </w:rPr>
              <w:t>—</w:t>
            </w:r>
          </w:p>
        </w:tc>
      </w:tr>
      <w:tr w14:paraId="39772DD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161B23">
            <w:pPr>
              <w:jc w:val="center"/>
            </w:pPr>
            <w:r>
              <w:rPr>
                <w:rFonts w:ascii="宋体" w:hAnsi="宋体" w:eastAsia="宋体"/>
                <w:sz w:val="16"/>
              </w:rPr>
              <w:t>年度总体目标</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7E26CE">
            <w:pPr>
              <w:jc w:val="center"/>
            </w:pPr>
            <w:r>
              <w:rPr>
                <w:rFonts w:ascii="宋体" w:hAnsi="宋体" w:eastAsia="宋体"/>
                <w:sz w:val="16"/>
              </w:rPr>
              <w:t>预期目标</w:t>
            </w:r>
          </w:p>
        </w:tc>
        <w:tc>
          <w:tcPr>
            <w:tcW w:w="3920"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1EF9AF4">
            <w:pPr>
              <w:jc w:val="center"/>
            </w:pPr>
            <w:r>
              <w:rPr>
                <w:rFonts w:ascii="宋体" w:hAnsi="宋体" w:eastAsia="宋体"/>
                <w:sz w:val="16"/>
              </w:rPr>
              <w:t>实际完成情况</w:t>
            </w:r>
          </w:p>
        </w:tc>
      </w:tr>
      <w:tr w14:paraId="5B6ED3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ECA7BC"/>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985708">
            <w:pPr>
              <w:jc w:val="both"/>
            </w:pPr>
            <w:r>
              <w:rPr>
                <w:rFonts w:ascii="宋体" w:hAnsi="宋体" w:eastAsia="宋体"/>
                <w:sz w:val="16"/>
              </w:rPr>
              <w:t>2024年赴辽培训资金项目6万元，用于20名赶辽培训人员，进行4次培训活动，确保赴辽培训人员交通费按时执行，加强政法队伍建设，工作人员对本单位发放奖励工作的满意度达到95%。</w:t>
            </w:r>
          </w:p>
        </w:tc>
        <w:tc>
          <w:tcPr>
            <w:tcW w:w="3920"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60B86E3">
            <w:pPr>
              <w:jc w:val="both"/>
            </w:pPr>
            <w:r>
              <w:rPr>
                <w:rFonts w:ascii="宋体" w:hAnsi="宋体" w:eastAsia="宋体"/>
                <w:sz w:val="16"/>
              </w:rPr>
              <w:t>2024年政法委赴辽培训费项目，2024年下达的赴辽培训交通费4.655万元，主要建设内容对政法队伍赴辽宁学习交通，本项目执行后提升培训人员的专业技能和知识水平，本项目 为培训人员提供必要的交通支持，确保培训人员顺利参加培训和会议，项目资金来源于上级拨款的单位资金，该项目年初预算数6万元，全年预算数6万元，全年执行数4.655万元，预算执行率为77.67%，主要用于：政法队伍赴辽培训交通费。</w:t>
            </w:r>
          </w:p>
        </w:tc>
      </w:tr>
      <w:tr w14:paraId="7BE3675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F3183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E487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7EB1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FCD8D">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9B7CEE5">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5DE5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7CFB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ADE8D">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2F342">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13EE4">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9C9E510">
            <w:pPr>
              <w:jc w:val="center"/>
            </w:pPr>
            <w:r>
              <w:rPr>
                <w:rFonts w:ascii="宋体" w:hAnsi="宋体" w:eastAsia="宋体"/>
                <w:sz w:val="16"/>
              </w:rPr>
              <w:t>指标实际完成值</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7B19997">
            <w:pPr>
              <w:jc w:val="center"/>
            </w:pPr>
            <w:r>
              <w:rPr>
                <w:rFonts w:ascii="宋体" w:hAnsi="宋体" w:eastAsia="宋体"/>
                <w:sz w:val="16"/>
              </w:rPr>
              <w:t>完成率</w:t>
            </w:r>
          </w:p>
        </w:tc>
        <w:tc>
          <w:tcPr>
            <w:tcW w:w="475" w:type="dxa"/>
            <w:tcBorders>
              <w:top w:val="single" w:color="auto" w:sz="10" w:space="0"/>
              <w:left w:val="single" w:color="auto" w:sz="10" w:space="0"/>
              <w:bottom w:val="single" w:color="auto" w:sz="10" w:space="0"/>
              <w:right w:val="single" w:color="auto" w:sz="10" w:space="0"/>
              <w:insideV w:val="single" w:sz="10" w:space="0"/>
            </w:tcBorders>
            <w:vAlign w:val="center"/>
          </w:tcPr>
          <w:p w14:paraId="77C59AA6">
            <w:pPr>
              <w:jc w:val="center"/>
            </w:pPr>
            <w:r>
              <w:rPr>
                <w:rFonts w:ascii="宋体" w:hAnsi="宋体" w:eastAsia="宋体"/>
                <w:sz w:val="16"/>
              </w:rPr>
              <w:t>指标得分</w:t>
            </w:r>
          </w:p>
        </w:tc>
        <w:tc>
          <w:tcPr>
            <w:tcW w:w="789" w:type="dxa"/>
            <w:tcBorders>
              <w:top w:val="single" w:color="auto" w:sz="10" w:space="0"/>
              <w:left w:val="single" w:color="auto" w:sz="10" w:space="0"/>
              <w:bottom w:val="single" w:color="auto" w:sz="10" w:space="0"/>
              <w:right w:val="single" w:color="auto" w:sz="10" w:space="0"/>
              <w:insideV w:val="single" w:sz="10" w:space="0"/>
            </w:tcBorders>
            <w:vAlign w:val="center"/>
          </w:tcPr>
          <w:p w14:paraId="6A51FF3E">
            <w:pPr>
              <w:jc w:val="center"/>
            </w:pPr>
            <w:r>
              <w:rPr>
                <w:rFonts w:ascii="宋体" w:hAnsi="宋体" w:eastAsia="宋体"/>
                <w:sz w:val="16"/>
              </w:rPr>
              <w:t>偏差原因分析及改进措施</w:t>
            </w:r>
          </w:p>
        </w:tc>
      </w:tr>
      <w:tr w14:paraId="33611D4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457E2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1D805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9F55A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F4CD7">
            <w:pPr>
              <w:jc w:val="center"/>
            </w:pPr>
            <w:r>
              <w:rPr>
                <w:rFonts w:ascii="宋体" w:hAnsi="宋体" w:eastAsia="宋体"/>
                <w:sz w:val="16"/>
              </w:rPr>
              <w:t>赴辽培训人员数量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7D0C6BE">
            <w:pPr>
              <w:jc w:val="center"/>
            </w:pPr>
            <w:r>
              <w:rPr>
                <w:rFonts w:ascii="宋体" w:hAnsi="宋体" w:eastAsia="宋体"/>
                <w:sz w:val="16"/>
              </w:rPr>
              <w:t>&gt;=24人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A16F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F8C05">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164D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54F7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57CB1">
            <w:pPr>
              <w:jc w:val="center"/>
            </w:pPr>
            <w:r>
              <w:rPr>
                <w:rFonts w:ascii="宋体" w:hAnsi="宋体" w:eastAsia="宋体"/>
                <w:sz w:val="16"/>
              </w:rPr>
              <w:t>正式材料,原始凭证,工作资料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A4B25F3">
            <w:pPr>
              <w:jc w:val="center"/>
            </w:pPr>
            <w:r>
              <w:rPr>
                <w:rFonts w:ascii="宋体" w:hAnsi="宋体" w:eastAsia="宋体"/>
                <w:sz w:val="16"/>
              </w:rPr>
              <w:t>=19人</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A17367F">
            <w:pPr>
              <w:jc w:val="center"/>
            </w:pPr>
            <w:r>
              <w:rPr>
                <w:rFonts w:ascii="宋体" w:hAnsi="宋体" w:eastAsia="宋体"/>
                <w:sz w:val="16"/>
              </w:rPr>
              <w:t>79.16%</w:t>
            </w:r>
          </w:p>
        </w:tc>
        <w:tc>
          <w:tcPr>
            <w:tcW w:w="475" w:type="dxa"/>
            <w:tcBorders>
              <w:top w:val="single" w:color="auto" w:sz="10" w:space="0"/>
              <w:left w:val="single" w:color="auto" w:sz="10" w:space="0"/>
              <w:bottom w:val="single" w:color="auto" w:sz="10" w:space="0"/>
              <w:right w:val="single" w:color="auto" w:sz="10" w:space="0"/>
              <w:insideV w:val="single" w:sz="10" w:space="0"/>
            </w:tcBorders>
            <w:vAlign w:val="center"/>
          </w:tcPr>
          <w:p w14:paraId="43A0B394">
            <w:pPr>
              <w:jc w:val="center"/>
            </w:pPr>
            <w:r>
              <w:rPr>
                <w:rFonts w:ascii="宋体" w:hAnsi="宋体" w:eastAsia="宋体"/>
                <w:sz w:val="16"/>
              </w:rPr>
              <w:t>7.92</w:t>
            </w:r>
          </w:p>
        </w:tc>
        <w:tc>
          <w:tcPr>
            <w:tcW w:w="789" w:type="dxa"/>
            <w:tcBorders>
              <w:top w:val="single" w:color="auto" w:sz="10" w:space="0"/>
              <w:left w:val="single" w:color="auto" w:sz="10" w:space="0"/>
              <w:bottom w:val="single" w:color="auto" w:sz="10" w:space="0"/>
              <w:right w:val="single" w:color="auto" w:sz="10" w:space="0"/>
              <w:insideV w:val="single" w:sz="10" w:space="0"/>
            </w:tcBorders>
            <w:vAlign w:val="center"/>
          </w:tcPr>
          <w:p w14:paraId="7CCF8A61">
            <w:pPr>
              <w:jc w:val="center"/>
            </w:pPr>
            <w:r>
              <w:rPr>
                <w:rFonts w:ascii="宋体" w:hAnsi="宋体" w:eastAsia="宋体"/>
                <w:sz w:val="16"/>
              </w:rPr>
              <w:t>按上级要求执行</w:t>
            </w:r>
          </w:p>
        </w:tc>
      </w:tr>
      <w:tr w14:paraId="50FBF2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B8B2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0167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E18F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78C45">
            <w:pPr>
              <w:jc w:val="center"/>
            </w:pPr>
            <w:r>
              <w:rPr>
                <w:rFonts w:ascii="宋体" w:hAnsi="宋体" w:eastAsia="宋体"/>
                <w:sz w:val="16"/>
              </w:rPr>
              <w:t>赴辽轮训次数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4319B70">
            <w:pPr>
              <w:jc w:val="center"/>
            </w:pPr>
            <w:r>
              <w:rPr>
                <w:rFonts w:ascii="宋体" w:hAnsi="宋体" w:eastAsia="宋体"/>
                <w:sz w:val="16"/>
              </w:rPr>
              <w:t>=4次/年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569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0568A">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F09D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C5D9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A2CBD">
            <w:pPr>
              <w:jc w:val="center"/>
            </w:pPr>
            <w:r>
              <w:rPr>
                <w:rFonts w:ascii="宋体" w:hAnsi="宋体" w:eastAsia="宋体"/>
                <w:sz w:val="16"/>
              </w:rPr>
              <w:t>正式材料,工作资料,原始凭证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22AA90B">
            <w:pPr>
              <w:jc w:val="center"/>
            </w:pPr>
            <w:r>
              <w:rPr>
                <w:rFonts w:ascii="宋体" w:hAnsi="宋体" w:eastAsia="宋体"/>
                <w:sz w:val="16"/>
              </w:rPr>
              <w:t>=3次</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57F3E7A">
            <w:pPr>
              <w:jc w:val="center"/>
            </w:pPr>
            <w:r>
              <w:rPr>
                <w:rFonts w:ascii="宋体" w:hAnsi="宋体" w:eastAsia="宋体"/>
                <w:sz w:val="16"/>
              </w:rPr>
              <w:t>75%</w:t>
            </w:r>
          </w:p>
        </w:tc>
        <w:tc>
          <w:tcPr>
            <w:tcW w:w="475" w:type="dxa"/>
            <w:tcBorders>
              <w:top w:val="single" w:color="auto" w:sz="10" w:space="0"/>
              <w:left w:val="single" w:color="auto" w:sz="10" w:space="0"/>
              <w:bottom w:val="single" w:color="auto" w:sz="10" w:space="0"/>
              <w:right w:val="single" w:color="auto" w:sz="10" w:space="0"/>
              <w:insideV w:val="single" w:sz="10" w:space="0"/>
            </w:tcBorders>
            <w:vAlign w:val="center"/>
          </w:tcPr>
          <w:p w14:paraId="6782DA3E">
            <w:pPr>
              <w:jc w:val="center"/>
            </w:pPr>
            <w:r>
              <w:rPr>
                <w:rFonts w:ascii="宋体" w:hAnsi="宋体" w:eastAsia="宋体"/>
                <w:sz w:val="16"/>
              </w:rPr>
              <w:t>7.5</w:t>
            </w:r>
          </w:p>
        </w:tc>
        <w:tc>
          <w:tcPr>
            <w:tcW w:w="789" w:type="dxa"/>
            <w:tcBorders>
              <w:top w:val="single" w:color="auto" w:sz="10" w:space="0"/>
              <w:left w:val="single" w:color="auto" w:sz="10" w:space="0"/>
              <w:bottom w:val="single" w:color="auto" w:sz="10" w:space="0"/>
              <w:right w:val="single" w:color="auto" w:sz="10" w:space="0"/>
              <w:insideV w:val="single" w:sz="10" w:space="0"/>
            </w:tcBorders>
            <w:vAlign w:val="center"/>
          </w:tcPr>
          <w:p w14:paraId="492FCB5F">
            <w:pPr>
              <w:jc w:val="center"/>
            </w:pPr>
            <w:r>
              <w:rPr>
                <w:rFonts w:ascii="宋体" w:hAnsi="宋体" w:eastAsia="宋体"/>
                <w:sz w:val="16"/>
              </w:rPr>
              <w:t>按上级要求执行</w:t>
            </w:r>
          </w:p>
        </w:tc>
      </w:tr>
      <w:tr w14:paraId="19FC6B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0F58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E487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6B38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ED15B">
            <w:pPr>
              <w:jc w:val="center"/>
            </w:pPr>
            <w:r>
              <w:rPr>
                <w:rFonts w:ascii="宋体" w:hAnsi="宋体" w:eastAsia="宋体"/>
                <w:sz w:val="16"/>
              </w:rPr>
              <w:t>培训交通缴纳覆盖率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168C0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257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9928C">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1827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0714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393C5">
            <w:pPr>
              <w:jc w:val="center"/>
            </w:pPr>
            <w:r>
              <w:rPr>
                <w:rFonts w:ascii="宋体" w:hAnsi="宋体" w:eastAsia="宋体"/>
                <w:sz w:val="16"/>
              </w:rPr>
              <w:t>正式材料,工作资料,原始凭证,说明材料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EBA9D50">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5E24052">
            <w:pPr>
              <w:jc w:val="center"/>
            </w:pPr>
            <w:r>
              <w:rPr>
                <w:rFonts w:ascii="宋体" w:hAnsi="宋体" w:eastAsia="宋体"/>
                <w:sz w:val="16"/>
              </w:rPr>
              <w:t>100%</w:t>
            </w:r>
          </w:p>
        </w:tc>
        <w:tc>
          <w:tcPr>
            <w:tcW w:w="475" w:type="dxa"/>
            <w:tcBorders>
              <w:top w:val="single" w:color="auto" w:sz="10" w:space="0"/>
              <w:left w:val="single" w:color="auto" w:sz="10" w:space="0"/>
              <w:bottom w:val="single" w:color="auto" w:sz="10" w:space="0"/>
              <w:right w:val="single" w:color="auto" w:sz="10" w:space="0"/>
              <w:insideV w:val="single" w:sz="10" w:space="0"/>
            </w:tcBorders>
            <w:vAlign w:val="center"/>
          </w:tcPr>
          <w:p w14:paraId="18BE123B">
            <w:pPr>
              <w:jc w:val="center"/>
            </w:pPr>
            <w:r>
              <w:rPr>
                <w:rFonts w:ascii="宋体" w:hAnsi="宋体" w:eastAsia="宋体"/>
                <w:sz w:val="16"/>
              </w:rPr>
              <w:t>10</w:t>
            </w:r>
          </w:p>
        </w:tc>
        <w:tc>
          <w:tcPr>
            <w:tcW w:w="789" w:type="dxa"/>
            <w:tcBorders>
              <w:top w:val="single" w:color="auto" w:sz="10" w:space="0"/>
              <w:left w:val="single" w:color="auto" w:sz="10" w:space="0"/>
              <w:bottom w:val="single" w:color="auto" w:sz="10" w:space="0"/>
              <w:right w:val="single" w:color="auto" w:sz="10" w:space="0"/>
              <w:insideV w:val="single" w:sz="10" w:space="0"/>
            </w:tcBorders>
            <w:vAlign w:val="center"/>
          </w:tcPr>
          <w:p w14:paraId="360311DF">
            <w:pPr>
              <w:jc w:val="center"/>
            </w:pPr>
          </w:p>
        </w:tc>
      </w:tr>
      <w:tr w14:paraId="119288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8B65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57EB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FC22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08D85">
            <w:pPr>
              <w:jc w:val="center"/>
            </w:pPr>
            <w:r>
              <w:rPr>
                <w:rFonts w:ascii="宋体" w:hAnsi="宋体" w:eastAsia="宋体"/>
                <w:sz w:val="16"/>
              </w:rPr>
              <w:t>项目完成时间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4EB2326">
            <w:pPr>
              <w:jc w:val="center"/>
            </w:pPr>
            <w:r>
              <w:rPr>
                <w:rFonts w:ascii="宋体" w:hAnsi="宋体" w:eastAsia="宋体"/>
                <w:sz w:val="16"/>
              </w:rPr>
              <w:t>2024年12月31日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DF7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51CA4">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83CE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D324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A06CF">
            <w:pPr>
              <w:jc w:val="center"/>
            </w:pPr>
            <w:r>
              <w:rPr>
                <w:rFonts w:ascii="宋体" w:hAnsi="宋体" w:eastAsia="宋体"/>
                <w:sz w:val="16"/>
              </w:rPr>
              <w:t>正式材料,工作资料,原始凭证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07862FD">
            <w:pPr>
              <w:jc w:val="center"/>
            </w:pPr>
            <w:r>
              <w:rPr>
                <w:rFonts w:ascii="宋体" w:hAnsi="宋体" w:eastAsia="宋体"/>
                <w:sz w:val="16"/>
              </w:rPr>
              <w:t>=2024年12月31日</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ACF0FE9">
            <w:pPr>
              <w:jc w:val="center"/>
            </w:pPr>
            <w:r>
              <w:rPr>
                <w:rFonts w:ascii="宋体" w:hAnsi="宋体" w:eastAsia="宋体"/>
                <w:sz w:val="16"/>
              </w:rPr>
              <w:t>100%</w:t>
            </w:r>
          </w:p>
        </w:tc>
        <w:tc>
          <w:tcPr>
            <w:tcW w:w="475" w:type="dxa"/>
            <w:tcBorders>
              <w:top w:val="single" w:color="auto" w:sz="10" w:space="0"/>
              <w:left w:val="single" w:color="auto" w:sz="10" w:space="0"/>
              <w:bottom w:val="single" w:color="auto" w:sz="10" w:space="0"/>
              <w:right w:val="single" w:color="auto" w:sz="10" w:space="0"/>
              <w:insideV w:val="single" w:sz="10" w:space="0"/>
            </w:tcBorders>
            <w:vAlign w:val="center"/>
          </w:tcPr>
          <w:p w14:paraId="5CB7D639">
            <w:pPr>
              <w:jc w:val="center"/>
            </w:pPr>
            <w:r>
              <w:rPr>
                <w:rFonts w:ascii="宋体" w:hAnsi="宋体" w:eastAsia="宋体"/>
                <w:sz w:val="16"/>
              </w:rPr>
              <w:t>10</w:t>
            </w:r>
          </w:p>
        </w:tc>
        <w:tc>
          <w:tcPr>
            <w:tcW w:w="789" w:type="dxa"/>
            <w:tcBorders>
              <w:top w:val="single" w:color="auto" w:sz="10" w:space="0"/>
              <w:left w:val="single" w:color="auto" w:sz="10" w:space="0"/>
              <w:bottom w:val="single" w:color="auto" w:sz="10" w:space="0"/>
              <w:right w:val="single" w:color="auto" w:sz="10" w:space="0"/>
              <w:insideV w:val="single" w:sz="10" w:space="0"/>
            </w:tcBorders>
            <w:vAlign w:val="center"/>
          </w:tcPr>
          <w:p w14:paraId="15D40EEC">
            <w:pPr>
              <w:jc w:val="center"/>
            </w:pPr>
          </w:p>
        </w:tc>
      </w:tr>
      <w:tr w14:paraId="1DD92D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9FB78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D02FD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3EF94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E7E09">
            <w:pPr>
              <w:jc w:val="center"/>
            </w:pPr>
            <w:r>
              <w:rPr>
                <w:rFonts w:ascii="宋体" w:hAnsi="宋体" w:eastAsia="宋体"/>
                <w:sz w:val="16"/>
              </w:rPr>
              <w:t>每人标准交通费</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2CADF39">
            <w:pPr>
              <w:jc w:val="center"/>
            </w:pPr>
            <w:r>
              <w:rPr>
                <w:rFonts w:ascii="宋体" w:hAnsi="宋体" w:eastAsia="宋体"/>
                <w:sz w:val="16"/>
              </w:rPr>
              <w:t>&lt;=2450元/人·次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DF3D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C6217">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B2666">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0BA8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CBAEB">
            <w:pPr>
              <w:jc w:val="center"/>
            </w:pPr>
            <w:r>
              <w:rPr>
                <w:rFonts w:ascii="宋体" w:hAnsi="宋体" w:eastAsia="宋体"/>
                <w:sz w:val="16"/>
              </w:rPr>
              <w:t>正式材料,原始凭证,工作资料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87E3B96">
            <w:pPr>
              <w:jc w:val="center"/>
            </w:pPr>
            <w:r>
              <w:rPr>
                <w:rFonts w:ascii="宋体" w:hAnsi="宋体" w:eastAsia="宋体"/>
                <w:sz w:val="16"/>
              </w:rPr>
              <w:t>=2450元/人·次</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2863C3D">
            <w:pPr>
              <w:jc w:val="center"/>
            </w:pPr>
            <w:r>
              <w:rPr>
                <w:rFonts w:ascii="宋体" w:hAnsi="宋体" w:eastAsia="宋体"/>
                <w:sz w:val="16"/>
              </w:rPr>
              <w:t>100%</w:t>
            </w:r>
          </w:p>
        </w:tc>
        <w:tc>
          <w:tcPr>
            <w:tcW w:w="475" w:type="dxa"/>
            <w:tcBorders>
              <w:top w:val="single" w:color="auto" w:sz="10" w:space="0"/>
              <w:left w:val="single" w:color="auto" w:sz="10" w:space="0"/>
              <w:bottom w:val="single" w:color="auto" w:sz="10" w:space="0"/>
              <w:right w:val="single" w:color="auto" w:sz="10" w:space="0"/>
              <w:insideV w:val="single" w:sz="10" w:space="0"/>
            </w:tcBorders>
            <w:vAlign w:val="center"/>
          </w:tcPr>
          <w:p w14:paraId="129D0501">
            <w:pPr>
              <w:jc w:val="center"/>
            </w:pPr>
            <w:r>
              <w:rPr>
                <w:rFonts w:ascii="宋体" w:hAnsi="宋体" w:eastAsia="宋体"/>
                <w:sz w:val="16"/>
              </w:rPr>
              <w:t>15</w:t>
            </w:r>
          </w:p>
        </w:tc>
        <w:tc>
          <w:tcPr>
            <w:tcW w:w="789" w:type="dxa"/>
            <w:tcBorders>
              <w:top w:val="single" w:color="auto" w:sz="10" w:space="0"/>
              <w:left w:val="single" w:color="auto" w:sz="10" w:space="0"/>
              <w:bottom w:val="single" w:color="auto" w:sz="10" w:space="0"/>
              <w:right w:val="single" w:color="auto" w:sz="10" w:space="0"/>
              <w:insideV w:val="single" w:sz="10" w:space="0"/>
            </w:tcBorders>
            <w:vAlign w:val="center"/>
          </w:tcPr>
          <w:p w14:paraId="43F9BF73">
            <w:pPr>
              <w:jc w:val="center"/>
            </w:pPr>
          </w:p>
        </w:tc>
      </w:tr>
      <w:tr w14:paraId="38910F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1EDE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E937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F232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48F55">
            <w:pPr>
              <w:jc w:val="center"/>
            </w:pPr>
            <w:r>
              <w:rPr>
                <w:rFonts w:ascii="宋体" w:hAnsi="宋体" w:eastAsia="宋体"/>
                <w:sz w:val="16"/>
              </w:rPr>
              <w:t>交通预备费</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A0752A1">
            <w:pPr>
              <w:jc w:val="center"/>
            </w:pPr>
            <w:r>
              <w:rPr>
                <w:rFonts w:ascii="宋体" w:hAnsi="宋体" w:eastAsia="宋体"/>
                <w:sz w:val="16"/>
              </w:rPr>
              <w:t>&lt;=1200元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CC40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4E186">
            <w:pPr>
              <w:jc w:val="center"/>
            </w:pPr>
            <w:r>
              <w:rPr>
                <w:rFonts w:ascii="宋体" w:hAnsi="宋体" w:eastAsia="宋体"/>
                <w:sz w:val="16"/>
              </w:rPr>
              <w:t>上年无测值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4415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B9FA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D687F">
            <w:pPr>
              <w:jc w:val="center"/>
            </w:pPr>
            <w:r>
              <w:rPr>
                <w:rFonts w:ascii="宋体" w:hAnsi="宋体" w:eastAsia="宋体"/>
                <w:sz w:val="16"/>
              </w:rPr>
              <w:t>正式材料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56B5AA0">
            <w:pPr>
              <w:jc w:val="center"/>
            </w:pPr>
            <w:r>
              <w:rPr>
                <w:rFonts w:ascii="宋体" w:hAnsi="宋体" w:eastAsia="宋体"/>
                <w:sz w:val="16"/>
              </w:rPr>
              <w:t>=0元</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03A3651">
            <w:pPr>
              <w:jc w:val="center"/>
            </w:pPr>
            <w:r>
              <w:rPr>
                <w:rFonts w:ascii="宋体" w:hAnsi="宋体" w:eastAsia="宋体"/>
                <w:sz w:val="16"/>
              </w:rPr>
              <w:t>0%</w:t>
            </w:r>
          </w:p>
        </w:tc>
        <w:tc>
          <w:tcPr>
            <w:tcW w:w="475" w:type="dxa"/>
            <w:tcBorders>
              <w:top w:val="single" w:color="auto" w:sz="10" w:space="0"/>
              <w:left w:val="single" w:color="auto" w:sz="10" w:space="0"/>
              <w:bottom w:val="single" w:color="auto" w:sz="10" w:space="0"/>
              <w:right w:val="single" w:color="auto" w:sz="10" w:space="0"/>
              <w:insideV w:val="single" w:sz="10" w:space="0"/>
            </w:tcBorders>
            <w:vAlign w:val="center"/>
          </w:tcPr>
          <w:p w14:paraId="29B409F1">
            <w:pPr>
              <w:jc w:val="center"/>
            </w:pPr>
            <w:r>
              <w:rPr>
                <w:rFonts w:ascii="宋体" w:hAnsi="宋体" w:eastAsia="宋体"/>
                <w:sz w:val="16"/>
              </w:rPr>
              <w:t>0</w:t>
            </w:r>
          </w:p>
        </w:tc>
        <w:tc>
          <w:tcPr>
            <w:tcW w:w="789" w:type="dxa"/>
            <w:tcBorders>
              <w:top w:val="single" w:color="auto" w:sz="10" w:space="0"/>
              <w:left w:val="single" w:color="auto" w:sz="10" w:space="0"/>
              <w:bottom w:val="single" w:color="auto" w:sz="10" w:space="0"/>
              <w:right w:val="single" w:color="auto" w:sz="10" w:space="0"/>
              <w:insideV w:val="single" w:sz="10" w:space="0"/>
            </w:tcBorders>
            <w:vAlign w:val="center"/>
          </w:tcPr>
          <w:p w14:paraId="095CFC17">
            <w:pPr>
              <w:jc w:val="center"/>
            </w:pPr>
            <w:r>
              <w:rPr>
                <w:rFonts w:ascii="宋体" w:hAnsi="宋体" w:eastAsia="宋体"/>
                <w:sz w:val="16"/>
              </w:rPr>
              <w:t>上级单位未拨付资金</w:t>
            </w:r>
          </w:p>
        </w:tc>
      </w:tr>
      <w:tr w14:paraId="6CD386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7BE8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67F8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CE94A">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F9722">
            <w:pPr>
              <w:jc w:val="center"/>
            </w:pPr>
            <w:r>
              <w:rPr>
                <w:rFonts w:ascii="宋体" w:hAnsi="宋体" w:eastAsia="宋体"/>
                <w:sz w:val="16"/>
              </w:rPr>
              <w:t>提升培训人员工作素质</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A7B110A">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DD8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8A626">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1A59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1FA0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F41F0">
            <w:pPr>
              <w:jc w:val="center"/>
            </w:pPr>
            <w:r>
              <w:rPr>
                <w:rFonts w:ascii="宋体" w:hAnsi="宋体" w:eastAsia="宋体"/>
                <w:sz w:val="16"/>
              </w:rPr>
              <w:t>工作资料,说明材料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766D745">
            <w:pPr>
              <w:jc w:val="center"/>
            </w:pPr>
            <w:r>
              <w:rPr>
                <w:rFonts w:ascii="宋体" w:hAnsi="宋体" w:eastAsia="宋体"/>
                <w:sz w:val="16"/>
              </w:rPr>
              <w:t>效果显著</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85188FC">
            <w:pPr>
              <w:jc w:val="center"/>
            </w:pPr>
            <w:r>
              <w:rPr>
                <w:rFonts w:ascii="宋体" w:hAnsi="宋体" w:eastAsia="宋体"/>
                <w:sz w:val="16"/>
              </w:rPr>
              <w:t>100%</w:t>
            </w:r>
          </w:p>
        </w:tc>
        <w:tc>
          <w:tcPr>
            <w:tcW w:w="475" w:type="dxa"/>
            <w:tcBorders>
              <w:top w:val="single" w:color="auto" w:sz="10" w:space="0"/>
              <w:left w:val="single" w:color="auto" w:sz="10" w:space="0"/>
              <w:bottom w:val="single" w:color="auto" w:sz="10" w:space="0"/>
              <w:right w:val="single" w:color="auto" w:sz="10" w:space="0"/>
              <w:insideV w:val="single" w:sz="10" w:space="0"/>
            </w:tcBorders>
            <w:vAlign w:val="center"/>
          </w:tcPr>
          <w:p w14:paraId="7AE3A9EA">
            <w:pPr>
              <w:jc w:val="center"/>
            </w:pPr>
            <w:r>
              <w:rPr>
                <w:rFonts w:ascii="宋体" w:hAnsi="宋体" w:eastAsia="宋体"/>
                <w:sz w:val="16"/>
              </w:rPr>
              <w:t>20</w:t>
            </w:r>
          </w:p>
        </w:tc>
        <w:tc>
          <w:tcPr>
            <w:tcW w:w="789" w:type="dxa"/>
            <w:tcBorders>
              <w:top w:val="single" w:color="auto" w:sz="10" w:space="0"/>
              <w:left w:val="single" w:color="auto" w:sz="10" w:space="0"/>
              <w:bottom w:val="single" w:color="auto" w:sz="10" w:space="0"/>
              <w:right w:val="single" w:color="auto" w:sz="10" w:space="0"/>
              <w:insideV w:val="single" w:sz="10" w:space="0"/>
            </w:tcBorders>
            <w:vAlign w:val="center"/>
          </w:tcPr>
          <w:p w14:paraId="22403868">
            <w:pPr>
              <w:jc w:val="center"/>
            </w:pPr>
          </w:p>
        </w:tc>
      </w:tr>
      <w:tr w14:paraId="4FD64E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2348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E49D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0F7B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2E083">
            <w:pPr>
              <w:jc w:val="center"/>
            </w:pPr>
            <w:r>
              <w:rPr>
                <w:rFonts w:ascii="宋体" w:hAnsi="宋体" w:eastAsia="宋体"/>
                <w:sz w:val="16"/>
              </w:rPr>
              <w:t>工作人员对本单位发放奖励工作的满意度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AC1AFE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1B10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E44C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D835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5193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D1A5A">
            <w:pPr>
              <w:jc w:val="center"/>
            </w:pPr>
            <w:r>
              <w:rPr>
                <w:rFonts w:ascii="宋体" w:hAnsi="宋体" w:eastAsia="宋体"/>
                <w:sz w:val="16"/>
              </w:rPr>
              <w:t>工作资料,说明材料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6C374FD">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4AAC44F">
            <w:pPr>
              <w:jc w:val="center"/>
            </w:pPr>
            <w:r>
              <w:rPr>
                <w:rFonts w:ascii="宋体" w:hAnsi="宋体" w:eastAsia="宋体"/>
                <w:sz w:val="16"/>
              </w:rPr>
              <w:t>100%</w:t>
            </w:r>
          </w:p>
        </w:tc>
        <w:tc>
          <w:tcPr>
            <w:tcW w:w="475" w:type="dxa"/>
            <w:tcBorders>
              <w:top w:val="single" w:color="auto" w:sz="10" w:space="0"/>
              <w:left w:val="single" w:color="auto" w:sz="10" w:space="0"/>
              <w:bottom w:val="single" w:color="auto" w:sz="10" w:space="0"/>
              <w:right w:val="single" w:color="auto" w:sz="10" w:space="0"/>
              <w:insideV w:val="single" w:sz="10" w:space="0"/>
            </w:tcBorders>
            <w:vAlign w:val="center"/>
          </w:tcPr>
          <w:p w14:paraId="49149123">
            <w:pPr>
              <w:jc w:val="center"/>
            </w:pPr>
            <w:r>
              <w:rPr>
                <w:rFonts w:ascii="宋体" w:hAnsi="宋体" w:eastAsia="宋体"/>
                <w:sz w:val="16"/>
              </w:rPr>
              <w:t>10</w:t>
            </w:r>
          </w:p>
        </w:tc>
        <w:tc>
          <w:tcPr>
            <w:tcW w:w="789" w:type="dxa"/>
            <w:tcBorders>
              <w:top w:val="single" w:color="auto" w:sz="10" w:space="0"/>
              <w:left w:val="single" w:color="auto" w:sz="10" w:space="0"/>
              <w:bottom w:val="single" w:color="auto" w:sz="10" w:space="0"/>
              <w:right w:val="single" w:color="auto" w:sz="10" w:space="0"/>
              <w:insideV w:val="single" w:sz="10" w:space="0"/>
            </w:tcBorders>
            <w:vAlign w:val="center"/>
          </w:tcPr>
          <w:p w14:paraId="336F8D46">
            <w:pPr>
              <w:jc w:val="center"/>
            </w:pPr>
          </w:p>
        </w:tc>
      </w:tr>
      <w:tr w14:paraId="61593A52">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4E9D165">
            <w:pPr>
              <w:jc w:val="center"/>
            </w:pPr>
            <w:r>
              <w:rPr>
                <w:rFonts w:ascii="宋体" w:hAnsi="宋体" w:eastAsia="宋体"/>
                <w:sz w:val="16"/>
              </w:rPr>
              <w:t>总分</w:t>
            </w:r>
          </w:p>
        </w:tc>
        <w:tc>
          <w:tcPr>
            <w:tcW w:w="696" w:type="dxa"/>
            <w:tcBorders>
              <w:top w:val="single" w:color="auto" w:sz="10" w:space="0"/>
              <w:left w:val="single" w:color="auto" w:sz="10" w:space="0"/>
              <w:bottom w:val="single" w:color="auto" w:sz="10" w:space="0"/>
              <w:right w:val="single" w:color="auto" w:sz="10" w:space="0"/>
              <w:insideV w:val="single" w:sz="10" w:space="0"/>
            </w:tcBorders>
          </w:tcPr>
          <w:p w14:paraId="437BBFD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6B7220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EFCE82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BC3E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44B349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4DA3693"/>
        </w:tc>
        <w:tc>
          <w:tcPr>
            <w:tcW w:w="696" w:type="dxa"/>
            <w:tcBorders>
              <w:top w:val="single" w:color="auto" w:sz="10" w:space="0"/>
              <w:left w:val="single" w:color="auto" w:sz="10" w:space="0"/>
              <w:bottom w:val="single" w:color="auto" w:sz="10" w:space="0"/>
              <w:right w:val="single" w:color="auto" w:sz="10" w:space="0"/>
              <w:insideV w:val="single" w:sz="10" w:space="0"/>
            </w:tcBorders>
          </w:tcPr>
          <w:p w14:paraId="7090B5F5"/>
        </w:tc>
        <w:tc>
          <w:tcPr>
            <w:tcW w:w="696" w:type="dxa"/>
            <w:tcBorders>
              <w:top w:val="single" w:color="auto" w:sz="10" w:space="0"/>
              <w:left w:val="single" w:color="auto" w:sz="10" w:space="0"/>
              <w:bottom w:val="single" w:color="auto" w:sz="10" w:space="0"/>
              <w:right w:val="single" w:color="auto" w:sz="10" w:space="0"/>
              <w:insideV w:val="single" w:sz="10" w:space="0"/>
            </w:tcBorders>
          </w:tcPr>
          <w:p w14:paraId="5CD83006"/>
        </w:tc>
        <w:tc>
          <w:tcPr>
            <w:tcW w:w="475" w:type="dxa"/>
            <w:tcBorders>
              <w:top w:val="single" w:color="auto" w:sz="10" w:space="0"/>
              <w:left w:val="single" w:color="auto" w:sz="10" w:space="0"/>
              <w:bottom w:val="single" w:color="auto" w:sz="10" w:space="0"/>
              <w:right w:val="single" w:color="auto" w:sz="10" w:space="0"/>
              <w:insideV w:val="single" w:sz="10" w:space="0"/>
            </w:tcBorders>
            <w:vAlign w:val="center"/>
          </w:tcPr>
          <w:p w14:paraId="2DA23B7E">
            <w:pPr>
              <w:jc w:val="center"/>
            </w:pPr>
            <w:r>
              <w:rPr>
                <w:rFonts w:ascii="宋体" w:hAnsi="宋体" w:eastAsia="宋体"/>
                <w:sz w:val="16"/>
              </w:rPr>
              <w:t>88.19分</w:t>
            </w:r>
          </w:p>
        </w:tc>
        <w:tc>
          <w:tcPr>
            <w:tcW w:w="789" w:type="dxa"/>
            <w:tcBorders>
              <w:top w:val="single" w:color="auto" w:sz="10" w:space="0"/>
              <w:left w:val="single" w:color="auto" w:sz="10" w:space="0"/>
              <w:bottom w:val="single" w:color="auto" w:sz="10" w:space="0"/>
              <w:right w:val="single" w:color="auto" w:sz="10" w:space="0"/>
              <w:insideV w:val="single" w:sz="10" w:space="0"/>
            </w:tcBorders>
          </w:tcPr>
          <w:p w14:paraId="444FB5C4"/>
        </w:tc>
      </w:tr>
    </w:tbl>
    <w:p w14:paraId="4438198F">
      <w:r>
        <w:br w:type="page"/>
      </w:r>
    </w:p>
    <w:p w14:paraId="10BB06F2">
      <w:pPr>
        <w:spacing w:line="640" w:lineRule="exact"/>
        <w:ind w:firstLine="640"/>
        <w:jc w:val="both"/>
        <w:outlineLvl w:val="2"/>
      </w:pPr>
      <w:r>
        <w:rPr>
          <w:rFonts w:ascii="黑体" w:hAnsi="黑体" w:eastAsia="黑体"/>
          <w:sz w:val="32"/>
        </w:rPr>
        <w:t>十二、其他需说明的事项</w:t>
      </w:r>
    </w:p>
    <w:p w14:paraId="5A3DF90C">
      <w:pPr>
        <w:spacing w:line="580" w:lineRule="exact"/>
        <w:ind w:firstLine="640"/>
        <w:jc w:val="both"/>
      </w:pPr>
      <w:r>
        <w:rPr>
          <w:rFonts w:ascii="仿宋_GB2312" w:hAnsi="仿宋_GB2312" w:eastAsia="仿宋_GB2312"/>
          <w:b w:val="0"/>
          <w:sz w:val="32"/>
        </w:rPr>
        <w:t>本年本单位不予公开项目</w:t>
      </w:r>
      <w:r>
        <w:rPr>
          <w:rFonts w:hint="eastAsia" w:ascii="仿宋_GB2312" w:hAnsi="仿宋_GB2312" w:eastAsia="仿宋_GB2312"/>
          <w:b w:val="0"/>
          <w:sz w:val="32"/>
          <w:lang w:val="en-US" w:eastAsia="zh-CN"/>
        </w:rPr>
        <w:t>15</w:t>
      </w:r>
      <w:r>
        <w:rPr>
          <w:rFonts w:ascii="仿宋_GB2312" w:hAnsi="仿宋_GB2312" w:eastAsia="仿宋_GB2312"/>
          <w:b w:val="0"/>
          <w:sz w:val="32"/>
        </w:rPr>
        <w:t>个，全年预算数</w:t>
      </w:r>
      <w:r>
        <w:rPr>
          <w:rFonts w:hint="eastAsia" w:ascii="仿宋_GB2312" w:hAnsi="仿宋_GB2312" w:eastAsia="仿宋_GB2312"/>
          <w:b w:val="0"/>
          <w:sz w:val="32"/>
        </w:rPr>
        <w:t>888.34</w:t>
      </w:r>
      <w:r>
        <w:rPr>
          <w:rFonts w:ascii="仿宋_GB2312" w:hAnsi="仿宋_GB2312" w:eastAsia="仿宋_GB2312"/>
          <w:b w:val="0"/>
          <w:sz w:val="32"/>
        </w:rPr>
        <w:t>万元，全年执行数</w:t>
      </w:r>
      <w:r>
        <w:rPr>
          <w:rFonts w:hint="eastAsia" w:ascii="仿宋_GB2312" w:hAnsi="仿宋_GB2312" w:eastAsia="仿宋_GB2312"/>
          <w:b w:val="0"/>
          <w:sz w:val="32"/>
        </w:rPr>
        <w:t>772.98</w:t>
      </w:r>
      <w:r>
        <w:rPr>
          <w:rFonts w:ascii="仿宋_GB2312" w:hAnsi="仿宋_GB2312" w:eastAsia="仿宋_GB2312"/>
          <w:b w:val="0"/>
          <w:sz w:val="32"/>
        </w:rPr>
        <w:t>万元。</w:t>
      </w:r>
    </w:p>
    <w:p w14:paraId="4AD4E761">
      <w:r>
        <w:br w:type="page"/>
      </w:r>
      <w:bookmarkStart w:id="0" w:name="_GoBack"/>
      <w:bookmarkEnd w:id="0"/>
    </w:p>
    <w:p w14:paraId="5CF44195">
      <w:pPr>
        <w:spacing w:line="240" w:lineRule="auto"/>
        <w:jc w:val="center"/>
        <w:outlineLvl w:val="1"/>
      </w:pPr>
      <w:r>
        <w:rPr>
          <w:rFonts w:ascii="黑体" w:hAnsi="黑体" w:eastAsia="黑体"/>
          <w:sz w:val="32"/>
        </w:rPr>
        <w:t>第三部分 专业名词解释</w:t>
      </w:r>
    </w:p>
    <w:p w14:paraId="3EC9D197">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91765F7">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06BF585">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2D350BD">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435246B">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A35C94F">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C12BE63">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7DC7A51">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894D8E3">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9ACD62A">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679050FE">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7C7C4B4">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5C2A10C">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6545E52">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D789616">
      <w:r>
        <w:br w:type="page"/>
      </w:r>
    </w:p>
    <w:p w14:paraId="401F6DFD">
      <w:pPr>
        <w:spacing w:line="240" w:lineRule="auto"/>
        <w:jc w:val="center"/>
        <w:outlineLvl w:val="1"/>
      </w:pPr>
      <w:r>
        <w:rPr>
          <w:rFonts w:ascii="黑体" w:hAnsi="黑体" w:eastAsia="黑体"/>
          <w:sz w:val="32"/>
        </w:rPr>
        <w:t>第四部分 部门决算报表（见附表）</w:t>
      </w:r>
    </w:p>
    <w:p w14:paraId="42B4530E">
      <w:pPr>
        <w:spacing w:line="240" w:lineRule="auto"/>
        <w:ind w:firstLine="640"/>
        <w:jc w:val="both"/>
      </w:pPr>
      <w:r>
        <w:rPr>
          <w:rFonts w:ascii="仿宋_GB2312" w:hAnsi="仿宋_GB2312" w:eastAsia="仿宋_GB2312"/>
          <w:b w:val="0"/>
          <w:sz w:val="32"/>
        </w:rPr>
        <w:t>一、《收入支出决算总表》</w:t>
      </w:r>
    </w:p>
    <w:p w14:paraId="6AAA3C98">
      <w:pPr>
        <w:spacing w:line="240" w:lineRule="auto"/>
        <w:ind w:firstLine="640"/>
        <w:jc w:val="both"/>
      </w:pPr>
      <w:r>
        <w:rPr>
          <w:rFonts w:ascii="仿宋_GB2312" w:hAnsi="仿宋_GB2312" w:eastAsia="仿宋_GB2312"/>
          <w:b w:val="0"/>
          <w:sz w:val="32"/>
        </w:rPr>
        <w:t>二、《收入决算表》</w:t>
      </w:r>
    </w:p>
    <w:p w14:paraId="071EC4CE">
      <w:pPr>
        <w:spacing w:line="240" w:lineRule="auto"/>
        <w:ind w:firstLine="640"/>
        <w:jc w:val="both"/>
      </w:pPr>
      <w:r>
        <w:rPr>
          <w:rFonts w:ascii="仿宋_GB2312" w:hAnsi="仿宋_GB2312" w:eastAsia="仿宋_GB2312"/>
          <w:b w:val="0"/>
          <w:sz w:val="32"/>
        </w:rPr>
        <w:t>三、《支出决算表》</w:t>
      </w:r>
    </w:p>
    <w:p w14:paraId="0FC5E56B">
      <w:pPr>
        <w:spacing w:line="240" w:lineRule="auto"/>
        <w:ind w:firstLine="640"/>
        <w:jc w:val="both"/>
      </w:pPr>
      <w:r>
        <w:rPr>
          <w:rFonts w:ascii="仿宋_GB2312" w:hAnsi="仿宋_GB2312" w:eastAsia="仿宋_GB2312"/>
          <w:b w:val="0"/>
          <w:sz w:val="32"/>
        </w:rPr>
        <w:t>四、《财政拨款收入支出决算总表》</w:t>
      </w:r>
    </w:p>
    <w:p w14:paraId="3FEAF2D2">
      <w:pPr>
        <w:spacing w:line="240" w:lineRule="auto"/>
        <w:ind w:firstLine="640"/>
        <w:jc w:val="both"/>
      </w:pPr>
      <w:r>
        <w:rPr>
          <w:rFonts w:ascii="仿宋_GB2312" w:hAnsi="仿宋_GB2312" w:eastAsia="仿宋_GB2312"/>
          <w:b w:val="0"/>
          <w:sz w:val="32"/>
        </w:rPr>
        <w:t>五、《一般公共预算财政拨款支出决算表》</w:t>
      </w:r>
    </w:p>
    <w:p w14:paraId="2122A3AF">
      <w:pPr>
        <w:spacing w:line="240" w:lineRule="auto"/>
        <w:ind w:firstLine="640"/>
        <w:jc w:val="both"/>
      </w:pPr>
      <w:r>
        <w:rPr>
          <w:rFonts w:ascii="仿宋_GB2312" w:hAnsi="仿宋_GB2312" w:eastAsia="仿宋_GB2312"/>
          <w:b w:val="0"/>
          <w:sz w:val="32"/>
        </w:rPr>
        <w:t>六、《一般公共预算财政拨款基本支出决算表》</w:t>
      </w:r>
    </w:p>
    <w:p w14:paraId="1E7C30DF">
      <w:pPr>
        <w:spacing w:line="240" w:lineRule="auto"/>
        <w:ind w:firstLine="640"/>
        <w:jc w:val="both"/>
      </w:pPr>
      <w:r>
        <w:rPr>
          <w:rFonts w:ascii="仿宋_GB2312" w:hAnsi="仿宋_GB2312" w:eastAsia="仿宋_GB2312"/>
          <w:b w:val="0"/>
          <w:sz w:val="32"/>
        </w:rPr>
        <w:t>七、《政府性基金预算财政拨款收入支出决算表》</w:t>
      </w:r>
    </w:p>
    <w:p w14:paraId="5ADA2E32">
      <w:pPr>
        <w:spacing w:line="240" w:lineRule="auto"/>
        <w:ind w:firstLine="640"/>
        <w:jc w:val="both"/>
      </w:pPr>
      <w:r>
        <w:rPr>
          <w:rFonts w:ascii="仿宋_GB2312" w:hAnsi="仿宋_GB2312" w:eastAsia="仿宋_GB2312"/>
          <w:b w:val="0"/>
          <w:sz w:val="32"/>
        </w:rPr>
        <w:t>八、《国有资本经营预算财政拨款收入支出决算表》</w:t>
      </w:r>
    </w:p>
    <w:p w14:paraId="16DDD407">
      <w:pPr>
        <w:spacing w:line="240" w:lineRule="auto"/>
        <w:ind w:firstLine="640"/>
        <w:jc w:val="both"/>
      </w:pPr>
      <w:r>
        <w:rPr>
          <w:rFonts w:ascii="仿宋_GB2312" w:hAnsi="仿宋_GB2312" w:eastAsia="仿宋_GB2312"/>
          <w:b w:val="0"/>
          <w:sz w:val="32"/>
        </w:rPr>
        <w:t>九、《财政拨款“三公”经费支出决算表》</w:t>
      </w:r>
    </w:p>
    <w:p w14:paraId="0DBAA8BB">
      <w:pPr>
        <w:spacing w:line="240" w:lineRule="auto"/>
        <w:ind w:firstLine="640"/>
        <w:jc w:val="both"/>
      </w:pPr>
    </w:p>
    <w:p w14:paraId="19D90FE3">
      <w:pPr>
        <w:spacing w:line="240" w:lineRule="auto"/>
        <w:ind w:firstLine="640"/>
        <w:jc w:val="both"/>
      </w:pPr>
    </w:p>
    <w:p w14:paraId="2C645B89">
      <w:pPr>
        <w:spacing w:line="240" w:lineRule="auto"/>
        <w:ind w:firstLine="640"/>
        <w:jc w:val="both"/>
      </w:pPr>
    </w:p>
    <w:p w14:paraId="0C89430D">
      <w:pPr>
        <w:spacing w:line="240" w:lineRule="auto"/>
        <w:ind w:firstLine="640"/>
        <w:jc w:val="both"/>
      </w:pPr>
    </w:p>
    <w:p w14:paraId="38CECFB1">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D6A05D7-3813-41F5-9A0A-C42D855E156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A9B2758E-FABA-4A30-B65E-BBE1F905586B}"/>
  </w:font>
  <w:font w:name="仿宋_GB2312">
    <w:panose1 w:val="02010609030101010101"/>
    <w:charset w:val="86"/>
    <w:family w:val="modern"/>
    <w:pitch w:val="default"/>
    <w:sig w:usb0="00000001" w:usb1="080E0000" w:usb2="00000000" w:usb3="00000000" w:csb0="00040000" w:csb1="00000000"/>
    <w:embedRegular r:id="rId3" w:fontKey="{47124B28-1D0F-4EEC-8CCB-0A8135715A57}"/>
  </w:font>
  <w:font w:name="楷体_GB2312">
    <w:panose1 w:val="02010609030101010101"/>
    <w:charset w:val="86"/>
    <w:family w:val="auto"/>
    <w:pitch w:val="default"/>
    <w:sig w:usb0="00000001" w:usb1="080E0000" w:usb2="00000000" w:usb3="00000000" w:csb0="00040000" w:csb1="00000000"/>
    <w:embedRegular r:id="rId4" w:fontKey="{BF20A3E2-F0C6-4F2D-AC1A-CCDE573FA8BD}"/>
  </w:font>
  <w:font w:name="WPSEMBED39">
    <w:panose1 w:val="02010609030101010101"/>
    <w:charset w:val="86"/>
    <w:family w:val="auto"/>
    <w:pitch w:val="default"/>
    <w:sig w:usb0="00000001" w:usb1="080E0000" w:usb2="00000000" w:usb3="00000000" w:csb0="00040000" w:csb1="00000000"/>
  </w:font>
  <w:font w:name="WPSEMBED40">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254941"/>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BD75C65"/>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272BBB"/>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2a422a5f-7d5a-4f2b-9ed7-db321b69634a</errorID>
      <errorWord>维稳</errorWord>
      <group>L1_Sensitive</group>
      <groupName>敏感问题</groupName>
      <ability>L2_UserSensitive</ability>
      <abilityName>自定义敏感词</abilityName>
      <candidateList/>
      <explain>来自自定义敏感词库。</explain>
      <paraID>51C042FA</paraID>
      <start>44</start>
      <end>46</end>
      <status>unmodified</status>
      <modifiedWord/>
      <trackRevisions>false</trackRevisions>
    </reviewItem>
    <reviewItem>
      <errorID>851f1bf6-227c-4f2c-afdd-15d7dd18d9cb</errorID>
      <errorWord>2月31日</errorWord>
      <group>L1_Sensitive</group>
      <groupName>敏感问题</groupName>
      <ability>L2_UserSensitive</ability>
      <abilityName>自定义敏感词</abilityName>
      <candidateList/>
      <explain>来自自定义敏感词库。</explain>
      <paraID>4972E480</paraID>
      <start>8</start>
      <end>13</end>
      <status>unmodified</status>
      <modifiedWord/>
      <trackRevisions>false</trackRevisions>
    </reviewItem>
    <reviewItem>
      <errorID>bef218c9-4176-484b-ae02-760c4190fbcd</errorID>
      <errorWord>及时地</errorWord>
      <group>L1_Word</group>
      <groupName>字词问题</groupName>
      <ability>L2_Typo</ability>
      <abilityName>字词错误</abilityName>
      <candidateList>
        <item>及时</item>
      </candidateList>
      <explain>❶〈形〉正赶上时候；适合需要：～雨｜他来得很～。❷〈副〉不拖延；马上；立刻：有问题就～解决。</explain>
      <paraID> AC47498</paraID>
      <start>257</start>
      <end>259</end>
      <status>modified</status>
      <modifiedWord>及时</modifiedWord>
      <trackRevisions>false</trackRevisions>
    </reviewItem>
    <reviewItem>
      <errorID>5fd9a58d-bfd9-45ce-aec2-12efad91f5cc</errorID>
      <errorWord>2月31日</errorWord>
      <group>L1_Sensitive</group>
      <groupName>敏感问题</groupName>
      <ability>L2_UserSensitive</ability>
      <abilityName>自定义敏感词</abilityName>
      <candidateList/>
      <explain>来自自定义敏感词库。</explain>
      <paraID>74EB2326</paraID>
      <start>6</start>
      <end>11</end>
      <status>unmodified</status>
      <modifiedWord/>
      <trackRevisions>false</trackRevisions>
    </reviewItem>
    <reviewItem>
      <errorID>eb54d580-7128-4404-aaf3-96cfcb4a4d83</errorID>
      <errorWord>2月31日</errorWord>
      <group>L1_Sensitive</group>
      <groupName>敏感问题</groupName>
      <ability>L2_UserSensitive</ability>
      <abilityName>自定义敏感词</abilityName>
      <candidateList/>
      <explain>来自自定义敏感词库。</explain>
      <paraID>207862FD</paraID>
      <start>7</start>
      <end>12</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b1eee4-a88f-41c1-b275-6d2a0db852e5}">
  <ds:schemaRefs/>
</ds:datastoreItem>
</file>

<file path=docProps/app.xml><?xml version="1.0" encoding="utf-8"?>
<Properties xmlns="http://schemas.openxmlformats.org/officeDocument/2006/extended-properties" xmlns:vt="http://schemas.openxmlformats.org/officeDocument/2006/docPropsVTypes">
  <Template>Normal.dotm</Template>
  <Pages>22</Pages>
  <Words>5694</Words>
  <Characters>6563</Characters>
  <Lines>0</Lines>
  <Paragraphs>0</Paragraphs>
  <TotalTime>11</TotalTime>
  <ScaleCrop>false</ScaleCrop>
  <LinksUpToDate>false</LinksUpToDate>
  <CharactersWithSpaces>6571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2025-11-27T10:39:45Z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