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中共托里县党校2024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60EAD3">
      <w:r>
        <w:br w:type="page"/>
      </w:r>
    </w:p>
    <w:p w14:paraId="20650C47">
      <w:pPr>
        <w:spacing w:line="640" w:lineRule="exact"/>
        <w:jc w:val="center"/>
        <w:outlineLvl w:val="1"/>
      </w:pPr>
      <w:r>
        <w:rPr>
          <w:rFonts w:ascii="黑体" w:hAnsi="黑体" w:eastAsia="黑体"/>
          <w:sz w:val="32"/>
        </w:rPr>
        <w:t>第一部分 单位概况</w:t>
      </w:r>
    </w:p>
    <w:p w14:paraId="1AE3A46C">
      <w:pPr>
        <w:spacing w:line="640" w:lineRule="exact"/>
        <w:ind w:firstLine="640"/>
        <w:jc w:val="both"/>
        <w:outlineLvl w:val="2"/>
      </w:pPr>
      <w:r>
        <w:rPr>
          <w:rFonts w:ascii="黑体" w:hAnsi="黑体" w:eastAsia="黑体"/>
          <w:sz w:val="32"/>
        </w:rPr>
        <w:t>一、主要职能</w:t>
      </w:r>
    </w:p>
    <w:p w14:paraId="2FA928E0">
      <w:pPr>
        <w:spacing w:line="580" w:lineRule="exact"/>
        <w:ind w:firstLine="640"/>
        <w:jc w:val="both"/>
        <w:rPr>
          <w:w w:val="97"/>
          <w:sz w:val="32"/>
        </w:rPr>
      </w:pPr>
      <w:r>
        <w:rPr>
          <w:rFonts w:ascii="仿宋_GB2312" w:hAnsi="仿宋_GB2312" w:eastAsia="仿宋_GB2312"/>
          <w:w w:val="97"/>
          <w:sz w:val="32"/>
        </w:rPr>
        <w:t>(1)培训轮训托里县党员领导干部及后备干部，培养理论干部。</w:t>
      </w:r>
    </w:p>
    <w:p w14:paraId="060AE5E2">
      <w:pPr>
        <w:spacing w:line="580" w:lineRule="exact"/>
        <w:ind w:firstLine="640"/>
        <w:jc w:val="both"/>
      </w:pPr>
      <w:r>
        <w:rPr>
          <w:rFonts w:ascii="仿宋_GB2312" w:hAnsi="仿宋_GB2312" w:eastAsia="仿宋_GB2312"/>
          <w:sz w:val="32"/>
        </w:rPr>
        <w:t>(2)承办党委和政府举办的专题研讨班。</w:t>
      </w:r>
    </w:p>
    <w:p w14:paraId="4D1DB2C6">
      <w:pPr>
        <w:spacing w:line="580" w:lineRule="exact"/>
        <w:ind w:firstLine="640"/>
        <w:jc w:val="both"/>
      </w:pPr>
      <w:r>
        <w:rPr>
          <w:rFonts w:ascii="仿宋_GB2312" w:hAnsi="仿宋_GB2312" w:eastAsia="仿宋_GB2312"/>
          <w:sz w:val="32"/>
        </w:rPr>
        <w:t>(3)围绕国际国内出现的新情况问题开展科学研究，承担党委和政府下达的调研任务，推进理论创新。</w:t>
      </w:r>
    </w:p>
    <w:p w14:paraId="6445ABB8">
      <w:pPr>
        <w:spacing w:line="580" w:lineRule="exact"/>
        <w:ind w:firstLine="640"/>
        <w:jc w:val="both"/>
      </w:pPr>
      <w:r>
        <w:rPr>
          <w:rFonts w:ascii="仿宋_GB2312" w:hAnsi="仿宋_GB2312" w:eastAsia="仿宋_GB2312"/>
          <w:sz w:val="32"/>
        </w:rPr>
        <w:t>(4)针对改革开放和社会主义现代化进程中的重大理论和现实问题，开展马克思主义中国化最新成果的理论宣传，开展党的路线、方针、方针、政策的宣传。</w:t>
      </w:r>
    </w:p>
    <w:p w14:paraId="49E6DB9D">
      <w:pPr>
        <w:spacing w:line="580" w:lineRule="exact"/>
        <w:ind w:firstLine="640"/>
        <w:jc w:val="both"/>
      </w:pPr>
      <w:r>
        <w:rPr>
          <w:rFonts w:ascii="仿宋_GB2312" w:hAnsi="仿宋_GB2312" w:eastAsia="仿宋_GB2312"/>
          <w:sz w:val="32"/>
        </w:rPr>
        <w:t>(5)按照国家有关法律法规和政策规定，开展其他形式的干部继续教育和培训。</w:t>
      </w:r>
    </w:p>
    <w:p w14:paraId="3B4C3855">
      <w:pPr>
        <w:spacing w:line="640" w:lineRule="exact"/>
        <w:ind w:firstLine="640"/>
        <w:jc w:val="both"/>
        <w:outlineLvl w:val="2"/>
      </w:pPr>
      <w:r>
        <w:rPr>
          <w:rFonts w:ascii="黑体" w:hAnsi="黑体" w:eastAsia="黑体"/>
          <w:sz w:val="32"/>
        </w:rPr>
        <w:t>二、机构设置及人员情况</w:t>
      </w:r>
    </w:p>
    <w:p w14:paraId="1C6E8FCC">
      <w:pPr>
        <w:spacing w:line="580" w:lineRule="exact"/>
        <w:ind w:firstLine="640"/>
        <w:jc w:val="both"/>
      </w:pPr>
      <w:r>
        <w:rPr>
          <w:rFonts w:ascii="仿宋_GB2312" w:hAnsi="仿宋_GB2312" w:eastAsia="仿宋_GB2312"/>
          <w:sz w:val="32"/>
        </w:rPr>
        <w:t>中共托里县党校2024年度，实有人数40人，其中：在职人员22人，增加5人；离休人员0人，增加0人；退休人员18人,增加0人。</w:t>
      </w:r>
    </w:p>
    <w:p w14:paraId="20645254">
      <w:pPr>
        <w:spacing w:line="580" w:lineRule="exact"/>
        <w:ind w:firstLine="640"/>
        <w:jc w:val="both"/>
      </w:pPr>
      <w:r>
        <w:rPr>
          <w:rFonts w:ascii="仿宋_GB2312" w:hAnsi="仿宋_GB2312" w:eastAsia="仿宋_GB2312"/>
          <w:sz w:val="32"/>
        </w:rPr>
        <w:t>中共托里县党校无下属预算单位，下设5个科室，分别是：教务处、办公室、财务室、开大办公室、教研室。</w:t>
      </w:r>
    </w:p>
    <w:p w14:paraId="5315D8B9">
      <w:r>
        <w:br w:type="page"/>
      </w:r>
    </w:p>
    <w:p w14:paraId="454E1450">
      <w:pPr>
        <w:spacing w:line="240" w:lineRule="auto"/>
        <w:jc w:val="center"/>
        <w:outlineLvl w:val="1"/>
      </w:pPr>
      <w:r>
        <w:rPr>
          <w:rFonts w:ascii="黑体" w:hAnsi="黑体" w:eastAsia="黑体"/>
          <w:sz w:val="32"/>
        </w:rPr>
        <w:t>第二部分 部门决算情况说明</w:t>
      </w:r>
    </w:p>
    <w:p w14:paraId="21E6F2ED">
      <w:pPr>
        <w:spacing w:line="640" w:lineRule="exact"/>
        <w:ind w:firstLine="640"/>
        <w:jc w:val="both"/>
        <w:outlineLvl w:val="2"/>
      </w:pPr>
      <w:r>
        <w:rPr>
          <w:rFonts w:ascii="黑体" w:hAnsi="黑体" w:eastAsia="黑体"/>
          <w:sz w:val="32"/>
        </w:rPr>
        <w:t>一、收入支出决算总体情况说明</w:t>
      </w:r>
    </w:p>
    <w:p w14:paraId="345B88E8">
      <w:pPr>
        <w:spacing w:line="580" w:lineRule="exact"/>
        <w:ind w:firstLine="640"/>
        <w:jc w:val="both"/>
      </w:pPr>
      <w:r>
        <w:rPr>
          <w:rFonts w:ascii="仿宋_GB2312" w:hAnsi="仿宋_GB2312" w:eastAsia="仿宋_GB2312"/>
          <w:b/>
          <w:sz w:val="32"/>
        </w:rPr>
        <w:t>2024年度收入总计475.89万元，</w:t>
      </w:r>
      <w:r>
        <w:rPr>
          <w:rFonts w:ascii="仿宋_GB2312" w:hAnsi="仿宋_GB2312" w:eastAsia="仿宋_GB2312"/>
          <w:b w:val="0"/>
          <w:sz w:val="32"/>
        </w:rPr>
        <w:t>其中：本年收入合计451.61万元，使用非财政拨款结余（含专用结余）0.00万元，年初结转和结余24.28万元。</w:t>
      </w:r>
    </w:p>
    <w:p w14:paraId="7975607A">
      <w:pPr>
        <w:spacing w:line="580" w:lineRule="exact"/>
        <w:ind w:firstLine="640"/>
        <w:jc w:val="both"/>
      </w:pPr>
      <w:r>
        <w:rPr>
          <w:rFonts w:ascii="仿宋_GB2312" w:hAnsi="仿宋_GB2312" w:eastAsia="仿宋_GB2312"/>
          <w:b/>
          <w:sz w:val="32"/>
        </w:rPr>
        <w:t>2024年度支出总计475.89万元，</w:t>
      </w:r>
      <w:r>
        <w:rPr>
          <w:rFonts w:ascii="仿宋_GB2312" w:hAnsi="仿宋_GB2312" w:eastAsia="仿宋_GB2312"/>
          <w:b w:val="0"/>
          <w:sz w:val="32"/>
        </w:rPr>
        <w:t>其中：本年支出合计451.61万元，结余分配0.00万元，年末结转和结余24.28万元。</w:t>
      </w:r>
    </w:p>
    <w:p w14:paraId="3D5723D0">
      <w:pPr>
        <w:spacing w:line="580" w:lineRule="exact"/>
        <w:ind w:firstLine="640"/>
        <w:jc w:val="both"/>
      </w:pPr>
      <w:r>
        <w:rPr>
          <w:rFonts w:ascii="仿宋_GB2312" w:hAnsi="仿宋_GB2312" w:eastAsia="仿宋_GB2312"/>
          <w:b w:val="0"/>
          <w:sz w:val="32"/>
        </w:rPr>
        <w:t>收入支出总体与上年相比，减少290.67万元，下降37.92%，主要原因是：本年托里县委党校食宿楼建设项目资金较上年减少；减少公益性岗位人员资金。</w:t>
      </w:r>
    </w:p>
    <w:p w14:paraId="449756AE">
      <w:pPr>
        <w:spacing w:line="640" w:lineRule="exact"/>
        <w:ind w:firstLine="640"/>
        <w:jc w:val="both"/>
        <w:outlineLvl w:val="2"/>
      </w:pPr>
      <w:r>
        <w:rPr>
          <w:rFonts w:ascii="黑体" w:hAnsi="黑体" w:eastAsia="黑体"/>
          <w:sz w:val="32"/>
        </w:rPr>
        <w:t>二、收入决算情况说明</w:t>
      </w:r>
    </w:p>
    <w:p w14:paraId="525B641A">
      <w:pPr>
        <w:spacing w:line="580" w:lineRule="exact"/>
        <w:ind w:firstLine="640"/>
        <w:jc w:val="both"/>
      </w:pPr>
      <w:r>
        <w:rPr>
          <w:rFonts w:ascii="仿宋_GB2312" w:hAnsi="仿宋_GB2312" w:eastAsia="仿宋_GB2312"/>
          <w:b/>
          <w:sz w:val="32"/>
        </w:rPr>
        <w:t>本年收入451.61万元，</w:t>
      </w:r>
      <w:r>
        <w:rPr>
          <w:rFonts w:ascii="仿宋_GB2312" w:hAnsi="仿宋_GB2312" w:eastAsia="仿宋_GB2312"/>
          <w:b w:val="0"/>
          <w:sz w:val="32"/>
        </w:rPr>
        <w:t>其中：财政拨款收入392.32万元，占86.87%；上级补助收入0.00万元，占0.00%；事业收入39.77万元，占8.81%；经营收入0.00万元，占0.00%；附属单位上缴收入0.00万元，占0.00%；其他收入19.52万元，占4.32%。</w:t>
      </w:r>
    </w:p>
    <w:p w14:paraId="5FA7B6B7">
      <w:pPr>
        <w:spacing w:line="640" w:lineRule="exact"/>
        <w:ind w:firstLine="640"/>
        <w:jc w:val="both"/>
        <w:outlineLvl w:val="2"/>
      </w:pPr>
      <w:r>
        <w:rPr>
          <w:rFonts w:ascii="黑体" w:hAnsi="黑体" w:eastAsia="黑体"/>
          <w:sz w:val="32"/>
        </w:rPr>
        <w:t>三、支出决算情况说明</w:t>
      </w:r>
    </w:p>
    <w:p w14:paraId="34528991">
      <w:pPr>
        <w:spacing w:line="580" w:lineRule="exact"/>
        <w:ind w:firstLine="640"/>
        <w:jc w:val="both"/>
      </w:pPr>
      <w:r>
        <w:rPr>
          <w:rFonts w:ascii="仿宋_GB2312" w:hAnsi="仿宋_GB2312" w:eastAsia="仿宋_GB2312"/>
          <w:b/>
          <w:sz w:val="32"/>
        </w:rPr>
        <w:t>本年支出451.61万元，</w:t>
      </w:r>
      <w:r>
        <w:rPr>
          <w:rFonts w:ascii="仿宋_GB2312" w:hAnsi="仿宋_GB2312" w:eastAsia="仿宋_GB2312"/>
          <w:b w:val="0"/>
          <w:sz w:val="32"/>
        </w:rPr>
        <w:t>其中：基本支出390.68万元，占86.51%；项目支出60.93万元，占13.49%；上缴上级支出0.00万元，占0.00%；经营支出0.00万元，占0.00%；对附属单位补助支出0.00万元，占0.00%。</w:t>
      </w:r>
    </w:p>
    <w:p w14:paraId="308CBDC9">
      <w:pPr>
        <w:spacing w:line="640" w:lineRule="exact"/>
        <w:ind w:firstLine="640"/>
        <w:jc w:val="both"/>
        <w:outlineLvl w:val="2"/>
      </w:pPr>
      <w:r>
        <w:rPr>
          <w:rFonts w:ascii="黑体" w:hAnsi="黑体" w:eastAsia="黑体"/>
          <w:sz w:val="32"/>
        </w:rPr>
        <w:t>四、财政拨款收入支出决算总体情况说明</w:t>
      </w:r>
    </w:p>
    <w:p w14:paraId="5324DAD1">
      <w:pPr>
        <w:spacing w:line="580" w:lineRule="exact"/>
        <w:ind w:firstLine="640"/>
        <w:jc w:val="both"/>
      </w:pPr>
      <w:r>
        <w:rPr>
          <w:rFonts w:ascii="仿宋_GB2312" w:hAnsi="仿宋_GB2312" w:eastAsia="仿宋_GB2312"/>
          <w:b/>
          <w:sz w:val="32"/>
        </w:rPr>
        <w:t>2024年度财政拨款收入总计392.32万元，</w:t>
      </w:r>
      <w:r>
        <w:rPr>
          <w:rFonts w:ascii="仿宋_GB2312" w:hAnsi="仿宋_GB2312" w:eastAsia="仿宋_GB2312"/>
          <w:b w:val="0"/>
          <w:sz w:val="32"/>
        </w:rPr>
        <w:t>其中：年初财政拨款结转和结余0.00万元，本年财政拨款收入392.32万元。</w:t>
      </w:r>
      <w:r>
        <w:rPr>
          <w:rFonts w:ascii="仿宋_GB2312" w:hAnsi="仿宋_GB2312" w:eastAsia="仿宋_GB2312"/>
          <w:b/>
          <w:sz w:val="32"/>
        </w:rPr>
        <w:t>财政拨款支出总计392.32万元，</w:t>
      </w:r>
      <w:r>
        <w:rPr>
          <w:rFonts w:ascii="仿宋_GB2312" w:hAnsi="仿宋_GB2312" w:eastAsia="仿宋_GB2312"/>
          <w:b w:val="0"/>
          <w:sz w:val="32"/>
        </w:rPr>
        <w:t>其中：年末财政拨款结转和结余0.00万元，本年财政拨款支出392.32万元。</w:t>
      </w:r>
    </w:p>
    <w:p w14:paraId="31A02E2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减少303.08万元，下降43.58%，主要原因是：本年托里县委党校食宿楼建设项目资金较上年减少；减少公益性岗位人员资金。</w:t>
      </w:r>
      <w:r>
        <w:rPr>
          <w:rFonts w:ascii="仿宋_GB2312" w:hAnsi="仿宋_GB2312" w:eastAsia="仿宋_GB2312"/>
          <w:b/>
          <w:sz w:val="32"/>
        </w:rPr>
        <w:t>与年初预算相比，</w:t>
      </w:r>
      <w:r>
        <w:rPr>
          <w:rFonts w:ascii="仿宋_GB2312" w:hAnsi="仿宋_GB2312" w:eastAsia="仿宋_GB2312"/>
          <w:b w:val="0"/>
          <w:sz w:val="32"/>
        </w:rPr>
        <w:t>年初预算数343.24万元，决算数392.32万元，预决算差异率14.30%，主要原因是：本年在职人员增加，年中追加人员工资、社保、公积金基数调增部分资金及补发绩效部分资金，托里县委党校楼宇文化装修工程项目地方专项资金，导致预决算存在差异。</w:t>
      </w:r>
    </w:p>
    <w:p w14:paraId="1C0CE06C">
      <w:pPr>
        <w:spacing w:line="640" w:lineRule="exact"/>
        <w:ind w:firstLine="640"/>
        <w:jc w:val="both"/>
        <w:outlineLvl w:val="2"/>
      </w:pPr>
      <w:r>
        <w:rPr>
          <w:rFonts w:ascii="黑体" w:hAnsi="黑体" w:eastAsia="黑体"/>
          <w:sz w:val="32"/>
        </w:rPr>
        <w:t>五、一般公共预算财政拨款支出决算情况说明</w:t>
      </w:r>
    </w:p>
    <w:p w14:paraId="1660BA30">
      <w:pPr>
        <w:spacing w:line="640" w:lineRule="exact"/>
        <w:ind w:firstLine="640"/>
        <w:jc w:val="both"/>
        <w:outlineLvl w:val="3"/>
      </w:pPr>
      <w:r>
        <w:rPr>
          <w:rFonts w:ascii="楷体_GB2312" w:hAnsi="楷体_GB2312" w:eastAsia="楷体_GB2312"/>
          <w:b/>
          <w:sz w:val="32"/>
        </w:rPr>
        <w:t>（一）一般公共预算财政拨款支出决算总体情况</w:t>
      </w:r>
    </w:p>
    <w:p w14:paraId="6645CF8F">
      <w:pPr>
        <w:spacing w:line="580" w:lineRule="exact"/>
        <w:ind w:firstLine="640"/>
        <w:jc w:val="both"/>
      </w:pPr>
      <w:r>
        <w:rPr>
          <w:rFonts w:ascii="仿宋_GB2312" w:hAnsi="仿宋_GB2312" w:eastAsia="仿宋_GB2312"/>
          <w:b/>
          <w:sz w:val="32"/>
        </w:rPr>
        <w:t>2024年度一般公共预算财政拨款支出390.68万元，</w:t>
      </w:r>
      <w:r>
        <w:rPr>
          <w:rFonts w:ascii="仿宋_GB2312" w:hAnsi="仿宋_GB2312" w:eastAsia="仿宋_GB2312"/>
          <w:b w:val="0"/>
          <w:sz w:val="32"/>
        </w:rPr>
        <w:t>占本年支出合计的86.51%。</w:t>
      </w:r>
      <w:r>
        <w:rPr>
          <w:rFonts w:ascii="仿宋_GB2312" w:hAnsi="仿宋_GB2312" w:eastAsia="仿宋_GB2312"/>
          <w:b/>
          <w:sz w:val="32"/>
        </w:rPr>
        <w:t>与上年相比，</w:t>
      </w:r>
      <w:r>
        <w:rPr>
          <w:rFonts w:ascii="仿宋_GB2312" w:hAnsi="仿宋_GB2312" w:eastAsia="仿宋_GB2312"/>
          <w:b w:val="0"/>
          <w:sz w:val="32"/>
        </w:rPr>
        <w:t>减少302.29万元，下降43.62%，主要原因是：本年托里县委党校食宿楼建设项目资金较上年减少；减少公益性岗位人员资金。</w:t>
      </w:r>
      <w:r>
        <w:rPr>
          <w:rFonts w:ascii="仿宋_GB2312" w:hAnsi="仿宋_GB2312" w:eastAsia="仿宋_GB2312"/>
          <w:b/>
          <w:sz w:val="32"/>
        </w:rPr>
        <w:t>与年初预算相比,</w:t>
      </w:r>
      <w:r>
        <w:rPr>
          <w:rFonts w:ascii="仿宋_GB2312" w:hAnsi="仿宋_GB2312" w:eastAsia="仿宋_GB2312"/>
          <w:b w:val="0"/>
          <w:sz w:val="32"/>
        </w:rPr>
        <w:t>年初预算数340.81万元，决算数390.68万元，预决算差异率14.63%，主要原因是：本年在职人员增加，年中追加人员工资、社保、公积金基数调增部分资金及补发绩效部分资金，托里县委党校楼宇文化装修工程项目地方专项资金，导致预决算存在差异。</w:t>
      </w:r>
    </w:p>
    <w:p w14:paraId="71DBCD75">
      <w:pPr>
        <w:spacing w:line="640" w:lineRule="exact"/>
        <w:ind w:firstLine="640"/>
        <w:jc w:val="both"/>
        <w:outlineLvl w:val="3"/>
      </w:pPr>
      <w:r>
        <w:rPr>
          <w:rFonts w:ascii="楷体_GB2312" w:hAnsi="楷体_GB2312" w:eastAsia="楷体_GB2312"/>
          <w:b/>
          <w:sz w:val="32"/>
        </w:rPr>
        <w:t>（二）一般公共预算财政拨款支出决算结构情况</w:t>
      </w:r>
    </w:p>
    <w:p w14:paraId="557210C2">
      <w:pPr>
        <w:spacing w:line="580" w:lineRule="exact"/>
        <w:ind w:firstLine="640"/>
        <w:jc w:val="both"/>
      </w:pPr>
      <w:r>
        <w:rPr>
          <w:rFonts w:ascii="仿宋_GB2312" w:hAnsi="仿宋_GB2312" w:eastAsia="仿宋_GB2312"/>
          <w:b w:val="0"/>
          <w:sz w:val="32"/>
        </w:rPr>
        <w:t>1.一般公共服务支出(类)6.49万元,占1.66%。</w:t>
      </w:r>
    </w:p>
    <w:p w14:paraId="6ED23429">
      <w:pPr>
        <w:spacing w:line="580" w:lineRule="exact"/>
        <w:ind w:firstLine="640"/>
        <w:jc w:val="both"/>
      </w:pPr>
      <w:r>
        <w:rPr>
          <w:rFonts w:ascii="仿宋_GB2312" w:hAnsi="仿宋_GB2312" w:eastAsia="仿宋_GB2312"/>
          <w:b w:val="0"/>
          <w:sz w:val="32"/>
        </w:rPr>
        <w:t>2.教育支出(类)291.40万元,占74.59%。</w:t>
      </w:r>
    </w:p>
    <w:p w14:paraId="41685420">
      <w:pPr>
        <w:spacing w:line="580" w:lineRule="exact"/>
        <w:ind w:firstLine="640"/>
        <w:jc w:val="both"/>
      </w:pPr>
      <w:r>
        <w:rPr>
          <w:rFonts w:ascii="仿宋_GB2312" w:hAnsi="仿宋_GB2312" w:eastAsia="仿宋_GB2312"/>
          <w:b w:val="0"/>
          <w:sz w:val="32"/>
        </w:rPr>
        <w:t>3.社会保障和就业支出(类)39.38万元,占10.08%。</w:t>
      </w:r>
    </w:p>
    <w:p w14:paraId="7ED2A910">
      <w:pPr>
        <w:spacing w:line="580" w:lineRule="exact"/>
        <w:ind w:firstLine="640"/>
        <w:jc w:val="both"/>
      </w:pPr>
      <w:r>
        <w:rPr>
          <w:rFonts w:ascii="仿宋_GB2312" w:hAnsi="仿宋_GB2312" w:eastAsia="仿宋_GB2312"/>
          <w:b w:val="0"/>
          <w:sz w:val="32"/>
        </w:rPr>
        <w:t>4.卫生健康支出(类)15.00万元,占3.84%。</w:t>
      </w:r>
    </w:p>
    <w:p w14:paraId="49BCBCF4">
      <w:pPr>
        <w:spacing w:line="580" w:lineRule="exact"/>
        <w:ind w:firstLine="640"/>
        <w:jc w:val="both"/>
      </w:pPr>
      <w:r>
        <w:rPr>
          <w:rFonts w:ascii="仿宋_GB2312" w:hAnsi="仿宋_GB2312" w:eastAsia="仿宋_GB2312"/>
          <w:b w:val="0"/>
          <w:sz w:val="32"/>
        </w:rPr>
        <w:t>5.住房保障支出(类)26.94万元,占6.90%。</w:t>
      </w:r>
    </w:p>
    <w:p w14:paraId="2937918F">
      <w:pPr>
        <w:spacing w:line="580" w:lineRule="exact"/>
        <w:ind w:firstLine="640"/>
        <w:jc w:val="both"/>
      </w:pPr>
      <w:r>
        <w:rPr>
          <w:rFonts w:ascii="仿宋_GB2312" w:hAnsi="仿宋_GB2312" w:eastAsia="仿宋_GB2312"/>
          <w:b w:val="0"/>
          <w:sz w:val="32"/>
        </w:rPr>
        <w:t>6.其他支出(类)11.48万元,占2.94%。</w:t>
      </w:r>
    </w:p>
    <w:p w14:paraId="5DCD8A78">
      <w:pPr>
        <w:spacing w:line="640" w:lineRule="exact"/>
        <w:ind w:firstLine="640"/>
        <w:jc w:val="both"/>
        <w:outlineLvl w:val="3"/>
      </w:pPr>
      <w:r>
        <w:rPr>
          <w:rFonts w:ascii="楷体_GB2312" w:hAnsi="楷体_GB2312" w:eastAsia="楷体_GB2312"/>
          <w:b/>
          <w:sz w:val="32"/>
        </w:rPr>
        <w:t>（三）一般公共预算财政拨款支出决算具体情况</w:t>
      </w:r>
    </w:p>
    <w:p w14:paraId="3577369B">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6.49万元，比上年决算增加6.49万元，增长100.00%,主要原因是：本年在职人员补发绩效工资，导致相关人员经费较上年有所增加。</w:t>
      </w:r>
    </w:p>
    <w:p w14:paraId="43F4BF02">
      <w:pPr>
        <w:spacing w:line="580" w:lineRule="exact"/>
        <w:ind w:firstLine="640"/>
        <w:jc w:val="both"/>
      </w:pPr>
      <w:r>
        <w:rPr>
          <w:rFonts w:ascii="仿宋_GB2312" w:hAnsi="仿宋_GB2312" w:eastAsia="仿宋_GB2312"/>
          <w:b w:val="0"/>
          <w:sz w:val="32"/>
        </w:rPr>
        <w:t>2.教育支出(类)进修及培训(款)干部教育(项):支出决算数为291.40万元，比上年决算增加50.60万元，增长21.01%,主要原因是：本年度新增人员，在职人员工资基数调增，相关人员经费增加；本年度增加托里县委党校楼宇文化装修工程项目。</w:t>
      </w:r>
    </w:p>
    <w:p w14:paraId="3DBA1A8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3.社会保障和就业支出(类)行政事业单位养老支出(款)事业单位离退休(项):支出决算数为5.22万元，比上年决算减少14.32万元，下降73.29%,主要原因是：本年因医疗改革，退休人员不缴纳医疗，导致经费减少。</w:t>
      </w:r>
    </w:p>
    <w:p w14:paraId="0FD5EFE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32.47万元，比上年决算增加7.15万元，增长28.24%,主要原因是：本年在职人员增加，工资基数调增，养老缴费基数上涨，相应支出增加。</w:t>
      </w:r>
    </w:p>
    <w:p w14:paraId="61DF6632">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1.68万元，比上年决算增加1.47万元，增长700.00%,主要原因是：本年支付往年调出人员职业年金，故职业年金缴费支出增加。</w:t>
      </w:r>
    </w:p>
    <w:p w14:paraId="7515396C">
      <w:pPr>
        <w:spacing w:line="580" w:lineRule="exact"/>
        <w:ind w:firstLine="640"/>
        <w:jc w:val="both"/>
      </w:pPr>
      <w:r>
        <w:rPr>
          <w:rFonts w:ascii="仿宋_GB2312" w:hAnsi="仿宋_GB2312" w:eastAsia="仿宋_GB2312"/>
          <w:b w:val="0"/>
          <w:sz w:val="32"/>
        </w:rPr>
        <w:t>6.社会保障和就业支出(类)就业补助(款)其他就业补助支出(项):支出决算数为0.00万元，比上年决算减少1.30万元，下降100.00%,主要原因是：本年减少公益性岗位人员资金。</w:t>
      </w:r>
    </w:p>
    <w:p w14:paraId="575C83FA">
      <w:pPr>
        <w:spacing w:line="580" w:lineRule="exact"/>
        <w:ind w:firstLine="640"/>
        <w:jc w:val="both"/>
      </w:pPr>
      <w:r>
        <w:rPr>
          <w:rFonts w:ascii="仿宋_GB2312" w:hAnsi="仿宋_GB2312" w:eastAsia="仿宋_GB2312"/>
          <w:b w:val="0"/>
          <w:sz w:val="32"/>
        </w:rPr>
        <w:t>7.卫生健康支出(类)行政事业单位医疗(款)事业单位医疗(项):支出决算数为13.78万元，比上年决算增加1.64万元，增长13.51%,主要原因是：本年在职人员工资基数调增，医疗缴费基数上涨，相应支出增加。</w:t>
      </w:r>
    </w:p>
    <w:p w14:paraId="0CBF8318">
      <w:pPr>
        <w:spacing w:line="580" w:lineRule="exact"/>
        <w:ind w:firstLine="640"/>
        <w:jc w:val="both"/>
      </w:pPr>
      <w:r>
        <w:rPr>
          <w:rFonts w:ascii="仿宋_GB2312" w:hAnsi="仿宋_GB2312" w:eastAsia="仿宋_GB2312"/>
          <w:b w:val="0"/>
          <w:sz w:val="32"/>
        </w:rPr>
        <w:t>8.卫生健康支出(类)行政事业单位医疗(款)公务员医疗补助(项):支出决算数为1.23万元，比上年决算增加0.01万元，增长0.82%,主要原因是：本年在职人员工资基数调增，医疗缴费基数上涨，相应支出增加。</w:t>
      </w:r>
    </w:p>
    <w:p w14:paraId="36A104A5">
      <w:pPr>
        <w:spacing w:line="580" w:lineRule="exact"/>
        <w:ind w:firstLine="640"/>
        <w:jc w:val="both"/>
      </w:pPr>
      <w:r>
        <w:rPr>
          <w:rFonts w:ascii="仿宋_GB2312" w:hAnsi="仿宋_GB2312" w:eastAsia="仿宋_GB2312"/>
          <w:b w:val="0"/>
          <w:sz w:val="32"/>
        </w:rPr>
        <w:t>9.住房保障支出(类)住房改革支出(款)住房公积金(项):支出决算数为26.94万元，比上年决算增加5.50万元，增长25.65%,主要原因是：本年在职人员工资基数调增，公积金缴费基数上涨，相应支出增加。</w:t>
      </w:r>
    </w:p>
    <w:p w14:paraId="28A3D82C">
      <w:pPr>
        <w:spacing w:line="580" w:lineRule="exact"/>
        <w:ind w:firstLine="640"/>
        <w:jc w:val="both"/>
      </w:pPr>
      <w:r>
        <w:rPr>
          <w:rFonts w:ascii="仿宋_GB2312" w:hAnsi="仿宋_GB2312" w:eastAsia="仿宋_GB2312"/>
          <w:b w:val="0"/>
          <w:sz w:val="32"/>
        </w:rPr>
        <w:t>10.其他支出(类)其他支出(款)其他支出(项):支出决算数为11.48万元，比上年决算减少359.52万元，下降96.91%,主要原因是：本年托里县委党校食宿楼建设项目资金较上年减少。</w:t>
      </w:r>
    </w:p>
    <w:p w14:paraId="30493AC0">
      <w:pPr>
        <w:spacing w:line="640" w:lineRule="exact"/>
        <w:ind w:firstLine="640"/>
        <w:jc w:val="both"/>
        <w:outlineLvl w:val="2"/>
      </w:pPr>
      <w:r>
        <w:rPr>
          <w:rFonts w:ascii="黑体" w:hAnsi="黑体" w:eastAsia="黑体"/>
          <w:sz w:val="32"/>
        </w:rPr>
        <w:t>六、一般公共预算财政拨款基本支出决算情况说明</w:t>
      </w:r>
    </w:p>
    <w:p w14:paraId="48CE5FA2">
      <w:pPr>
        <w:spacing w:line="580" w:lineRule="exact"/>
        <w:ind w:firstLine="640"/>
        <w:jc w:val="both"/>
      </w:pPr>
      <w:r>
        <w:rPr>
          <w:rFonts w:ascii="仿宋_GB2312" w:hAnsi="仿宋_GB2312" w:eastAsia="仿宋_GB2312"/>
          <w:b w:val="0"/>
          <w:sz w:val="32"/>
        </w:rPr>
        <w:t>2024年度一般公共预算财政拨款基本支出390.68万元，其中：</w:t>
      </w:r>
      <w:r>
        <w:rPr>
          <w:rFonts w:ascii="仿宋_GB2312" w:hAnsi="仿宋_GB2312" w:eastAsia="仿宋_GB2312"/>
          <w:b/>
          <w:sz w:val="32"/>
        </w:rPr>
        <w:t>人员经费338.35万元，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14:paraId="097A2E99">
      <w:pPr>
        <w:spacing w:line="580" w:lineRule="exact"/>
        <w:ind w:firstLine="640"/>
        <w:jc w:val="both"/>
      </w:pPr>
      <w:r>
        <w:rPr>
          <w:rFonts w:ascii="仿宋_GB2312" w:hAnsi="仿宋_GB2312" w:eastAsia="仿宋_GB2312"/>
          <w:b/>
          <w:sz w:val="32"/>
        </w:rPr>
        <w:t>公用经费52.33万元，</w:t>
      </w:r>
      <w:r>
        <w:rPr>
          <w:rFonts w:ascii="仿宋_GB2312" w:hAnsi="仿宋_GB2312" w:eastAsia="仿宋_GB2312"/>
          <w:b w:val="0"/>
          <w:sz w:val="32"/>
        </w:rPr>
        <w:t>包括：办公费、印刷费、水费、电费、邮电费、取暖费、差旅费、维修（护）费、租赁费、劳务费、工会经费、公务用车运行维护费。</w:t>
      </w:r>
    </w:p>
    <w:p w14:paraId="443385D7">
      <w:pPr>
        <w:spacing w:line="640" w:lineRule="exact"/>
        <w:ind w:firstLine="640"/>
        <w:jc w:val="both"/>
        <w:outlineLvl w:val="2"/>
      </w:pPr>
      <w:r>
        <w:rPr>
          <w:rFonts w:ascii="黑体" w:hAnsi="黑体" w:eastAsia="黑体"/>
          <w:sz w:val="32"/>
        </w:rPr>
        <w:t>七、政府性基金预算财政拨款收入支出决算情况说明</w:t>
      </w:r>
    </w:p>
    <w:p w14:paraId="5A17A646">
      <w:pPr>
        <w:spacing w:line="580" w:lineRule="exact"/>
        <w:ind w:firstLine="640"/>
        <w:jc w:val="both"/>
      </w:pPr>
      <w:r>
        <w:rPr>
          <w:rFonts w:ascii="仿宋_GB2312" w:hAnsi="仿宋_GB2312" w:eastAsia="仿宋_GB2312"/>
          <w:b/>
          <w:sz w:val="32"/>
        </w:rPr>
        <w:t>2024年度政府性基金预算财政拨款收入总计1.65万元，</w:t>
      </w:r>
      <w:r>
        <w:rPr>
          <w:rFonts w:ascii="仿宋_GB2312" w:hAnsi="仿宋_GB2312" w:eastAsia="仿宋_GB2312"/>
          <w:b w:val="0"/>
          <w:sz w:val="32"/>
        </w:rPr>
        <w:t>其中：年初结转和结余0.00万元，本年收入1.65万元。</w:t>
      </w:r>
      <w:r>
        <w:rPr>
          <w:rFonts w:ascii="仿宋_GB2312" w:hAnsi="仿宋_GB2312" w:eastAsia="仿宋_GB2312"/>
          <w:b/>
          <w:sz w:val="32"/>
        </w:rPr>
        <w:t>政府性基金预算财政拨款支出总计1.65万元，</w:t>
      </w:r>
      <w:r>
        <w:rPr>
          <w:rFonts w:ascii="仿宋_GB2312" w:hAnsi="仿宋_GB2312" w:eastAsia="仿宋_GB2312"/>
          <w:b w:val="0"/>
          <w:sz w:val="32"/>
        </w:rPr>
        <w:t>其中：年末结转和结余0.00万元，本年支出1.65万元。</w:t>
      </w:r>
    </w:p>
    <w:p w14:paraId="7F3A46D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减少0.78万元，下降32.10%，主要原因是：本年托里县委党校楼宇文化装修工程项目资金较上年减少。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年初预算数2.43万元，决算数1.65万元，预决算差异率-32.10%，主要原因是：年中调减托里县委党校楼宇文化装修工程项目资金。</w:t>
      </w:r>
    </w:p>
    <w:p w14:paraId="76D668D1">
      <w:pPr>
        <w:spacing w:line="580" w:lineRule="exact"/>
        <w:ind w:firstLine="640"/>
        <w:jc w:val="both"/>
      </w:pPr>
      <w:r>
        <w:rPr>
          <w:rFonts w:ascii="仿宋_GB2312" w:hAnsi="仿宋_GB2312" w:eastAsia="仿宋_GB2312"/>
          <w:b w:val="0"/>
          <w:sz w:val="32"/>
        </w:rPr>
        <w:t>政府性基金预算财政拨款支出1.65万元。</w:t>
      </w:r>
    </w:p>
    <w:p w14:paraId="5E467526">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1.城乡社区支出(类)国有土地使用权出让收入安排的支出(款)城市建设支出(项):支出决算数为1.65万元，比上年决算减少0.78万元，下降32.10%,主要原因是：本年托里县委党校楼宇文化装修工程项目资金较上年减少。</w:t>
      </w:r>
    </w:p>
    <w:p w14:paraId="22332921">
      <w:pPr>
        <w:spacing w:line="640" w:lineRule="exact"/>
        <w:ind w:firstLine="640"/>
        <w:jc w:val="both"/>
        <w:outlineLvl w:val="2"/>
      </w:pPr>
      <w:r>
        <w:rPr>
          <w:rFonts w:ascii="黑体" w:hAnsi="黑体" w:eastAsia="黑体"/>
          <w:sz w:val="32"/>
        </w:rPr>
        <w:t>八、国有资本经营预算财政拨款收入支出决算情况说明</w:t>
      </w:r>
    </w:p>
    <w:p w14:paraId="48D8AFA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EB842C5">
      <w:pPr>
        <w:spacing w:line="640" w:lineRule="exact"/>
        <w:ind w:firstLine="640"/>
        <w:jc w:val="both"/>
        <w:outlineLvl w:val="2"/>
      </w:pPr>
      <w:r>
        <w:rPr>
          <w:rFonts w:ascii="黑体" w:hAnsi="黑体" w:eastAsia="黑体"/>
          <w:sz w:val="32"/>
        </w:rPr>
        <w:t>九、财政拨款“三公”经费支出决算情况说明</w:t>
      </w:r>
    </w:p>
    <w:p w14:paraId="114365B2">
      <w:pPr>
        <w:spacing w:line="580" w:lineRule="exact"/>
        <w:ind w:firstLine="640"/>
        <w:jc w:val="both"/>
      </w:pPr>
      <w:r>
        <w:rPr>
          <w:rFonts w:ascii="仿宋_GB2312" w:hAnsi="仿宋_GB2312" w:eastAsia="仿宋_GB2312"/>
          <w:b/>
          <w:sz w:val="32"/>
        </w:rPr>
        <w:t>2024年度财政拨款“三公”经费支出2.13万元，</w:t>
      </w:r>
      <w:r>
        <w:rPr>
          <w:rFonts w:ascii="仿宋_GB2312" w:hAnsi="仿宋_GB2312" w:eastAsia="仿宋_GB2312"/>
          <w:b w:val="0"/>
          <w:sz w:val="32"/>
        </w:rPr>
        <w:t>比上年增加1.71万元，增长407.14%，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2.13万元，占100.00%，比上年增加1.71万元，增长407.14%，主要原因是：本单位公务用车日渐老化，维修维护成本增加，导致公务用车运行维护费较上年增加。公务接待费支出0.00万元，占0.00%，比上年增加0.00万元，增长0.00%，主要原因是：2023年与2024年均未安排公务接待费支出。</w:t>
      </w:r>
    </w:p>
    <w:p w14:paraId="40CEC0D7">
      <w:pPr>
        <w:spacing w:line="580" w:lineRule="exact"/>
        <w:ind w:firstLine="640"/>
        <w:jc w:val="both"/>
      </w:pPr>
      <w:r>
        <w:rPr>
          <w:rFonts w:ascii="仿宋_GB2312" w:hAnsi="仿宋_GB2312" w:eastAsia="仿宋_GB2312"/>
          <w:b/>
          <w:sz w:val="32"/>
        </w:rPr>
        <w:t>具体情况如下：</w:t>
      </w:r>
    </w:p>
    <w:p w14:paraId="5F6EAC7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188B05B">
      <w:pPr>
        <w:spacing w:line="580" w:lineRule="exact"/>
        <w:ind w:firstLine="640"/>
        <w:jc w:val="both"/>
      </w:pPr>
      <w:r>
        <w:rPr>
          <w:rFonts w:ascii="仿宋_GB2312" w:hAnsi="仿宋_GB2312" w:eastAsia="仿宋_GB2312"/>
          <w:b w:val="0"/>
          <w:sz w:val="32"/>
        </w:rPr>
        <w:t>公务用车购置及运行维护费2.13万元，其中：公务用车购置费0.00万元，公务用车运行维护费2.13万元。公务用车运行维护费开支内容包括车辆加油费、维修费、保险费。公务用车购置数0辆，公务用车保有量2辆。国有资产占用情况中固定资产车辆2辆，与公务用车保有量差异原因是：本单位固定资产车辆与公务用车保有量一致无差异。</w:t>
      </w:r>
    </w:p>
    <w:p w14:paraId="124907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D0A5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2.13万元，决算数2.13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2.13万元，决算数2.13万元，预决算差异率0.00%，主要原因是：严格按照预算执行，预决算无差异。公务接待费全年预算数0.00万元，决算数0.00万元，预决算差异率0.00%，主要原因是：本单位无公务接待费。</w:t>
      </w:r>
    </w:p>
    <w:p w14:paraId="48118AB5">
      <w:pPr>
        <w:spacing w:line="640" w:lineRule="exact"/>
        <w:ind w:firstLine="640"/>
        <w:jc w:val="both"/>
        <w:outlineLvl w:val="2"/>
      </w:pPr>
      <w:r>
        <w:rPr>
          <w:rFonts w:ascii="黑体" w:hAnsi="黑体" w:eastAsia="黑体"/>
          <w:sz w:val="32"/>
        </w:rPr>
        <w:t>十、其他重要事项的情况说明</w:t>
      </w:r>
    </w:p>
    <w:p w14:paraId="6DB54DD0">
      <w:pPr>
        <w:spacing w:line="640" w:lineRule="exact"/>
        <w:ind w:firstLine="640"/>
        <w:jc w:val="both"/>
        <w:outlineLvl w:val="3"/>
      </w:pPr>
      <w:r>
        <w:rPr>
          <w:rFonts w:ascii="楷体_GB2312" w:hAnsi="楷体_GB2312" w:eastAsia="楷体_GB2312"/>
          <w:b/>
          <w:sz w:val="32"/>
        </w:rPr>
        <w:t>（一）机关运行经费及公用经费支出情况</w:t>
      </w:r>
    </w:p>
    <w:p w14:paraId="7890A24F">
      <w:pPr>
        <w:spacing w:line="580" w:lineRule="exact"/>
        <w:ind w:firstLine="640"/>
        <w:jc w:val="both"/>
      </w:pPr>
      <w:r>
        <w:rPr>
          <w:rFonts w:ascii="仿宋_GB2312" w:hAnsi="仿宋_GB2312" w:eastAsia="仿宋_GB2312"/>
          <w:b w:val="0"/>
          <w:sz w:val="32"/>
        </w:rPr>
        <w:t>2024年度中共托里县党校（行政单位和参照公务员法管理事业单位）机关运行经费支出52.33万元，比上年增加2.49万元，增长5.00%，主要原因是：一是本年更新、维护补充办公用品，导致机关运行经费较上年增加。二是本年在职人员增加，办公费用增加。</w:t>
      </w:r>
    </w:p>
    <w:p w14:paraId="647FD2AC">
      <w:pPr>
        <w:spacing w:line="640" w:lineRule="exact"/>
        <w:ind w:firstLine="640"/>
        <w:jc w:val="both"/>
        <w:outlineLvl w:val="3"/>
      </w:pPr>
      <w:r>
        <w:rPr>
          <w:rFonts w:ascii="楷体_GB2312" w:hAnsi="楷体_GB2312" w:eastAsia="楷体_GB2312"/>
          <w:b/>
          <w:sz w:val="32"/>
        </w:rPr>
        <w:t>（二）政府采购情况</w:t>
      </w:r>
    </w:p>
    <w:p w14:paraId="0611ABC1">
      <w:pPr>
        <w:spacing w:line="580" w:lineRule="exact"/>
        <w:ind w:firstLine="640"/>
        <w:jc w:val="both"/>
      </w:pPr>
      <w:r>
        <w:rPr>
          <w:rFonts w:ascii="仿宋_GB2312" w:hAnsi="仿宋_GB2312" w:eastAsia="仿宋_GB2312"/>
          <w:b w:val="0"/>
          <w:sz w:val="32"/>
        </w:rPr>
        <w:t>2024年度政府采购支出总额31.48万元，其中：政府采购货物支出19.25万元、政府采购工程支出5.97万元、政府采购服务支出6.26万元。</w:t>
      </w:r>
    </w:p>
    <w:p w14:paraId="101E5BF6">
      <w:pPr>
        <w:spacing w:line="580" w:lineRule="exact"/>
        <w:ind w:firstLine="640"/>
        <w:jc w:val="both"/>
      </w:pPr>
      <w:r>
        <w:rPr>
          <w:rFonts w:ascii="仿宋_GB2312" w:hAnsi="仿宋_GB2312" w:eastAsia="仿宋_GB2312"/>
          <w:b w:val="0"/>
          <w:sz w:val="32"/>
        </w:rPr>
        <w:t>授予中小企业合同金额31.48万元，占政府采购支出总额的100.00%，其中：授予小微企业合同金额31.48万元，占政府采购支出总额的100.00%。</w:t>
      </w:r>
    </w:p>
    <w:p w14:paraId="42D2FB86">
      <w:pPr>
        <w:spacing w:line="640" w:lineRule="exact"/>
        <w:ind w:firstLine="640"/>
        <w:jc w:val="both"/>
        <w:outlineLvl w:val="3"/>
      </w:pPr>
      <w:r>
        <w:rPr>
          <w:rFonts w:ascii="楷体_GB2312" w:hAnsi="楷体_GB2312" w:eastAsia="楷体_GB2312"/>
          <w:b/>
          <w:sz w:val="32"/>
        </w:rPr>
        <w:t>（三）国有资产占用情况说明</w:t>
      </w:r>
    </w:p>
    <w:p w14:paraId="3A491AAB">
      <w:pPr>
        <w:spacing w:line="580" w:lineRule="exact"/>
        <w:ind w:firstLine="640"/>
        <w:jc w:val="both"/>
      </w:pPr>
      <w:r>
        <w:rPr>
          <w:rFonts w:ascii="仿宋_GB2312" w:hAnsi="仿宋_GB2312" w:eastAsia="仿宋_GB2312"/>
          <w:b w:val="0"/>
          <w:sz w:val="32"/>
        </w:rPr>
        <w:t>截至2024年12月31日，房屋4,115.00平方米，价值162.22万元。车辆2辆，价值13.78万元，其中：副部（省）级及以上领导用车0辆、主要负责人用车0辆、机要通信用车0辆、应急保障用车0辆、执法执勤用车0辆、特种专业技术用车0辆、离退休干部服务用车0辆、其他用车2辆，其他用车主要是：单位业务用车。单价100万元（含）以上设备（不含车辆）0台（套）。</w:t>
      </w:r>
    </w:p>
    <w:p w14:paraId="0D94F1E1">
      <w:pPr>
        <w:spacing w:line="640" w:lineRule="exact"/>
        <w:ind w:firstLine="640"/>
        <w:jc w:val="both"/>
        <w:outlineLvl w:val="2"/>
      </w:pPr>
      <w:r>
        <w:rPr>
          <w:rFonts w:ascii="黑体" w:hAnsi="黑体" w:eastAsia="黑体"/>
          <w:sz w:val="32"/>
        </w:rPr>
        <w:t>十一、预算绩效的情况说明</w:t>
      </w:r>
    </w:p>
    <w:p w14:paraId="419BD2C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475.89万元，实际执行总额451.61万元；预算绩效评价项目2个，全年预算数60.40万元，全年执行数59.29万元。预算绩效管理取得的成效：一是资源配置效率提升，精准预算分配：通过绩效目标导向，减少重复投入。在科研项目经费上，绩效评估削减无效支出20%，将资金集中到课题研究项目上。二是通过绩效评价降低浪费，政府采购后，节约预算资金15%；在项目实施过程中有效查看“产出时效”“群众满意度”等指标，每季度开展绩效评审。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内部控制管理存在薄弱环节。未严格按规定做好绩效目标申报、自评、公开等相关工作，财政资金使用绩效欠缺经验；导致实物资产管理，不健全资产管理制度。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完善绩效管理制度体系。以“预算编制有目标、预算完成有评价、评价结果有反馈、反馈结果有应用”为主要目标，继续完善预算绩效管理流程，提高绩效管理质量，建立健全“全方位、全过程、全覆盖”的预算绩效管理体系。具体附整体支出绩效自评表，项目支出绩效自评表和评价报告。</w:t>
      </w:r>
    </w:p>
    <w:p w14:paraId="64F9FE8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19BBFC2">
        <w:tblPrEx>
          <w:tblCellMar>
            <w:top w:w="0" w:type="dxa"/>
            <w:left w:w="108" w:type="dxa"/>
            <w:bottom w:w="0" w:type="dxa"/>
            <w:right w:w="108" w:type="dxa"/>
          </w:tblCellMar>
        </w:tblPrEx>
        <w:tc>
          <w:tcPr>
            <w:tcW w:w="8840" w:type="dxa"/>
            <w:gridSpan w:val="8"/>
            <w:vAlign w:val="center"/>
          </w:tcPr>
          <w:p w14:paraId="7771FBA6">
            <w:pPr>
              <w:jc w:val="center"/>
            </w:pPr>
            <w:r>
              <w:rPr>
                <w:rFonts w:ascii="宋体" w:hAnsi="宋体" w:eastAsia="宋体"/>
                <w:sz w:val="24"/>
              </w:rPr>
              <w:t>单位整体支出绩效自评表</w:t>
            </w:r>
          </w:p>
        </w:tc>
      </w:tr>
      <w:tr w14:paraId="102E61AF">
        <w:tblPrEx>
          <w:tblCellMar>
            <w:top w:w="0" w:type="dxa"/>
            <w:left w:w="108" w:type="dxa"/>
            <w:bottom w:w="0" w:type="dxa"/>
            <w:right w:w="108" w:type="dxa"/>
          </w:tblCellMar>
        </w:tblPrEx>
        <w:tc>
          <w:tcPr>
            <w:tcW w:w="8840" w:type="dxa"/>
            <w:gridSpan w:val="8"/>
            <w:vAlign w:val="center"/>
          </w:tcPr>
          <w:p w14:paraId="0A6533FE">
            <w:pPr>
              <w:jc w:val="center"/>
            </w:pPr>
            <w:r>
              <w:rPr>
                <w:rFonts w:ascii="宋体" w:hAnsi="宋体" w:eastAsia="宋体"/>
                <w:sz w:val="24"/>
              </w:rPr>
              <w:t>（2024年度）</w:t>
            </w:r>
          </w:p>
        </w:tc>
      </w:tr>
      <w:tr w14:paraId="555F31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A291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FA1B2">
            <w:pPr>
              <w:jc w:val="center"/>
            </w:pPr>
            <w:r>
              <w:rPr>
                <w:rFonts w:ascii="宋体" w:hAnsi="宋体" w:eastAsia="宋体"/>
                <w:sz w:val="16"/>
              </w:rPr>
              <w:t>中共托里县党校</w:t>
            </w:r>
          </w:p>
        </w:tc>
      </w:tr>
      <w:tr w14:paraId="4B5DCB5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72FF1">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BDB8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EC59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B621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0D4D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416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A0BD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58A99">
            <w:pPr>
              <w:jc w:val="center"/>
            </w:pPr>
            <w:r>
              <w:rPr>
                <w:rFonts w:ascii="宋体" w:hAnsi="宋体" w:eastAsia="宋体"/>
                <w:sz w:val="16"/>
              </w:rPr>
              <w:t>得分</w:t>
            </w:r>
          </w:p>
        </w:tc>
      </w:tr>
      <w:tr w14:paraId="63CC7C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8017E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0578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D86F1">
            <w:pPr>
              <w:jc w:val="center"/>
            </w:pPr>
            <w:r>
              <w:rPr>
                <w:rFonts w:ascii="宋体" w:hAnsi="宋体" w:eastAsia="宋体"/>
                <w:sz w:val="16"/>
              </w:rPr>
              <w:t>397.07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D6AF3">
            <w:pPr>
              <w:jc w:val="center"/>
            </w:pPr>
            <w:r>
              <w:rPr>
                <w:rFonts w:ascii="宋体" w:hAnsi="宋体" w:eastAsia="宋体"/>
                <w:sz w:val="16"/>
              </w:rPr>
              <w:t>475.89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FEF6B">
            <w:pPr>
              <w:jc w:val="center"/>
            </w:pPr>
            <w:r>
              <w:rPr>
                <w:rFonts w:ascii="宋体" w:hAnsi="宋体" w:eastAsia="宋体"/>
                <w:sz w:val="16"/>
              </w:rPr>
              <w:t>451.61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3799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D43DB">
            <w:pPr>
              <w:jc w:val="center"/>
            </w:pPr>
            <w:r>
              <w:rPr>
                <w:rFonts w:ascii="宋体" w:hAnsi="宋体" w:eastAsia="宋体"/>
                <w:sz w:val="16"/>
              </w:rPr>
              <w:t>94.90%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6117F">
            <w:pPr>
              <w:jc w:val="center"/>
            </w:pPr>
            <w:r>
              <w:rPr>
                <w:rFonts w:ascii="宋体" w:hAnsi="宋体" w:eastAsia="宋体"/>
                <w:sz w:val="16"/>
              </w:rPr>
              <w:t>9.5</w:t>
            </w:r>
          </w:p>
        </w:tc>
      </w:tr>
      <w:tr w14:paraId="3DB40D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B335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16566">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5AA2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CAE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83CC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5D5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E75F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5073C">
            <w:pPr>
              <w:jc w:val="center"/>
            </w:pPr>
            <w:r>
              <w:rPr>
                <w:rFonts w:ascii="宋体" w:hAnsi="宋体" w:eastAsia="宋体"/>
                <w:sz w:val="16"/>
              </w:rPr>
              <w:t>-</w:t>
            </w:r>
          </w:p>
        </w:tc>
      </w:tr>
      <w:tr w14:paraId="6C49D6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7EDA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A4AD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15390">
            <w:pPr>
              <w:jc w:val="center"/>
            </w:pPr>
            <w:r>
              <w:rPr>
                <w:rFonts w:ascii="宋体" w:hAnsi="宋体" w:eastAsia="宋体"/>
                <w:sz w:val="16"/>
              </w:rPr>
              <w:t>343.24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A1B12">
            <w:pPr>
              <w:jc w:val="center"/>
            </w:pPr>
            <w:r>
              <w:rPr>
                <w:rFonts w:ascii="宋体" w:hAnsi="宋体" w:eastAsia="宋体"/>
                <w:sz w:val="16"/>
              </w:rPr>
              <w:t>398.60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63150">
            <w:pPr>
              <w:jc w:val="center"/>
            </w:pPr>
            <w:r>
              <w:rPr>
                <w:rFonts w:ascii="宋体" w:hAnsi="宋体" w:eastAsia="宋体"/>
                <w:sz w:val="16"/>
              </w:rPr>
              <w:t>392.32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518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739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0DEC6">
            <w:pPr>
              <w:jc w:val="center"/>
            </w:pPr>
            <w:r>
              <w:rPr>
                <w:rFonts w:ascii="宋体" w:hAnsi="宋体" w:eastAsia="宋体"/>
                <w:sz w:val="16"/>
              </w:rPr>
              <w:t>-</w:t>
            </w:r>
          </w:p>
        </w:tc>
      </w:tr>
      <w:tr w14:paraId="4021902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0C09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9D70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6FF96">
            <w:pPr>
              <w:jc w:val="center"/>
            </w:pPr>
            <w:r>
              <w:rPr>
                <w:rFonts w:ascii="宋体" w:hAnsi="宋体" w:eastAsia="宋体"/>
                <w:sz w:val="16"/>
              </w:rPr>
              <w:t>53.83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6307D">
            <w:pPr>
              <w:jc w:val="center"/>
            </w:pPr>
            <w:r>
              <w:rPr>
                <w:rFonts w:ascii="宋体" w:hAnsi="宋体" w:eastAsia="宋体"/>
                <w:sz w:val="16"/>
              </w:rPr>
              <w:t>59.29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D5127">
            <w:pPr>
              <w:jc w:val="center"/>
            </w:pPr>
            <w:r>
              <w:rPr>
                <w:rFonts w:ascii="宋体" w:hAnsi="宋体" w:eastAsia="宋体"/>
                <w:sz w:val="16"/>
              </w:rPr>
              <w:t>59.29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2692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5A1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D8AF6">
            <w:pPr>
              <w:jc w:val="center"/>
            </w:pPr>
            <w:r>
              <w:rPr>
                <w:rFonts w:ascii="宋体" w:hAnsi="宋体" w:eastAsia="宋体"/>
                <w:sz w:val="16"/>
              </w:rPr>
              <w:t>-</w:t>
            </w:r>
          </w:p>
        </w:tc>
      </w:tr>
      <w:tr w14:paraId="768A1F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C75A0">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163D3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8A16BD">
            <w:pPr>
              <w:jc w:val="center"/>
            </w:pPr>
            <w:r>
              <w:rPr>
                <w:rFonts w:ascii="宋体" w:hAnsi="宋体" w:eastAsia="宋体"/>
                <w:sz w:val="16"/>
              </w:rPr>
              <w:t>实际完成情况</w:t>
            </w:r>
          </w:p>
        </w:tc>
      </w:tr>
      <w:tr w14:paraId="585D32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7B403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94FA7F">
            <w:pPr>
              <w:jc w:val="both"/>
            </w:pPr>
            <w:r>
              <w:rPr>
                <w:rFonts w:ascii="宋体" w:hAnsi="宋体" w:eastAsia="宋体"/>
                <w:sz w:val="16"/>
              </w:rPr>
              <w:t>聚焦党的理论教育、党性教育、专业化履职能力、世界眼光4个方面，有序举办各类培训班32期，培训人数2500人次，做到乡科级干部每年参加党校培训累计不少于12天或者90学时；中青年干部培训时间每年不少于2个月；村(社区)</w:t>
            </w:r>
            <w:r>
              <w:rPr>
                <w:rFonts w:hint="eastAsia" w:ascii="宋体" w:hAnsi="宋体"/>
                <w:sz w:val="16"/>
                <w:lang w:eastAsia="zh-CN"/>
              </w:rPr>
              <w:t>“两委”班子</w:t>
            </w:r>
            <w:r>
              <w:rPr>
                <w:rFonts w:ascii="宋体" w:hAnsi="宋体" w:eastAsia="宋体"/>
                <w:sz w:val="16"/>
              </w:rPr>
              <w:t>成员培训班培训时间每年不少于5天；村(社区)党组织书记、村(社区)主任进修班培训时间每年不</w:t>
            </w:r>
            <w:r>
              <w:rPr>
                <w:rFonts w:hint="eastAsia" w:ascii="宋体" w:hAnsi="宋体"/>
                <w:sz w:val="16"/>
                <w:lang w:eastAsia="zh-CN"/>
              </w:rPr>
              <w:t>少于</w:t>
            </w:r>
            <w:r>
              <w:rPr>
                <w:rFonts w:ascii="宋体" w:hAnsi="宋体" w:eastAsia="宋体"/>
                <w:sz w:val="16"/>
              </w:rPr>
              <w:t>3天，在学制1个月以上的主体班次中，党的理论教育和党性教育课程的比重不低于总课时的70%，其中，习近平新时代中国特色社会主义思想课程比重不低于总课时的50%，党性教育课程不低于总课时的20%，确保参训的乡科级领导干部、中青年干部、村(社区)党组织书记、</w:t>
            </w:r>
            <w:r>
              <w:rPr>
                <w:rFonts w:hint="eastAsia" w:ascii="宋体" w:hAnsi="宋体"/>
                <w:sz w:val="16"/>
                <w:lang w:eastAsia="zh-CN"/>
              </w:rPr>
              <w:t>“两委”班子</w:t>
            </w:r>
            <w:r>
              <w:rPr>
                <w:rFonts w:ascii="宋体" w:hAnsi="宋体" w:eastAsia="宋体"/>
                <w:sz w:val="16"/>
              </w:rPr>
              <w:t>成员、纪检监察干部、民宗统战干部、宣传干部、妇联干部、“两新”组织负责人、发展对象、入党积极分子等群体素质明显提升，促使干部教育培训提质增效。</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A4A00D">
            <w:pPr>
              <w:jc w:val="both"/>
            </w:pPr>
            <w:r>
              <w:rPr>
                <w:rFonts w:ascii="宋体" w:hAnsi="宋体" w:eastAsia="宋体"/>
                <w:sz w:val="16"/>
              </w:rPr>
              <w:t>有序举办各类培训班32期，培训人数2577人次，做到乡科级干部每年参加党校培训累计90学时；中青年干部培训时间每年2个月；村(社区)</w:t>
            </w:r>
            <w:r>
              <w:rPr>
                <w:rFonts w:hint="eastAsia" w:ascii="宋体" w:hAnsi="宋体"/>
                <w:sz w:val="16"/>
                <w:lang w:eastAsia="zh-CN"/>
              </w:rPr>
              <w:t>“两委”班子</w:t>
            </w:r>
            <w:r>
              <w:rPr>
                <w:rFonts w:ascii="宋体" w:hAnsi="宋体" w:eastAsia="宋体"/>
                <w:sz w:val="16"/>
              </w:rPr>
              <w:t>成员培训班培训时间已完成5天；村(社区)党组织书记、村(社区)主任进修班培训时间已完成3天，在学制1个月以上的主体班次中，党的理论教育和党性教育课程的比重占总课时的70%，其中，习近平新时代中国特色社会主义思想课程比重占总课时的50%，党性教育课程占总课时的20%，确保参训的乡科级领导干部、中青年干部、村(社区)党组织书记、</w:t>
            </w:r>
            <w:r>
              <w:rPr>
                <w:rFonts w:hint="eastAsia" w:ascii="宋体" w:hAnsi="宋体"/>
                <w:sz w:val="16"/>
                <w:lang w:eastAsia="zh-CN"/>
              </w:rPr>
              <w:t>“两委”班子</w:t>
            </w:r>
            <w:r>
              <w:rPr>
                <w:rFonts w:ascii="宋体" w:hAnsi="宋体" w:eastAsia="宋体"/>
                <w:sz w:val="16"/>
              </w:rPr>
              <w:t>成员、纪检监察干部、民宗统战干部、宣传干部、妇联干部、“两新”组织负责人、发展对象、入党积极分子等群体素质明显提升，适应新时代要求，具备领导社会主义现代化建设能力的高素质各民族干部队伍，提升推动社会高质量发展的素质能力</w:t>
            </w:r>
          </w:p>
        </w:tc>
      </w:tr>
      <w:tr w14:paraId="5248B4C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C8C8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E5C6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09AC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71CB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FDDB2">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07C9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6AE2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1040A">
            <w:pPr>
              <w:jc w:val="center"/>
            </w:pPr>
            <w:r>
              <w:rPr>
                <w:rFonts w:ascii="宋体" w:hAnsi="宋体" w:eastAsia="宋体"/>
                <w:sz w:val="16"/>
              </w:rPr>
              <w:t>得分</w:t>
            </w:r>
          </w:p>
        </w:tc>
      </w:tr>
      <w:tr w14:paraId="1525B51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EA7A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7802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CF2C2">
            <w:pPr>
              <w:jc w:val="center"/>
            </w:pPr>
            <w:r>
              <w:rPr>
                <w:rFonts w:ascii="宋体" w:hAnsi="宋体" w:eastAsia="宋体"/>
                <w:sz w:val="16"/>
              </w:rPr>
              <w:t>组织培训班期数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26E5C">
            <w:pPr>
              <w:jc w:val="center"/>
            </w:pPr>
            <w:r>
              <w:rPr>
                <w:rFonts w:ascii="宋体" w:hAnsi="宋体" w:eastAsia="宋体"/>
                <w:sz w:val="16"/>
              </w:rPr>
              <w:t>&gt;=50期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6B7B8">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63B5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F0731">
            <w:pPr>
              <w:jc w:val="center"/>
            </w:pPr>
            <w:r>
              <w:rPr>
                <w:rFonts w:ascii="宋体" w:hAnsi="宋体" w:eastAsia="宋体"/>
                <w:sz w:val="16"/>
              </w:rPr>
              <w:t>50期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5F97A">
            <w:pPr>
              <w:jc w:val="center"/>
            </w:pPr>
            <w:r>
              <w:rPr>
                <w:rFonts w:ascii="宋体" w:hAnsi="宋体" w:eastAsia="宋体"/>
                <w:sz w:val="16"/>
              </w:rPr>
              <w:t>15</w:t>
            </w:r>
          </w:p>
        </w:tc>
      </w:tr>
      <w:tr w14:paraId="066D3F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AAC10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A369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B524E">
            <w:pPr>
              <w:jc w:val="center"/>
            </w:pPr>
            <w:r>
              <w:rPr>
                <w:rFonts w:ascii="宋体" w:hAnsi="宋体" w:eastAsia="宋体"/>
                <w:sz w:val="16"/>
              </w:rPr>
              <w:t>组织培训班次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C9A9E">
            <w:pPr>
              <w:jc w:val="center"/>
            </w:pPr>
            <w:r>
              <w:rPr>
                <w:rFonts w:ascii="宋体" w:hAnsi="宋体" w:eastAsia="宋体"/>
                <w:sz w:val="16"/>
              </w:rPr>
              <w:t>&gt;=32班次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07D8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DD5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6927B">
            <w:pPr>
              <w:jc w:val="center"/>
            </w:pPr>
            <w:r>
              <w:rPr>
                <w:rFonts w:ascii="宋体" w:hAnsi="宋体" w:eastAsia="宋体"/>
                <w:sz w:val="16"/>
              </w:rPr>
              <w:t>32班次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EB0A0">
            <w:pPr>
              <w:jc w:val="center"/>
            </w:pPr>
            <w:r>
              <w:rPr>
                <w:rFonts w:ascii="宋体" w:hAnsi="宋体" w:eastAsia="宋体"/>
                <w:sz w:val="16"/>
              </w:rPr>
              <w:t>15</w:t>
            </w:r>
          </w:p>
        </w:tc>
      </w:tr>
      <w:tr w14:paraId="3357AE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2EFCC3">
            <w:bookmarkStart w:id="0" w:name="_GoBack" w:colFirst="4" w:colLast="4"/>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9638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E6DD4">
            <w:pPr>
              <w:jc w:val="center"/>
            </w:pPr>
            <w:r>
              <w:rPr>
                <w:rFonts w:ascii="宋体" w:hAnsi="宋体" w:eastAsia="宋体"/>
                <w:sz w:val="16"/>
              </w:rPr>
              <w:t>培训参加人数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20F37">
            <w:pPr>
              <w:jc w:val="center"/>
            </w:pPr>
            <w:r>
              <w:rPr>
                <w:rFonts w:ascii="宋体" w:hAnsi="宋体" w:eastAsia="宋体"/>
                <w:sz w:val="16"/>
              </w:rPr>
              <w:t>&gt;=2500人次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DC4F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4D41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D7D83">
            <w:pPr>
              <w:jc w:val="center"/>
            </w:pPr>
            <w:r>
              <w:rPr>
                <w:rFonts w:ascii="宋体" w:hAnsi="宋体" w:eastAsia="宋体"/>
                <w:sz w:val="16"/>
              </w:rPr>
              <w:t>2577人次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72B66">
            <w:pPr>
              <w:jc w:val="center"/>
            </w:pPr>
            <w:r>
              <w:rPr>
                <w:rFonts w:ascii="宋体" w:hAnsi="宋体" w:eastAsia="宋体"/>
                <w:sz w:val="16"/>
              </w:rPr>
              <w:t>15</w:t>
            </w:r>
          </w:p>
        </w:tc>
      </w:tr>
      <w:tr w14:paraId="3E20DA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4D1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A3C74">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5838E">
            <w:pPr>
              <w:jc w:val="center"/>
            </w:pPr>
            <w:r>
              <w:rPr>
                <w:rFonts w:ascii="宋体" w:hAnsi="宋体" w:eastAsia="宋体"/>
                <w:sz w:val="16"/>
              </w:rPr>
              <w:t>中青班学制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C36DC">
            <w:pPr>
              <w:jc w:val="center"/>
            </w:pPr>
            <w:r>
              <w:rPr>
                <w:rFonts w:ascii="宋体" w:hAnsi="宋体" w:eastAsia="宋体"/>
                <w:sz w:val="16"/>
              </w:rPr>
              <w:t>&gt;=2个月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E0FE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9229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B67A7">
            <w:pPr>
              <w:jc w:val="center"/>
            </w:pPr>
            <w:r>
              <w:rPr>
                <w:rFonts w:ascii="宋体" w:hAnsi="宋体" w:eastAsia="宋体"/>
                <w:sz w:val="16"/>
              </w:rPr>
              <w:t>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43CE2">
            <w:pPr>
              <w:jc w:val="center"/>
            </w:pPr>
            <w:r>
              <w:rPr>
                <w:rFonts w:ascii="宋体" w:hAnsi="宋体" w:eastAsia="宋体"/>
                <w:sz w:val="16"/>
              </w:rPr>
              <w:t>15</w:t>
            </w:r>
          </w:p>
        </w:tc>
      </w:tr>
      <w:tr w14:paraId="7ECD73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12E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21F8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593F9">
            <w:pPr>
              <w:jc w:val="center"/>
            </w:pPr>
            <w:r>
              <w:rPr>
                <w:rFonts w:ascii="宋体" w:hAnsi="宋体" w:eastAsia="宋体"/>
                <w:sz w:val="16"/>
              </w:rPr>
              <w:t>村干部班学制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61893">
            <w:pPr>
              <w:jc w:val="center"/>
            </w:pPr>
            <w:r>
              <w:rPr>
                <w:rFonts w:ascii="宋体" w:hAnsi="宋体" w:eastAsia="宋体"/>
                <w:sz w:val="16"/>
              </w:rPr>
              <w:t>&gt;=90天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D435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4B81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FE39C">
            <w:pPr>
              <w:jc w:val="center"/>
            </w:pPr>
            <w:r>
              <w:rPr>
                <w:rFonts w:ascii="宋体" w:hAnsi="宋体" w:eastAsia="宋体"/>
                <w:sz w:val="16"/>
              </w:rPr>
              <w:t>90天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B2DBC">
            <w:pPr>
              <w:jc w:val="center"/>
            </w:pPr>
            <w:r>
              <w:rPr>
                <w:rFonts w:ascii="宋体" w:hAnsi="宋体" w:eastAsia="宋体"/>
                <w:sz w:val="16"/>
              </w:rPr>
              <w:t>15</w:t>
            </w:r>
          </w:p>
        </w:tc>
      </w:tr>
      <w:tr w14:paraId="116572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D467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128A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20DC2">
            <w:pPr>
              <w:jc w:val="center"/>
            </w:pPr>
            <w:r>
              <w:rPr>
                <w:rFonts w:ascii="宋体" w:hAnsi="宋体" w:eastAsia="宋体"/>
                <w:sz w:val="16"/>
              </w:rPr>
              <w:t>其他各班学制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C0491">
            <w:pPr>
              <w:jc w:val="center"/>
            </w:pPr>
            <w:r>
              <w:rPr>
                <w:rFonts w:ascii="宋体" w:hAnsi="宋体" w:eastAsia="宋体"/>
                <w:sz w:val="16"/>
              </w:rPr>
              <w:t>&gt;=3天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64F0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6B79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604BD">
            <w:pPr>
              <w:jc w:val="center"/>
            </w:pPr>
            <w:r>
              <w:rPr>
                <w:rFonts w:ascii="宋体" w:hAnsi="宋体" w:eastAsia="宋体"/>
                <w:sz w:val="16"/>
              </w:rPr>
              <w:t>&gt;=3天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8E350">
            <w:pPr>
              <w:jc w:val="center"/>
            </w:pPr>
            <w:r>
              <w:rPr>
                <w:rFonts w:ascii="宋体" w:hAnsi="宋体" w:eastAsia="宋体"/>
                <w:sz w:val="16"/>
              </w:rPr>
              <w:t>15</w:t>
            </w:r>
          </w:p>
        </w:tc>
      </w:tr>
      <w:bookmarkEnd w:id="0"/>
    </w:tbl>
    <w:p w14:paraId="627B3D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EB6113F">
        <w:tblPrEx>
          <w:tblCellMar>
            <w:top w:w="0" w:type="dxa"/>
            <w:left w:w="108" w:type="dxa"/>
            <w:bottom w:w="0" w:type="dxa"/>
            <w:right w:w="108" w:type="dxa"/>
          </w:tblCellMar>
        </w:tblPrEx>
        <w:tc>
          <w:tcPr>
            <w:tcW w:w="8848" w:type="dxa"/>
            <w:gridSpan w:val="14"/>
            <w:vAlign w:val="center"/>
          </w:tcPr>
          <w:p w14:paraId="4F439EB6">
            <w:pPr>
              <w:jc w:val="center"/>
            </w:pPr>
            <w:r>
              <w:rPr>
                <w:rFonts w:ascii="宋体" w:hAnsi="宋体" w:eastAsia="宋体"/>
                <w:sz w:val="24"/>
              </w:rPr>
              <w:t>项目支出绩效自评表</w:t>
            </w:r>
          </w:p>
        </w:tc>
      </w:tr>
      <w:tr w14:paraId="0E6F2F1E">
        <w:tblPrEx>
          <w:tblCellMar>
            <w:top w:w="0" w:type="dxa"/>
            <w:left w:w="108" w:type="dxa"/>
            <w:bottom w:w="0" w:type="dxa"/>
            <w:right w:w="108" w:type="dxa"/>
          </w:tblCellMar>
        </w:tblPrEx>
        <w:tc>
          <w:tcPr>
            <w:tcW w:w="8848" w:type="dxa"/>
            <w:gridSpan w:val="14"/>
            <w:vAlign w:val="center"/>
          </w:tcPr>
          <w:p w14:paraId="14695C9D">
            <w:pPr>
              <w:jc w:val="center"/>
            </w:pPr>
            <w:r>
              <w:rPr>
                <w:rFonts w:ascii="宋体" w:hAnsi="宋体" w:eastAsia="宋体"/>
                <w:sz w:val="24"/>
              </w:rPr>
              <w:t>(2024年度)</w:t>
            </w:r>
          </w:p>
        </w:tc>
      </w:tr>
      <w:tr w14:paraId="4CCE7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CA7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DC807C">
            <w:pPr>
              <w:jc w:val="center"/>
            </w:pPr>
            <w:r>
              <w:rPr>
                <w:rFonts w:ascii="宋体" w:hAnsi="宋体" w:eastAsia="宋体"/>
                <w:sz w:val="16"/>
              </w:rPr>
              <w:t>2024年单位资金-地委党校课题费</w:t>
            </w:r>
          </w:p>
        </w:tc>
      </w:tr>
      <w:tr w14:paraId="278A4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F0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37D92">
            <w:pPr>
              <w:jc w:val="center"/>
            </w:pPr>
            <w:r>
              <w:rPr>
                <w:rFonts w:ascii="宋体" w:hAnsi="宋体" w:eastAsia="宋体"/>
                <w:sz w:val="16"/>
              </w:rPr>
              <w:t>中共托里县党校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880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CED583">
            <w:pPr>
              <w:jc w:val="center"/>
            </w:pPr>
            <w:r>
              <w:rPr>
                <w:rFonts w:ascii="宋体" w:hAnsi="宋体" w:eastAsia="宋体"/>
                <w:sz w:val="16"/>
              </w:rPr>
              <w:t>中共托里县党校</w:t>
            </w:r>
          </w:p>
        </w:tc>
      </w:tr>
      <w:tr w14:paraId="0E0D6D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95B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7D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E5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2C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276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09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5C4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1490">
            <w:pPr>
              <w:jc w:val="center"/>
            </w:pPr>
            <w:r>
              <w:rPr>
                <w:rFonts w:ascii="宋体" w:hAnsi="宋体" w:eastAsia="宋体"/>
                <w:sz w:val="16"/>
              </w:rPr>
              <w:t>得分</w:t>
            </w:r>
          </w:p>
        </w:tc>
      </w:tr>
      <w:tr w14:paraId="06B321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85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C9A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0F5B5">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0DA9">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14CF2">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B67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71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0171">
            <w:pPr>
              <w:jc w:val="center"/>
            </w:pPr>
            <w:r>
              <w:rPr>
                <w:rFonts w:ascii="宋体" w:hAnsi="宋体" w:eastAsia="宋体"/>
                <w:sz w:val="16"/>
              </w:rPr>
              <w:t>10.00</w:t>
            </w:r>
          </w:p>
        </w:tc>
      </w:tr>
      <w:tr w14:paraId="06257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E24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075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3BA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B20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FB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8C1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FCF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D054">
            <w:pPr>
              <w:jc w:val="center"/>
            </w:pPr>
            <w:r>
              <w:rPr>
                <w:rFonts w:ascii="宋体" w:hAnsi="宋体" w:eastAsia="宋体"/>
                <w:sz w:val="16"/>
              </w:rPr>
              <w:t>—</w:t>
            </w:r>
          </w:p>
        </w:tc>
      </w:tr>
      <w:tr w14:paraId="76A9A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987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7FC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69F38">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8E79E">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40F38">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C7C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E9F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67D8">
            <w:pPr>
              <w:jc w:val="center"/>
            </w:pPr>
            <w:r>
              <w:rPr>
                <w:rFonts w:ascii="宋体" w:hAnsi="宋体" w:eastAsia="宋体"/>
                <w:sz w:val="16"/>
              </w:rPr>
              <w:t>—</w:t>
            </w:r>
          </w:p>
        </w:tc>
      </w:tr>
      <w:tr w14:paraId="5E6D18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6BC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4345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2A27A">
            <w:pPr>
              <w:jc w:val="center"/>
            </w:pPr>
            <w:r>
              <w:rPr>
                <w:rFonts w:ascii="宋体" w:hAnsi="宋体" w:eastAsia="宋体"/>
                <w:sz w:val="16"/>
              </w:rPr>
              <w:t>实际完成情况</w:t>
            </w:r>
          </w:p>
        </w:tc>
      </w:tr>
      <w:tr w14:paraId="44D86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D32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2D3F2D">
            <w:pPr>
              <w:jc w:val="both"/>
            </w:pPr>
            <w:r>
              <w:rPr>
                <w:rFonts w:ascii="宋体" w:hAnsi="宋体" w:eastAsia="宋体"/>
                <w:sz w:val="16"/>
              </w:rPr>
              <w:t>2024年单位资金-地委党校课题费12.95万元，用于9名教师发放工资，为了保障自治区课题成立立项后的正常运转，保障教师劳务费以及现场教学的正常运转，提高教学质量，打造教学示范点。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1F9C34">
            <w:pPr>
              <w:jc w:val="both"/>
            </w:pPr>
            <w:r>
              <w:rPr>
                <w:rFonts w:ascii="宋体" w:hAnsi="宋体" w:eastAsia="宋体"/>
                <w:sz w:val="16"/>
              </w:rPr>
              <w:t>2024年单位资金-地委党校课题费12.95万元，</w:t>
            </w:r>
            <w:r>
              <w:rPr>
                <w:rFonts w:hint="eastAsia" w:ascii="宋体" w:hAnsi="宋体"/>
                <w:sz w:val="16"/>
                <w:lang w:eastAsia="zh-CN"/>
              </w:rPr>
              <w:t>截至2024</w:t>
            </w:r>
            <w:r>
              <w:rPr>
                <w:rFonts w:ascii="宋体" w:hAnsi="宋体" w:eastAsia="宋体"/>
                <w:sz w:val="16"/>
              </w:rPr>
              <w:t>年12月31日，将单位自有资金19.5215万元，项目执行金额19.5215万元，在课题开展中</w:t>
            </w:r>
            <w:r>
              <w:rPr>
                <w:rFonts w:hint="eastAsia" w:ascii="宋体" w:hAnsi="宋体"/>
                <w:sz w:val="16"/>
                <w:lang w:eastAsia="zh-CN"/>
              </w:rPr>
              <w:t>完成</w:t>
            </w:r>
            <w:r>
              <w:rPr>
                <w:rFonts w:ascii="宋体" w:hAnsi="宋体" w:eastAsia="宋体"/>
                <w:sz w:val="16"/>
              </w:rPr>
              <w:t>4份高质量论文，并得到自治区党校选中。具有研究方向，有效发挥党校为</w:t>
            </w:r>
            <w:r>
              <w:rPr>
                <w:rFonts w:hint="eastAsia" w:ascii="宋体" w:hAnsi="宋体"/>
                <w:sz w:val="16"/>
                <w:lang w:eastAsia="zh-CN"/>
              </w:rPr>
              <w:t>党委、政府</w:t>
            </w:r>
            <w:r>
              <w:rPr>
                <w:rFonts w:ascii="宋体" w:hAnsi="宋体" w:eastAsia="宋体"/>
                <w:sz w:val="16"/>
              </w:rPr>
              <w:t>决策服务的重要作用，二是通过合理支付教师劳务费，充分调动教师积极性，完成将理论与实践相结合，专业素质得到了极大的提升，为党校教学科研工作注入了新的活力。资金执行率100%，2024年党校课题立项2个，得到了县委领导重要批示。同时有序开展项目工作。</w:t>
            </w:r>
          </w:p>
        </w:tc>
      </w:tr>
      <w:tr w14:paraId="5D689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570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555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7F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F5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CB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6E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8D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BB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4BD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622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44D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88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0A3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19D1">
            <w:pPr>
              <w:jc w:val="center"/>
            </w:pPr>
            <w:r>
              <w:rPr>
                <w:rFonts w:ascii="宋体" w:hAnsi="宋体" w:eastAsia="宋体"/>
                <w:sz w:val="16"/>
              </w:rPr>
              <w:t>偏差原因分析及改进措施</w:t>
            </w:r>
          </w:p>
        </w:tc>
      </w:tr>
      <w:tr w14:paraId="6B5F0A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344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932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15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AF44">
            <w:pPr>
              <w:jc w:val="center"/>
            </w:pPr>
            <w:r>
              <w:rPr>
                <w:rFonts w:ascii="宋体" w:hAnsi="宋体" w:eastAsia="宋体"/>
                <w:sz w:val="16"/>
              </w:rPr>
              <w:t>教师工资人数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0189">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0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0C9C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D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B0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E8C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D438">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E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8F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0BC6D">
            <w:pPr>
              <w:jc w:val="center"/>
            </w:pPr>
          </w:p>
        </w:tc>
      </w:tr>
      <w:tr w14:paraId="35F25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C0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1E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DA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1575">
            <w:pPr>
              <w:jc w:val="center"/>
            </w:pPr>
            <w:r>
              <w:rPr>
                <w:rFonts w:ascii="宋体" w:hAnsi="宋体" w:eastAsia="宋体"/>
                <w:sz w:val="16"/>
              </w:rPr>
              <w:t>劳务费发放准确率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4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1D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8D3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0F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F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F06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62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08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C26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0117">
            <w:pPr>
              <w:jc w:val="center"/>
            </w:pPr>
          </w:p>
        </w:tc>
      </w:tr>
      <w:tr w14:paraId="26619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C8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A7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1112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97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B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7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8BD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0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CDD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8F5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8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EE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D2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3C5A">
            <w:pPr>
              <w:jc w:val="center"/>
            </w:pPr>
          </w:p>
        </w:tc>
      </w:tr>
      <w:tr w14:paraId="3E800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831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85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35E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9C6A">
            <w:pPr>
              <w:jc w:val="center"/>
            </w:pPr>
            <w:r>
              <w:rPr>
                <w:rFonts w:ascii="宋体" w:hAnsi="宋体" w:eastAsia="宋体"/>
                <w:sz w:val="16"/>
              </w:rPr>
              <w:t>资金支付截止时间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7B2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E3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F7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5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4B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72A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B5F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7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F9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E4B8B">
            <w:pPr>
              <w:jc w:val="center"/>
            </w:pPr>
          </w:p>
        </w:tc>
      </w:tr>
      <w:tr w14:paraId="56799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F3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56F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33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B7D7">
            <w:pPr>
              <w:jc w:val="center"/>
            </w:pPr>
            <w:r>
              <w:rPr>
                <w:rFonts w:ascii="宋体" w:hAnsi="宋体" w:eastAsia="宋体"/>
                <w:sz w:val="16"/>
              </w:rPr>
              <w:t>劳务成本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A4E05">
            <w:pPr>
              <w:jc w:val="center"/>
            </w:pPr>
            <w:r>
              <w:rPr>
                <w:rFonts w:ascii="宋体" w:hAnsi="宋体" w:eastAsia="宋体"/>
                <w:sz w:val="16"/>
              </w:rPr>
              <w:t>&lt;=1.44万元/人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39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3A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16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6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EBE8">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CD2A">
            <w:pPr>
              <w:jc w:val="center"/>
            </w:pPr>
            <w:r>
              <w:rPr>
                <w:rFonts w:ascii="宋体" w:hAnsi="宋体" w:eastAsia="宋体"/>
                <w:sz w:val="16"/>
              </w:rPr>
              <w:t>=1.44万元/人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E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E1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1AED">
            <w:pPr>
              <w:jc w:val="center"/>
            </w:pPr>
          </w:p>
        </w:tc>
      </w:tr>
      <w:tr w14:paraId="0F0CD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F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A1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79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BF27">
            <w:pPr>
              <w:jc w:val="center"/>
            </w:pPr>
            <w:r>
              <w:rPr>
                <w:rFonts w:ascii="宋体" w:hAnsi="宋体" w:eastAsia="宋体"/>
                <w:sz w:val="16"/>
              </w:rPr>
              <w:t>保障教师劳务费以及现场教学正常运转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2FE9">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5D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A36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95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EF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BC8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ACC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7A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32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F87D">
            <w:pPr>
              <w:jc w:val="center"/>
            </w:pPr>
          </w:p>
        </w:tc>
      </w:tr>
      <w:tr w14:paraId="0B19A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E0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48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00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B619">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3B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22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79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9B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257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37D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02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A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F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9332">
            <w:pPr>
              <w:jc w:val="center"/>
            </w:pPr>
          </w:p>
        </w:tc>
      </w:tr>
      <w:tr w14:paraId="1AD94C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B4FE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5308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0EF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535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E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F48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725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ACC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581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13A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59D455"/>
        </w:tc>
      </w:tr>
    </w:tbl>
    <w:p w14:paraId="0C250AE9">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617"/>
        <w:gridCol w:w="856"/>
        <w:gridCol w:w="592"/>
        <w:gridCol w:w="592"/>
        <w:gridCol w:w="605"/>
        <w:gridCol w:w="592"/>
        <w:gridCol w:w="605"/>
        <w:gridCol w:w="776"/>
        <w:gridCol w:w="776"/>
        <w:gridCol w:w="630"/>
        <w:gridCol w:w="618"/>
      </w:tblGrid>
      <w:tr w14:paraId="6914A4CA">
        <w:tblPrEx>
          <w:tblCellMar>
            <w:top w:w="0" w:type="dxa"/>
            <w:left w:w="108" w:type="dxa"/>
            <w:bottom w:w="0" w:type="dxa"/>
            <w:right w:w="108" w:type="dxa"/>
          </w:tblCellMar>
        </w:tblPrEx>
        <w:tc>
          <w:tcPr>
            <w:tcW w:w="8848" w:type="dxa"/>
            <w:gridSpan w:val="14"/>
            <w:vAlign w:val="center"/>
          </w:tcPr>
          <w:p w14:paraId="4E4AF5BC">
            <w:pPr>
              <w:jc w:val="center"/>
            </w:pPr>
            <w:r>
              <w:rPr>
                <w:rFonts w:ascii="宋体" w:hAnsi="宋体" w:eastAsia="宋体"/>
                <w:sz w:val="24"/>
              </w:rPr>
              <w:t>项目支出绩效自评表</w:t>
            </w:r>
          </w:p>
        </w:tc>
      </w:tr>
      <w:tr w14:paraId="18EA005D">
        <w:tblPrEx>
          <w:tblCellMar>
            <w:top w:w="0" w:type="dxa"/>
            <w:left w:w="108" w:type="dxa"/>
            <w:bottom w:w="0" w:type="dxa"/>
            <w:right w:w="108" w:type="dxa"/>
          </w:tblCellMar>
        </w:tblPrEx>
        <w:tc>
          <w:tcPr>
            <w:tcW w:w="8848" w:type="dxa"/>
            <w:gridSpan w:val="14"/>
            <w:vAlign w:val="center"/>
          </w:tcPr>
          <w:p w14:paraId="563C7042">
            <w:pPr>
              <w:jc w:val="center"/>
            </w:pPr>
            <w:r>
              <w:rPr>
                <w:rFonts w:ascii="宋体" w:hAnsi="宋体" w:eastAsia="宋体"/>
                <w:sz w:val="24"/>
              </w:rPr>
              <w:t>(2024年度)</w:t>
            </w:r>
          </w:p>
        </w:tc>
      </w:tr>
      <w:tr w14:paraId="62D3BB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CF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A0D87F">
            <w:pPr>
              <w:jc w:val="center"/>
            </w:pPr>
            <w:r>
              <w:rPr>
                <w:rFonts w:ascii="宋体" w:hAnsi="宋体" w:eastAsia="宋体"/>
                <w:sz w:val="16"/>
              </w:rPr>
              <w:t>2024年单位资金—培训费和教材费</w:t>
            </w:r>
          </w:p>
        </w:tc>
      </w:tr>
      <w:tr w14:paraId="1DD6B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5E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995CB4">
            <w:pPr>
              <w:jc w:val="center"/>
            </w:pPr>
            <w:r>
              <w:rPr>
                <w:rFonts w:ascii="宋体" w:hAnsi="宋体" w:eastAsia="宋体"/>
                <w:sz w:val="16"/>
              </w:rPr>
              <w:t>中共托里县委党校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78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B5697E">
            <w:pPr>
              <w:jc w:val="center"/>
            </w:pPr>
            <w:r>
              <w:rPr>
                <w:rFonts w:ascii="宋体" w:hAnsi="宋体" w:eastAsia="宋体"/>
                <w:sz w:val="16"/>
              </w:rPr>
              <w:t>中共托里县委党校</w:t>
            </w:r>
          </w:p>
        </w:tc>
      </w:tr>
      <w:tr w14:paraId="20B964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4AA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0EB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F35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26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019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93D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CA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B00D">
            <w:pPr>
              <w:jc w:val="center"/>
            </w:pPr>
            <w:r>
              <w:rPr>
                <w:rFonts w:ascii="宋体" w:hAnsi="宋体" w:eastAsia="宋体"/>
                <w:sz w:val="16"/>
              </w:rPr>
              <w:t>得分</w:t>
            </w:r>
          </w:p>
        </w:tc>
      </w:tr>
      <w:tr w14:paraId="6591C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8CF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1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1A96E">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11EF">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61945">
            <w:pPr>
              <w:jc w:val="center"/>
            </w:pPr>
            <w:r>
              <w:rPr>
                <w:rFonts w:ascii="宋体" w:hAnsi="宋体" w:eastAsia="宋体"/>
                <w:sz w:val="16"/>
              </w:rPr>
              <w:t>39.77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0C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EB749">
            <w:pPr>
              <w:jc w:val="center"/>
            </w:pPr>
            <w:r>
              <w:rPr>
                <w:rFonts w:ascii="宋体" w:hAnsi="宋体" w:eastAsia="宋体"/>
                <w:sz w:val="16"/>
              </w:rPr>
              <w:t>97.28%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D764">
            <w:pPr>
              <w:jc w:val="center"/>
            </w:pPr>
            <w:r>
              <w:rPr>
                <w:rFonts w:ascii="宋体" w:hAnsi="宋体" w:eastAsia="宋体"/>
                <w:sz w:val="16"/>
              </w:rPr>
              <w:t>9.73</w:t>
            </w:r>
          </w:p>
        </w:tc>
      </w:tr>
      <w:tr w14:paraId="58E195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0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51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07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6BF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30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C8A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CC9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134C">
            <w:pPr>
              <w:jc w:val="center"/>
            </w:pPr>
            <w:r>
              <w:rPr>
                <w:rFonts w:ascii="宋体" w:hAnsi="宋体" w:eastAsia="宋体"/>
                <w:sz w:val="16"/>
              </w:rPr>
              <w:t>—</w:t>
            </w:r>
          </w:p>
        </w:tc>
      </w:tr>
      <w:tr w14:paraId="44906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C8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80F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3E587">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8570">
            <w:pPr>
              <w:jc w:val="center"/>
            </w:pPr>
            <w:r>
              <w:rPr>
                <w:rFonts w:ascii="宋体" w:hAnsi="宋体" w:eastAsia="宋体"/>
                <w:sz w:val="16"/>
              </w:rPr>
              <w:t>40.88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375BB">
            <w:pPr>
              <w:jc w:val="center"/>
            </w:pPr>
            <w:r>
              <w:rPr>
                <w:rFonts w:ascii="宋体" w:hAnsi="宋体" w:eastAsia="宋体"/>
                <w:sz w:val="16"/>
              </w:rPr>
              <w:t>39.77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AA5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6F9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2704">
            <w:pPr>
              <w:jc w:val="center"/>
            </w:pPr>
            <w:r>
              <w:rPr>
                <w:rFonts w:ascii="宋体" w:hAnsi="宋体" w:eastAsia="宋体"/>
                <w:sz w:val="16"/>
              </w:rPr>
              <w:t>—</w:t>
            </w:r>
          </w:p>
        </w:tc>
      </w:tr>
      <w:tr w14:paraId="61DE28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A4F5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F5E5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D7D1A">
            <w:pPr>
              <w:jc w:val="center"/>
            </w:pPr>
            <w:r>
              <w:rPr>
                <w:rFonts w:ascii="宋体" w:hAnsi="宋体" w:eastAsia="宋体"/>
                <w:sz w:val="16"/>
              </w:rPr>
              <w:t>实际完成情况</w:t>
            </w:r>
          </w:p>
        </w:tc>
      </w:tr>
      <w:tr w14:paraId="09614C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BAE3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54018A">
            <w:pPr>
              <w:jc w:val="both"/>
            </w:pPr>
            <w:r>
              <w:rPr>
                <w:rFonts w:ascii="宋体" w:hAnsi="宋体" w:eastAsia="宋体"/>
                <w:sz w:val="16"/>
              </w:rPr>
              <w:t>2024年财政专户管理资金-托里县2024年函大、电大、夜大及短训、培训费40.88万元，用于保障电大正常运转及聘用教师工资。预计招收2024年电大学生数300人，教师培训次数5次，及改造楼梯107.85平方米；学生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50748">
            <w:pPr>
              <w:jc w:val="both"/>
            </w:pPr>
            <w:r>
              <w:rPr>
                <w:rFonts w:ascii="宋体" w:hAnsi="宋体" w:eastAsia="宋体"/>
                <w:sz w:val="16"/>
              </w:rPr>
              <w:t>2024财政专户管理资金-托里县2024年函大、电大、夜大及短期、培训费40.88万元，截至2024年12月31日已支付39.765034万元，用于一是基础设施维护，完成综合教学楼改造楼梯项目，保障了教学环境的安全和舒适；二是教学设备维护和更新，利用培训费升级多媒体教学设备，有效提升教学效果，确保培训期间日常正常运转，故障发生率较去年降低10%；三是日常运转支出，完成全年办公用品、水电费、教师外出培训调研费，全年举办3600余人次的培训达到预期培训目标。学生满意度95%。</w:t>
            </w:r>
          </w:p>
        </w:tc>
      </w:tr>
      <w:tr w14:paraId="2190E1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FCA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26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37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AE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C0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82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B1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D13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ED8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9A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9A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11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20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5FBD">
            <w:pPr>
              <w:jc w:val="center"/>
            </w:pPr>
            <w:r>
              <w:rPr>
                <w:rFonts w:ascii="宋体" w:hAnsi="宋体" w:eastAsia="宋体"/>
                <w:sz w:val="16"/>
              </w:rPr>
              <w:t>偏差原因分析及改进措施</w:t>
            </w:r>
          </w:p>
        </w:tc>
      </w:tr>
      <w:tr w14:paraId="0562EB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42C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F88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112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6AFB">
            <w:pPr>
              <w:jc w:val="center"/>
            </w:pPr>
            <w:r>
              <w:rPr>
                <w:rFonts w:ascii="宋体" w:hAnsi="宋体" w:eastAsia="宋体"/>
                <w:sz w:val="16"/>
              </w:rPr>
              <w:t>预计招收2024年电大学生数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DC7F">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D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D0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41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2C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F96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B5AA">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7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E8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D73B">
            <w:pPr>
              <w:jc w:val="center"/>
            </w:pPr>
          </w:p>
        </w:tc>
      </w:tr>
      <w:tr w14:paraId="1DE86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EC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A8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2DA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CFC8">
            <w:pPr>
              <w:jc w:val="center"/>
            </w:pPr>
            <w:r>
              <w:rPr>
                <w:rFonts w:ascii="宋体" w:hAnsi="宋体" w:eastAsia="宋体"/>
                <w:sz w:val="16"/>
              </w:rPr>
              <w:t>教师培训次数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0A52">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2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66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9F00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59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3EA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4D77">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4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EA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91D4">
            <w:pPr>
              <w:jc w:val="center"/>
            </w:pPr>
          </w:p>
        </w:tc>
      </w:tr>
      <w:tr w14:paraId="007C3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DA2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72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B3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34ED">
            <w:pPr>
              <w:jc w:val="center"/>
            </w:pPr>
            <w:r>
              <w:rPr>
                <w:rFonts w:ascii="宋体" w:hAnsi="宋体" w:eastAsia="宋体"/>
                <w:sz w:val="16"/>
              </w:rPr>
              <w:t>改造台阶面积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B7D1">
            <w:pPr>
              <w:jc w:val="center"/>
            </w:pPr>
            <w:r>
              <w:rPr>
                <w:rFonts w:ascii="宋体" w:hAnsi="宋体" w:eastAsia="宋体"/>
                <w:sz w:val="16"/>
              </w:rPr>
              <w:t>&gt;=107.85平方米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C8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8A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1B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0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DB4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B1C0">
            <w:pPr>
              <w:jc w:val="center"/>
            </w:pPr>
            <w:r>
              <w:rPr>
                <w:rFonts w:ascii="宋体" w:hAnsi="宋体" w:eastAsia="宋体"/>
                <w:sz w:val="16"/>
              </w:rPr>
              <w:t>=107.85平方米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F6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9E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7E1E">
            <w:pPr>
              <w:jc w:val="center"/>
            </w:pPr>
          </w:p>
        </w:tc>
      </w:tr>
      <w:tr w14:paraId="12A53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B2D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03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F9E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8E43">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B1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51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CA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6E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63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F4C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3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EA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BC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C4EE">
            <w:pPr>
              <w:jc w:val="center"/>
            </w:pPr>
          </w:p>
        </w:tc>
      </w:tr>
      <w:tr w14:paraId="5DCF3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5D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024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FAE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AC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0D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D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8D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57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2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D8C2">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9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9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AE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E039">
            <w:pPr>
              <w:jc w:val="center"/>
            </w:pPr>
          </w:p>
        </w:tc>
      </w:tr>
      <w:tr w14:paraId="2A8432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60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EE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337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909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B8A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F0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306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0C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5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5F9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6C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83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87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DBB0">
            <w:pPr>
              <w:jc w:val="center"/>
            </w:pPr>
          </w:p>
        </w:tc>
      </w:tr>
      <w:tr w14:paraId="1B7100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169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2C8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CE0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B344">
            <w:pPr>
              <w:jc w:val="center"/>
            </w:pPr>
            <w:r>
              <w:rPr>
                <w:rFonts w:ascii="宋体" w:hAnsi="宋体" w:eastAsia="宋体"/>
                <w:sz w:val="16"/>
              </w:rPr>
              <w:t>教师培训及其他费用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BA56">
            <w:pPr>
              <w:jc w:val="center"/>
            </w:pPr>
            <w:r>
              <w:rPr>
                <w:rFonts w:ascii="宋体" w:hAnsi="宋体" w:eastAsia="宋体"/>
                <w:sz w:val="16"/>
              </w:rPr>
              <w:t>&lt;=34.91万元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35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51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EAE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31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116F">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359B">
            <w:pPr>
              <w:jc w:val="center"/>
            </w:pPr>
            <w:r>
              <w:rPr>
                <w:rFonts w:ascii="宋体" w:hAnsi="宋体" w:eastAsia="宋体"/>
                <w:sz w:val="16"/>
              </w:rPr>
              <w:t>=33.</w:t>
            </w:r>
            <w:r>
              <w:rPr>
                <w:rFonts w:hint="eastAsia" w:ascii="宋体" w:hAnsi="宋体"/>
                <w:sz w:val="16"/>
                <w:lang w:val="en-US" w:eastAsia="zh-CN"/>
              </w:rPr>
              <w:t>80</w:t>
            </w:r>
            <w:r>
              <w:rPr>
                <w:rFonts w:ascii="宋体" w:hAnsi="宋体" w:eastAsia="宋体"/>
                <w:sz w:val="16"/>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D354">
            <w:pPr>
              <w:jc w:val="center"/>
            </w:pPr>
            <w:r>
              <w:rPr>
                <w:rFonts w:ascii="宋体" w:hAnsi="宋体" w:eastAsia="宋体"/>
                <w:sz w:val="16"/>
              </w:rPr>
              <w:t>96.81%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954D">
            <w:pPr>
              <w:jc w:val="center"/>
            </w:pPr>
            <w:r>
              <w:rPr>
                <w:rFonts w:ascii="宋体" w:hAnsi="宋体" w:eastAsia="宋体"/>
                <w:sz w:val="16"/>
              </w:rPr>
              <w:t>14.52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237A">
            <w:pPr>
              <w:jc w:val="center"/>
            </w:pPr>
            <w:r>
              <w:rPr>
                <w:rFonts w:ascii="宋体" w:hAnsi="宋体" w:eastAsia="宋体"/>
                <w:sz w:val="16"/>
              </w:rPr>
              <w:t>培训计划变更，2024年教师赴中央党校参训计划课程，其中2名教师课程延续至2025年。</w:t>
            </w:r>
          </w:p>
        </w:tc>
      </w:tr>
      <w:tr w14:paraId="19534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DE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5B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ED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62AB">
            <w:pPr>
              <w:jc w:val="center"/>
            </w:pPr>
            <w:r>
              <w:rPr>
                <w:rFonts w:ascii="宋体" w:hAnsi="宋体" w:eastAsia="宋体"/>
                <w:sz w:val="16"/>
              </w:rPr>
              <w:t>改造台阶费用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0A7F">
            <w:pPr>
              <w:jc w:val="center"/>
            </w:pPr>
            <w:r>
              <w:rPr>
                <w:rFonts w:ascii="宋体" w:hAnsi="宋体" w:eastAsia="宋体"/>
                <w:sz w:val="16"/>
              </w:rPr>
              <w:t>&lt;=5.97万元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D4C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19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18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B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C11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F705">
            <w:pPr>
              <w:jc w:val="center"/>
            </w:pPr>
            <w:r>
              <w:rPr>
                <w:rFonts w:ascii="宋体" w:hAnsi="宋体" w:eastAsia="宋体"/>
                <w:sz w:val="16"/>
              </w:rPr>
              <w:t>=5.97万元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5C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F7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598E8">
            <w:pPr>
              <w:jc w:val="center"/>
            </w:pPr>
          </w:p>
        </w:tc>
      </w:tr>
      <w:tr w14:paraId="00D08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B23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574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378E">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1D89">
            <w:pPr>
              <w:jc w:val="center"/>
            </w:pPr>
            <w:r>
              <w:rPr>
                <w:rFonts w:ascii="宋体" w:hAnsi="宋体" w:eastAsia="宋体"/>
                <w:sz w:val="16"/>
              </w:rPr>
              <w:t>增加收入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D1D2">
            <w:pPr>
              <w:jc w:val="center"/>
            </w:pPr>
            <w:r>
              <w:rPr>
                <w:rFonts w:ascii="宋体" w:hAnsi="宋体" w:eastAsia="宋体"/>
                <w:sz w:val="16"/>
              </w:rPr>
              <w:t>&gt;=15万元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C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0F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ED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0F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680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785F">
            <w:pPr>
              <w:jc w:val="center"/>
            </w:pPr>
            <w:r>
              <w:rPr>
                <w:rFonts w:ascii="宋体" w:hAnsi="宋体" w:eastAsia="宋体"/>
                <w:sz w:val="16"/>
              </w:rPr>
              <w:t>=20.83万元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8210">
            <w:pPr>
              <w:jc w:val="center"/>
            </w:pPr>
            <w:r>
              <w:rPr>
                <w:rFonts w:ascii="宋体" w:hAnsi="宋体" w:eastAsia="宋体"/>
                <w:sz w:val="16"/>
              </w:rPr>
              <w:t>138.86%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AC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5129">
            <w:pPr>
              <w:jc w:val="center"/>
            </w:pPr>
            <w:r>
              <w:rPr>
                <w:rFonts w:ascii="宋体" w:hAnsi="宋体" w:eastAsia="宋体"/>
                <w:sz w:val="16"/>
              </w:rPr>
              <w:t>因2024年7月我单位根据自治区事业单位收费标准调整培训费价格，故2024年收入较为提升。</w:t>
            </w:r>
          </w:p>
        </w:tc>
      </w:tr>
      <w:tr w14:paraId="67B04D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1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4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2C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9C1E">
            <w:pPr>
              <w:jc w:val="center"/>
            </w:pPr>
            <w:r>
              <w:rPr>
                <w:rFonts w:ascii="宋体" w:hAnsi="宋体" w:eastAsia="宋体"/>
                <w:sz w:val="16"/>
              </w:rPr>
              <w:t>成人学业就业率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127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3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24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AF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EB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466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8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98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4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A337">
            <w:pPr>
              <w:jc w:val="center"/>
            </w:pPr>
          </w:p>
        </w:tc>
      </w:tr>
      <w:tr w14:paraId="67F21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FCE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48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FE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7D5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28E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99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D6E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C4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1CA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E1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16F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1C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67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2F34">
            <w:pPr>
              <w:jc w:val="center"/>
            </w:pPr>
          </w:p>
        </w:tc>
      </w:tr>
      <w:tr w14:paraId="786936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F2C3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689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E2C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2DF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32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F6F9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7FE0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4A1A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7A5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CE32">
            <w:pPr>
              <w:jc w:val="center"/>
            </w:pPr>
            <w:r>
              <w:rPr>
                <w:rFonts w:ascii="宋体" w:hAnsi="宋体" w:eastAsia="宋体"/>
                <w:sz w:val="16"/>
              </w:rPr>
              <w:t>99.25分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3E65D"/>
        </w:tc>
      </w:tr>
    </w:tbl>
    <w:p w14:paraId="513FBAF4">
      <w:r>
        <w:br w:type="page"/>
      </w:r>
    </w:p>
    <w:p w14:paraId="62E96DC1">
      <w:pPr>
        <w:spacing w:line="640" w:lineRule="exact"/>
        <w:ind w:firstLine="640"/>
        <w:jc w:val="both"/>
        <w:outlineLvl w:val="2"/>
      </w:pPr>
      <w:r>
        <w:rPr>
          <w:rFonts w:ascii="黑体" w:hAnsi="黑体" w:eastAsia="黑体"/>
          <w:sz w:val="32"/>
        </w:rPr>
        <w:t>十二、其他需说明的事项</w:t>
      </w:r>
    </w:p>
    <w:p w14:paraId="0AFE835B">
      <w:pPr>
        <w:spacing w:line="580" w:lineRule="exact"/>
        <w:ind w:firstLine="640"/>
        <w:jc w:val="both"/>
      </w:pPr>
      <w:r>
        <w:rPr>
          <w:rFonts w:ascii="仿宋_GB2312" w:hAnsi="仿宋_GB2312" w:eastAsia="仿宋_GB2312"/>
          <w:b w:val="0"/>
          <w:sz w:val="32"/>
        </w:rPr>
        <w:t>本单位无其他需说明的事项。</w:t>
      </w:r>
    </w:p>
    <w:p w14:paraId="2CE5239E">
      <w:r>
        <w:br w:type="page"/>
      </w:r>
    </w:p>
    <w:p w14:paraId="72010702">
      <w:pPr>
        <w:spacing w:line="240" w:lineRule="auto"/>
        <w:jc w:val="center"/>
        <w:outlineLvl w:val="1"/>
      </w:pPr>
      <w:r>
        <w:rPr>
          <w:rFonts w:ascii="黑体" w:hAnsi="黑体" w:eastAsia="黑体"/>
          <w:sz w:val="32"/>
        </w:rPr>
        <w:t>第三部分 专业名词解释</w:t>
      </w:r>
    </w:p>
    <w:p w14:paraId="7C6D46D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ECB5D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05EAC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1A6CE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12D36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070D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FE927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DC7FE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B43C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7916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46A805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B6CF0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084D4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A0EFF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C4292C">
      <w:r>
        <w:br w:type="page"/>
      </w:r>
    </w:p>
    <w:p w14:paraId="368A5D1A">
      <w:pPr>
        <w:spacing w:line="240" w:lineRule="auto"/>
        <w:jc w:val="center"/>
        <w:outlineLvl w:val="1"/>
      </w:pPr>
      <w:r>
        <w:rPr>
          <w:rFonts w:ascii="黑体" w:hAnsi="黑体" w:eastAsia="黑体"/>
          <w:sz w:val="32"/>
        </w:rPr>
        <w:t>第四部分 部门决算报表（见附表）</w:t>
      </w:r>
    </w:p>
    <w:p w14:paraId="355D1F0B">
      <w:pPr>
        <w:spacing w:line="240" w:lineRule="auto"/>
        <w:ind w:firstLine="640"/>
        <w:jc w:val="both"/>
      </w:pPr>
      <w:r>
        <w:rPr>
          <w:rFonts w:ascii="仿宋_GB2312" w:hAnsi="仿宋_GB2312" w:eastAsia="仿宋_GB2312"/>
          <w:b w:val="0"/>
          <w:sz w:val="32"/>
        </w:rPr>
        <w:t>一、《收入支出决算总表》</w:t>
      </w:r>
    </w:p>
    <w:p w14:paraId="4A1EBAC8">
      <w:pPr>
        <w:spacing w:line="240" w:lineRule="auto"/>
        <w:ind w:firstLine="640"/>
        <w:jc w:val="both"/>
      </w:pPr>
      <w:r>
        <w:rPr>
          <w:rFonts w:ascii="仿宋_GB2312" w:hAnsi="仿宋_GB2312" w:eastAsia="仿宋_GB2312"/>
          <w:b w:val="0"/>
          <w:sz w:val="32"/>
        </w:rPr>
        <w:t>二、《收入决算表》</w:t>
      </w:r>
    </w:p>
    <w:p w14:paraId="1C206823">
      <w:pPr>
        <w:spacing w:line="240" w:lineRule="auto"/>
        <w:ind w:firstLine="640"/>
        <w:jc w:val="both"/>
      </w:pPr>
      <w:r>
        <w:rPr>
          <w:rFonts w:ascii="仿宋_GB2312" w:hAnsi="仿宋_GB2312" w:eastAsia="仿宋_GB2312"/>
          <w:b w:val="0"/>
          <w:sz w:val="32"/>
        </w:rPr>
        <w:t>三、《支出决算表》</w:t>
      </w:r>
    </w:p>
    <w:p w14:paraId="7E19915A">
      <w:pPr>
        <w:spacing w:line="240" w:lineRule="auto"/>
        <w:ind w:firstLine="640"/>
        <w:jc w:val="both"/>
      </w:pPr>
      <w:r>
        <w:rPr>
          <w:rFonts w:ascii="仿宋_GB2312" w:hAnsi="仿宋_GB2312" w:eastAsia="仿宋_GB2312"/>
          <w:b w:val="0"/>
          <w:sz w:val="32"/>
        </w:rPr>
        <w:t>四、《财政拨款收入支出决算总表》</w:t>
      </w:r>
    </w:p>
    <w:p w14:paraId="519945D1">
      <w:pPr>
        <w:spacing w:line="240" w:lineRule="auto"/>
        <w:ind w:firstLine="640"/>
        <w:jc w:val="both"/>
      </w:pPr>
      <w:r>
        <w:rPr>
          <w:rFonts w:ascii="仿宋_GB2312" w:hAnsi="仿宋_GB2312" w:eastAsia="仿宋_GB2312"/>
          <w:b w:val="0"/>
          <w:sz w:val="32"/>
        </w:rPr>
        <w:t>五、《一般公共预算财政拨款支出决算表》</w:t>
      </w:r>
    </w:p>
    <w:p w14:paraId="17685216">
      <w:pPr>
        <w:spacing w:line="240" w:lineRule="auto"/>
        <w:ind w:firstLine="640"/>
        <w:jc w:val="both"/>
      </w:pPr>
      <w:r>
        <w:rPr>
          <w:rFonts w:ascii="仿宋_GB2312" w:hAnsi="仿宋_GB2312" w:eastAsia="仿宋_GB2312"/>
          <w:b w:val="0"/>
          <w:sz w:val="32"/>
        </w:rPr>
        <w:t>六、《一般公共预算财政拨款基本支出决算表》</w:t>
      </w:r>
    </w:p>
    <w:p w14:paraId="332AEACF">
      <w:pPr>
        <w:spacing w:line="240" w:lineRule="auto"/>
        <w:ind w:firstLine="640"/>
        <w:jc w:val="both"/>
      </w:pPr>
      <w:r>
        <w:rPr>
          <w:rFonts w:ascii="仿宋_GB2312" w:hAnsi="仿宋_GB2312" w:eastAsia="仿宋_GB2312"/>
          <w:b w:val="0"/>
          <w:sz w:val="32"/>
        </w:rPr>
        <w:t>七、《政府性基金预算财政拨款收入支出决算表》</w:t>
      </w:r>
    </w:p>
    <w:p w14:paraId="3028FD75">
      <w:pPr>
        <w:spacing w:line="240" w:lineRule="auto"/>
        <w:ind w:firstLine="640"/>
        <w:jc w:val="both"/>
      </w:pPr>
      <w:r>
        <w:rPr>
          <w:rFonts w:ascii="仿宋_GB2312" w:hAnsi="仿宋_GB2312" w:eastAsia="仿宋_GB2312"/>
          <w:b w:val="0"/>
          <w:sz w:val="32"/>
        </w:rPr>
        <w:t>八、《国有资本经营预算财政拨款收入支出决算表》</w:t>
      </w:r>
    </w:p>
    <w:p w14:paraId="6F80E4C1">
      <w:pPr>
        <w:spacing w:line="240" w:lineRule="auto"/>
        <w:ind w:firstLine="640"/>
        <w:jc w:val="both"/>
      </w:pPr>
      <w:r>
        <w:rPr>
          <w:rFonts w:ascii="仿宋_GB2312" w:hAnsi="仿宋_GB2312" w:eastAsia="仿宋_GB2312"/>
          <w:b w:val="0"/>
          <w:sz w:val="32"/>
        </w:rPr>
        <w:t>九、《财政拨款“三公”经费支出决算表》</w:t>
      </w:r>
    </w:p>
    <w:p w14:paraId="2ECB8D70">
      <w:pPr>
        <w:spacing w:line="240" w:lineRule="auto"/>
        <w:ind w:firstLine="640"/>
        <w:jc w:val="both"/>
      </w:pPr>
    </w:p>
    <w:p w14:paraId="03A44E7F">
      <w:pPr>
        <w:spacing w:line="240" w:lineRule="auto"/>
        <w:ind w:firstLine="640"/>
        <w:jc w:val="both"/>
      </w:pPr>
    </w:p>
    <w:p w14:paraId="08FB39B9">
      <w:pPr>
        <w:spacing w:line="240" w:lineRule="auto"/>
        <w:ind w:firstLine="640"/>
        <w:jc w:val="both"/>
      </w:pPr>
    </w:p>
    <w:p w14:paraId="6B58322D">
      <w:pPr>
        <w:spacing w:line="240" w:lineRule="auto"/>
        <w:ind w:firstLine="640"/>
        <w:jc w:val="both"/>
      </w:pPr>
    </w:p>
    <w:p w14:paraId="38E024E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BB61BB"/>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433C5D"/>
    <w:rsid w:val="19B5554D"/>
    <w:rsid w:val="1B8F2D19"/>
    <w:rsid w:val="1C317E4F"/>
    <w:rsid w:val="1C472464"/>
    <w:rsid w:val="1DAF458D"/>
    <w:rsid w:val="1E086ACE"/>
    <w:rsid w:val="1E4B5CA5"/>
    <w:rsid w:val="1EAA4A5F"/>
    <w:rsid w:val="1F587A0B"/>
    <w:rsid w:val="204B1384"/>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4108C1"/>
    <w:rsid w:val="4F3F074E"/>
    <w:rsid w:val="50DB5F45"/>
    <w:rsid w:val="52F92565"/>
    <w:rsid w:val="538D28DC"/>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character" w:customStyle="1" w:styleId="14">
    <w:name w:val="font11"/>
    <w:basedOn w:val="10"/>
    <w:qFormat/>
    <w:uiPriority w:val="0"/>
    <w:rPr>
      <w:rFonts w:hint="eastAsia" w:ascii="宋体" w:hAnsi="宋体" w:eastAsia="宋体" w:cs="宋体"/>
      <w:color w:val="000000"/>
      <w:sz w:val="20"/>
      <w:szCs w:val="20"/>
      <w:u w:val="none"/>
    </w:rPr>
  </w:style>
  <w:style w:type="character" w:customStyle="1" w:styleId="15">
    <w:name w:val="font21"/>
    <w:basedOn w:val="10"/>
    <w:qFormat/>
    <w:uiPriority w:val="0"/>
    <w:rPr>
      <w:rFonts w:ascii="仿宋_GB2312" w:eastAsia="仿宋_GB2312" w:cs="仿宋_GB2312"/>
      <w:color w:val="000000"/>
      <w:sz w:val="18"/>
      <w:szCs w:val="18"/>
      <w:u w:val="none"/>
    </w:rPr>
  </w:style>
  <w:style w:type="character" w:customStyle="1" w:styleId="16">
    <w:name w:val="font31"/>
    <w:basedOn w:val="10"/>
    <w:qFormat/>
    <w:uiPriority w:val="0"/>
    <w:rPr>
      <w:rFonts w:ascii="Arial" w:hAnsi="Arial" w:cs="Arial"/>
      <w:color w:val="333333"/>
      <w:sz w:val="19"/>
      <w:szCs w:val="1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5433</Words>
  <Characters>6221</Characters>
  <Lines>0</Lines>
  <Paragraphs>0</Paragraphs>
  <TotalTime>1</TotalTime>
  <ScaleCrop>false</ScaleCrop>
  <LinksUpToDate>false</LinksUpToDate>
  <CharactersWithSpaces>6229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2025-11-04T09:49:36Z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