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托里县草原监理站2024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5487A4">
      <w:r>
        <w:br w:type="page"/>
      </w:r>
    </w:p>
    <w:p w14:paraId="7AC1254F">
      <w:pPr>
        <w:spacing w:line="640" w:lineRule="exact"/>
        <w:jc w:val="center"/>
        <w:outlineLvl w:val="1"/>
      </w:pPr>
      <w:r>
        <w:rPr>
          <w:rFonts w:ascii="黑体" w:hAnsi="黑体" w:eastAsia="黑体"/>
          <w:sz w:val="32"/>
        </w:rPr>
        <w:t>第一部分 单位概况</w:t>
      </w:r>
    </w:p>
    <w:p w14:paraId="58F4835D">
      <w:pPr>
        <w:spacing w:line="640" w:lineRule="exact"/>
        <w:ind w:firstLine="640"/>
        <w:jc w:val="both"/>
        <w:outlineLvl w:val="2"/>
      </w:pPr>
      <w:r>
        <w:rPr>
          <w:rFonts w:ascii="黑体" w:hAnsi="黑体" w:eastAsia="黑体"/>
          <w:sz w:val="32"/>
        </w:rPr>
        <w:t>一、主要职能</w:t>
      </w:r>
    </w:p>
    <w:p w14:paraId="06B451EF">
      <w:pPr>
        <w:spacing w:line="580" w:lineRule="exact"/>
        <w:ind w:firstLine="640"/>
        <w:jc w:val="both"/>
      </w:pPr>
      <w:r>
        <w:rPr>
          <w:rFonts w:ascii="仿宋_GB2312" w:hAnsi="仿宋_GB2312" w:eastAsia="仿宋_GB2312"/>
          <w:sz w:val="32"/>
        </w:rPr>
        <w:t>1.法律法规执行监督。</w:t>
      </w:r>
    </w:p>
    <w:p w14:paraId="2983036E">
      <w:pPr>
        <w:spacing w:line="580" w:lineRule="exact"/>
        <w:ind w:firstLine="640"/>
        <w:jc w:val="both"/>
      </w:pPr>
      <w:r>
        <w:rPr>
          <w:rFonts w:ascii="仿宋_GB2312" w:hAnsi="仿宋_GB2312" w:eastAsia="仿宋_GB2312"/>
          <w:sz w:val="32"/>
        </w:rPr>
        <w:t>法规宣传：负责宣传贯彻国家有关草原保护、建设、利用的法律法规和方针政策，提高社会各界对草原保护重要性的认识。</w:t>
      </w:r>
    </w:p>
    <w:p w14:paraId="76F3EF29">
      <w:pPr>
        <w:spacing w:line="580" w:lineRule="exact"/>
        <w:ind w:firstLine="640"/>
        <w:jc w:val="both"/>
      </w:pPr>
      <w:r>
        <w:rPr>
          <w:rFonts w:ascii="仿宋_GB2312" w:hAnsi="仿宋_GB2312" w:eastAsia="仿宋_GB2312"/>
          <w:sz w:val="32"/>
        </w:rPr>
        <w:t>执法监督：依法对草原保护、建设和利用情况进行监督检查,查处各类违反草原法律法规的案件，如非法开垦草原、非法征占用草原、滥采滥挖草原野生植物等行为。</w:t>
      </w:r>
    </w:p>
    <w:p w14:paraId="487CBD25">
      <w:pPr>
        <w:spacing w:line="580" w:lineRule="exact"/>
        <w:ind w:firstLine="640"/>
        <w:jc w:val="both"/>
      </w:pPr>
      <w:r>
        <w:rPr>
          <w:rFonts w:ascii="仿宋_GB2312" w:hAnsi="仿宋_GB2312" w:eastAsia="仿宋_GB2312"/>
          <w:sz w:val="32"/>
        </w:rPr>
        <w:t>2.草原资源管理。</w:t>
      </w:r>
    </w:p>
    <w:p w14:paraId="18883EC6">
      <w:pPr>
        <w:spacing w:line="580" w:lineRule="exact"/>
        <w:ind w:firstLine="640"/>
        <w:jc w:val="both"/>
      </w:pPr>
      <w:r>
        <w:rPr>
          <w:rFonts w:ascii="仿宋_GB2312" w:hAnsi="仿宋_GB2312" w:eastAsia="仿宋_GB2312"/>
          <w:sz w:val="32"/>
        </w:rPr>
        <w:t>资源监测：协助开展草原资源调查、监测和统计工作，掌握草原资源的数量、质量、分布及动态变化情况，为草原保护和合理利用提供基础数据。</w:t>
      </w:r>
    </w:p>
    <w:p w14:paraId="3D8237B6">
      <w:pPr>
        <w:spacing w:line="580" w:lineRule="exact"/>
        <w:ind w:firstLine="640"/>
        <w:jc w:val="both"/>
      </w:pPr>
      <w:r>
        <w:rPr>
          <w:rFonts w:ascii="仿宋_GB2312" w:hAnsi="仿宋_GB2312" w:eastAsia="仿宋_GB2312"/>
          <w:sz w:val="32"/>
        </w:rPr>
        <w:t>用途管制：参与草原保护、建设、利用规划的编制和实施，对草原的征占用进行审核监管，确保草原用途符合相关规划和规定，防止草原资源被不合理占用和破坏。</w:t>
      </w:r>
    </w:p>
    <w:p w14:paraId="02DD26B9">
      <w:pPr>
        <w:spacing w:line="580" w:lineRule="exact"/>
        <w:ind w:firstLine="640"/>
        <w:jc w:val="both"/>
      </w:pPr>
      <w:r>
        <w:rPr>
          <w:rFonts w:ascii="仿宋_GB2312" w:hAnsi="仿宋_GB2312" w:eastAsia="仿宋_GB2312"/>
          <w:sz w:val="32"/>
        </w:rPr>
        <w:t>3.草原生态保护。</w:t>
      </w:r>
    </w:p>
    <w:p w14:paraId="5AEA20EF">
      <w:pPr>
        <w:spacing w:line="580" w:lineRule="exact"/>
        <w:ind w:firstLine="640"/>
        <w:jc w:val="both"/>
      </w:pPr>
      <w:r>
        <w:rPr>
          <w:rFonts w:ascii="仿宋_GB2312" w:hAnsi="仿宋_GB2312" w:eastAsia="仿宋_GB2312"/>
          <w:sz w:val="32"/>
        </w:rPr>
        <w:t>禁牧休牧管理：负责落实草原禁牧、休牧、轮牧制度，监督草原使用者和承包经营者按照规定进行草原利用，促进草原生态自然修复。</w:t>
      </w:r>
    </w:p>
    <w:p w14:paraId="35699738">
      <w:pPr>
        <w:spacing w:line="640" w:lineRule="exact"/>
        <w:ind w:firstLine="640"/>
        <w:jc w:val="both"/>
        <w:outlineLvl w:val="2"/>
      </w:pPr>
      <w:r>
        <w:rPr>
          <w:rFonts w:ascii="黑体" w:hAnsi="黑体" w:eastAsia="黑体"/>
          <w:sz w:val="32"/>
        </w:rPr>
        <w:t>二、机构设置及人员情况</w:t>
      </w:r>
    </w:p>
    <w:p w14:paraId="231AA22C">
      <w:pPr>
        <w:spacing w:line="580" w:lineRule="exact"/>
        <w:ind w:firstLine="640"/>
        <w:jc w:val="both"/>
      </w:pPr>
      <w:r>
        <w:rPr>
          <w:rFonts w:ascii="仿宋_GB2312" w:hAnsi="仿宋_GB2312" w:eastAsia="仿宋_GB2312"/>
          <w:sz w:val="32"/>
        </w:rPr>
        <w:t>托里县草原监理站2024年度，实有人数25人，其中：在职人员9人，减少2人；离休人员0人，增加0人；退休人员16人,增加2人。</w:t>
      </w:r>
    </w:p>
    <w:p w14:paraId="3083F52E">
      <w:pPr>
        <w:spacing w:line="580" w:lineRule="exact"/>
        <w:ind w:firstLine="640"/>
        <w:jc w:val="both"/>
      </w:pPr>
      <w:r>
        <w:rPr>
          <w:rFonts w:ascii="仿宋_GB2312" w:hAnsi="仿宋_GB2312" w:eastAsia="仿宋_GB2312"/>
          <w:sz w:val="32"/>
        </w:rPr>
        <w:t>托里县草原监理站无下属预算单位，下设3个科室，分别是：办公室、财务处、业务处。</w:t>
      </w:r>
    </w:p>
    <w:p w14:paraId="5CEBF9EB">
      <w:r>
        <w:br w:type="page"/>
      </w:r>
    </w:p>
    <w:p w14:paraId="4306F571">
      <w:pPr>
        <w:spacing w:line="240" w:lineRule="auto"/>
        <w:jc w:val="center"/>
        <w:outlineLvl w:val="1"/>
      </w:pPr>
      <w:r>
        <w:rPr>
          <w:rFonts w:ascii="黑体" w:hAnsi="黑体" w:eastAsia="黑体"/>
          <w:sz w:val="32"/>
        </w:rPr>
        <w:t>第二部分 部门决算情况说明</w:t>
      </w:r>
    </w:p>
    <w:p w14:paraId="361AB4F2">
      <w:pPr>
        <w:spacing w:line="640" w:lineRule="exact"/>
        <w:ind w:firstLine="640"/>
        <w:jc w:val="both"/>
        <w:outlineLvl w:val="2"/>
      </w:pPr>
      <w:r>
        <w:rPr>
          <w:rFonts w:ascii="黑体" w:hAnsi="黑体" w:eastAsia="黑体"/>
          <w:sz w:val="32"/>
        </w:rPr>
        <w:t>一、收入支出决算总体情况说明</w:t>
      </w:r>
    </w:p>
    <w:p w14:paraId="028546DC">
      <w:pPr>
        <w:spacing w:line="580" w:lineRule="exact"/>
        <w:ind w:firstLine="640"/>
        <w:jc w:val="both"/>
      </w:pPr>
      <w:r>
        <w:rPr>
          <w:rFonts w:ascii="仿宋_GB2312" w:hAnsi="仿宋_GB2312" w:eastAsia="仿宋_GB2312"/>
          <w:b/>
          <w:sz w:val="32"/>
        </w:rPr>
        <w:t>2024年度收入总计230.88万元，</w:t>
      </w:r>
      <w:r>
        <w:rPr>
          <w:rFonts w:ascii="仿宋_GB2312" w:hAnsi="仿宋_GB2312" w:eastAsia="仿宋_GB2312"/>
          <w:b w:val="0"/>
          <w:sz w:val="32"/>
        </w:rPr>
        <w:t>其中：本年收入合计230.07万元，使用非财政拨款结余（含专用结余）0.00万元，年初结转和结余0.81万元。</w:t>
      </w:r>
    </w:p>
    <w:p w14:paraId="55596E8C">
      <w:pPr>
        <w:spacing w:line="580" w:lineRule="exact"/>
        <w:ind w:firstLine="640"/>
        <w:jc w:val="both"/>
      </w:pPr>
      <w:r>
        <w:rPr>
          <w:rFonts w:ascii="仿宋_GB2312" w:hAnsi="仿宋_GB2312" w:eastAsia="仿宋_GB2312"/>
          <w:b/>
          <w:sz w:val="32"/>
        </w:rPr>
        <w:t>2024年度支出总计230.88万元，</w:t>
      </w:r>
      <w:r>
        <w:rPr>
          <w:rFonts w:ascii="仿宋_GB2312" w:hAnsi="仿宋_GB2312" w:eastAsia="仿宋_GB2312"/>
          <w:b w:val="0"/>
          <w:sz w:val="32"/>
        </w:rPr>
        <w:t>其中：本年支出合计228.52万元，结余分配0.00万元，年末结转和结余2.36万元。</w:t>
      </w:r>
    </w:p>
    <w:p w14:paraId="4C2AA48D">
      <w:pPr>
        <w:spacing w:line="580" w:lineRule="exact"/>
        <w:ind w:firstLine="640"/>
        <w:jc w:val="both"/>
      </w:pPr>
      <w:r>
        <w:rPr>
          <w:rFonts w:ascii="仿宋_GB2312" w:hAnsi="仿宋_GB2312" w:eastAsia="仿宋_GB2312"/>
          <w:b w:val="0"/>
          <w:sz w:val="32"/>
        </w:rPr>
        <w:t>收入支出总体与上年相比，减少148.32万元，下降39.11%，主要原因是：本年减少阿克别斗乡江阔拉村草原补偿费资金项目、库鲁斯台草原生态保护资金；本年在职人员减少，相关人员经费较上年减少。</w:t>
      </w:r>
    </w:p>
    <w:p w14:paraId="513279D8">
      <w:pPr>
        <w:spacing w:line="640" w:lineRule="exact"/>
        <w:ind w:firstLine="640"/>
        <w:jc w:val="both"/>
        <w:outlineLvl w:val="2"/>
      </w:pPr>
      <w:r>
        <w:rPr>
          <w:rFonts w:ascii="黑体" w:hAnsi="黑体" w:eastAsia="黑体"/>
          <w:sz w:val="32"/>
        </w:rPr>
        <w:t>二、收入决算情况说明</w:t>
      </w:r>
    </w:p>
    <w:p w14:paraId="050524AB">
      <w:pPr>
        <w:spacing w:line="580" w:lineRule="exact"/>
        <w:ind w:firstLine="640"/>
        <w:jc w:val="both"/>
      </w:pPr>
      <w:r>
        <w:rPr>
          <w:rFonts w:ascii="仿宋_GB2312" w:hAnsi="仿宋_GB2312" w:eastAsia="仿宋_GB2312"/>
          <w:b/>
          <w:sz w:val="32"/>
        </w:rPr>
        <w:t>本年收入230.07万元，</w:t>
      </w:r>
      <w:r>
        <w:rPr>
          <w:rFonts w:ascii="仿宋_GB2312" w:hAnsi="仿宋_GB2312" w:eastAsia="仿宋_GB2312"/>
          <w:b w:val="0"/>
          <w:sz w:val="32"/>
        </w:rPr>
        <w:t>其中：财政拨款收入228.52万元，占99.33%；上级补助收入0.00万元，占0.00%；事业收入0.00万元，占0.00%；经营收入0.00万元，占0.00%；附属单位上缴收入0.00万元，占0.00%；其他收入1.55万元，占0.67%。</w:t>
      </w:r>
    </w:p>
    <w:p w14:paraId="67A75D90">
      <w:pPr>
        <w:spacing w:line="640" w:lineRule="exact"/>
        <w:ind w:firstLine="640"/>
        <w:jc w:val="both"/>
        <w:outlineLvl w:val="2"/>
      </w:pPr>
      <w:r>
        <w:rPr>
          <w:rFonts w:ascii="黑体" w:hAnsi="黑体" w:eastAsia="黑体"/>
          <w:sz w:val="32"/>
        </w:rPr>
        <w:t>三、支出决算情况说明</w:t>
      </w:r>
    </w:p>
    <w:p w14:paraId="67139FF8">
      <w:pPr>
        <w:spacing w:line="580" w:lineRule="exact"/>
        <w:ind w:firstLine="640"/>
        <w:jc w:val="both"/>
      </w:pPr>
      <w:r>
        <w:rPr>
          <w:rFonts w:ascii="仿宋_GB2312" w:hAnsi="仿宋_GB2312" w:eastAsia="仿宋_GB2312"/>
          <w:b/>
          <w:sz w:val="32"/>
        </w:rPr>
        <w:t>本年支出228.52万元，</w:t>
      </w:r>
      <w:r>
        <w:rPr>
          <w:rFonts w:ascii="仿宋_GB2312" w:hAnsi="仿宋_GB2312" w:eastAsia="仿宋_GB2312"/>
          <w:b w:val="0"/>
          <w:sz w:val="32"/>
        </w:rPr>
        <w:t>其中：基本支出221.82万元，占97.07%；项目支出6.70万元，占2.93%；上缴上级支出0.00万元，占0.00%；经营支出0.00万元，占0.00%；对附属单位补助支出0.00万元，占0.00%。</w:t>
      </w:r>
    </w:p>
    <w:p w14:paraId="53D0A409">
      <w:pPr>
        <w:spacing w:line="640" w:lineRule="exact"/>
        <w:ind w:firstLine="640"/>
        <w:jc w:val="both"/>
        <w:outlineLvl w:val="2"/>
      </w:pPr>
      <w:r>
        <w:rPr>
          <w:rFonts w:ascii="黑体" w:hAnsi="黑体" w:eastAsia="黑体"/>
          <w:sz w:val="32"/>
        </w:rPr>
        <w:t>四、财政拨款收入支出决算总体情况说明</w:t>
      </w:r>
    </w:p>
    <w:p w14:paraId="16F9D2FF">
      <w:pPr>
        <w:spacing w:line="580" w:lineRule="exact"/>
        <w:ind w:firstLine="640"/>
        <w:jc w:val="both"/>
      </w:pPr>
      <w:r>
        <w:rPr>
          <w:rFonts w:ascii="仿宋_GB2312" w:hAnsi="仿宋_GB2312" w:eastAsia="仿宋_GB2312"/>
          <w:b/>
          <w:sz w:val="32"/>
        </w:rPr>
        <w:t>2024年度财政拨款收入总计228.52万元，</w:t>
      </w:r>
      <w:r>
        <w:rPr>
          <w:rFonts w:ascii="仿宋_GB2312" w:hAnsi="仿宋_GB2312" w:eastAsia="仿宋_GB2312"/>
          <w:b w:val="0"/>
          <w:sz w:val="32"/>
        </w:rPr>
        <w:t>其中：年初财政拨款结转和结余0.00万元，本年财政拨款收入228.52万元。</w:t>
      </w:r>
      <w:r>
        <w:rPr>
          <w:rFonts w:ascii="仿宋_GB2312" w:hAnsi="仿宋_GB2312" w:eastAsia="仿宋_GB2312"/>
          <w:b/>
          <w:sz w:val="32"/>
        </w:rPr>
        <w:t>财政拨款支出总计228.52万元，</w:t>
      </w:r>
      <w:r>
        <w:rPr>
          <w:rFonts w:ascii="仿宋_GB2312" w:hAnsi="仿宋_GB2312" w:eastAsia="仿宋_GB2312"/>
          <w:b w:val="0"/>
          <w:sz w:val="32"/>
        </w:rPr>
        <w:t>其中：年末财政拨款结转和结余0.00万元，本年财政拨款支出228.52万元。</w:t>
      </w:r>
    </w:p>
    <w:p w14:paraId="413740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减少149.87万元，下降39.61%，主要原因是：本年减少阿克别斗乡江阔拉村草原补偿费资金项目、库鲁斯台草原生态保护资金；本年在职人员减少，相关人员经费较上年减少。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年初预算数221.53万元，决算数228.52万元，预决算差异率3.16%，主要原因是：年中追加人员工资、社保、公积金基数调增部分资金，导致预决算存在差异。</w:t>
      </w:r>
    </w:p>
    <w:p w14:paraId="489ACE95">
      <w:pPr>
        <w:spacing w:line="640" w:lineRule="exact"/>
        <w:ind w:firstLine="640"/>
        <w:jc w:val="both"/>
        <w:outlineLvl w:val="2"/>
      </w:pPr>
      <w:r>
        <w:rPr>
          <w:rFonts w:ascii="黑体" w:hAnsi="黑体" w:eastAsia="黑体"/>
          <w:sz w:val="32"/>
        </w:rPr>
        <w:t>五、一般公共预算财政拨款支出决算情况说明</w:t>
      </w:r>
    </w:p>
    <w:p w14:paraId="043D4DC8">
      <w:pPr>
        <w:spacing w:line="640" w:lineRule="exact"/>
        <w:ind w:firstLine="640"/>
        <w:jc w:val="both"/>
        <w:outlineLvl w:val="3"/>
      </w:pPr>
      <w:r>
        <w:rPr>
          <w:rFonts w:ascii="楷体_GB2312" w:hAnsi="楷体_GB2312" w:eastAsia="楷体_GB2312"/>
          <w:b/>
          <w:sz w:val="32"/>
        </w:rPr>
        <w:t>（一）一般公共预算财政拨款支出决算总体情况</w:t>
      </w:r>
    </w:p>
    <w:p w14:paraId="02FD19B4">
      <w:pPr>
        <w:spacing w:line="580" w:lineRule="exact"/>
        <w:ind w:firstLine="640"/>
        <w:jc w:val="both"/>
      </w:pPr>
      <w:r>
        <w:rPr>
          <w:rFonts w:ascii="仿宋_GB2312" w:hAnsi="仿宋_GB2312" w:eastAsia="仿宋_GB2312"/>
          <w:b/>
          <w:sz w:val="32"/>
        </w:rPr>
        <w:t>2024年度一般公共预算财政拨款支出228.52万元，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减少149.87万元，下降39.61%，主要原因是：本年减少阿克别斗乡江阔拉村草原补偿费资金项目、库鲁斯台草原生态保护资金；本年在职人员减少，相关人员经费较上年减少。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年初预算数221.53万元，决算数228.52万元，预决算差异率3.16%，主要原因是：年中追加人员工资、社保、公积金基数调增部分资金，导致预决算存在差异。</w:t>
      </w:r>
    </w:p>
    <w:p w14:paraId="6DBB33C5">
      <w:pPr>
        <w:spacing w:line="640" w:lineRule="exact"/>
        <w:ind w:firstLine="640"/>
        <w:jc w:val="both"/>
        <w:outlineLvl w:val="3"/>
      </w:pPr>
      <w:r>
        <w:rPr>
          <w:rFonts w:ascii="楷体_GB2312" w:hAnsi="楷体_GB2312" w:eastAsia="楷体_GB2312"/>
          <w:b/>
          <w:sz w:val="32"/>
        </w:rPr>
        <w:t>（二）一般公共预算财政拨款支出决算结构情况</w:t>
      </w:r>
    </w:p>
    <w:p w14:paraId="7EEF557C">
      <w:pPr>
        <w:spacing w:line="580" w:lineRule="exact"/>
        <w:ind w:firstLine="640"/>
        <w:jc w:val="both"/>
      </w:pPr>
      <w:r>
        <w:rPr>
          <w:rFonts w:ascii="仿宋_GB2312" w:hAnsi="仿宋_GB2312" w:eastAsia="仿宋_GB2312"/>
          <w:b w:val="0"/>
          <w:sz w:val="32"/>
        </w:rPr>
        <w:t>1.社会保障和就业支出(类)41.42万元,占18.13%。</w:t>
      </w:r>
    </w:p>
    <w:p w14:paraId="0194503B">
      <w:pPr>
        <w:spacing w:line="580" w:lineRule="exact"/>
        <w:ind w:firstLine="640"/>
        <w:jc w:val="both"/>
      </w:pPr>
      <w:r>
        <w:rPr>
          <w:rFonts w:ascii="仿宋_GB2312" w:hAnsi="仿宋_GB2312" w:eastAsia="仿宋_GB2312"/>
          <w:b w:val="0"/>
          <w:sz w:val="32"/>
        </w:rPr>
        <w:t>2.卫生健康支出(类)10.08万元,占4.41%。</w:t>
      </w:r>
    </w:p>
    <w:p w14:paraId="1CB3F815">
      <w:pPr>
        <w:spacing w:line="580" w:lineRule="exact"/>
        <w:ind w:firstLine="640"/>
        <w:jc w:val="both"/>
      </w:pPr>
      <w:r>
        <w:rPr>
          <w:rFonts w:ascii="仿宋_GB2312" w:hAnsi="仿宋_GB2312" w:eastAsia="仿宋_GB2312"/>
          <w:b w:val="0"/>
          <w:sz w:val="32"/>
        </w:rPr>
        <w:t>3.农林水支出(类)162.89万元,占71.28%。</w:t>
      </w:r>
    </w:p>
    <w:p w14:paraId="46D3DDB8">
      <w:pPr>
        <w:spacing w:line="580" w:lineRule="exact"/>
        <w:ind w:firstLine="640"/>
        <w:jc w:val="both"/>
      </w:pPr>
      <w:r>
        <w:rPr>
          <w:rFonts w:ascii="仿宋_GB2312" w:hAnsi="仿宋_GB2312" w:eastAsia="仿宋_GB2312"/>
          <w:b w:val="0"/>
          <w:sz w:val="32"/>
        </w:rPr>
        <w:t>4.住房保障支出(类)14.14万元,占6.19%。</w:t>
      </w:r>
    </w:p>
    <w:p w14:paraId="27E4BDB2">
      <w:pPr>
        <w:spacing w:line="640" w:lineRule="exact"/>
        <w:ind w:firstLine="640"/>
        <w:jc w:val="both"/>
        <w:outlineLvl w:val="3"/>
      </w:pPr>
      <w:r>
        <w:rPr>
          <w:rFonts w:ascii="楷体_GB2312" w:hAnsi="楷体_GB2312" w:eastAsia="楷体_GB2312"/>
          <w:b/>
          <w:sz w:val="32"/>
        </w:rPr>
        <w:t>（三）一般公共预算财政拨款支出决算具体情况</w:t>
      </w:r>
    </w:p>
    <w:p w14:paraId="3A87EF9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1.社会保障和就业支出(类)行政事业单位养老支出(款)行政单位离退休(项):支出决算数为11.22万元，比上年决算增加1.41万元，增长14.37%,主要原因是：本年增加退休人员2人，退休费支出增加。</w:t>
      </w:r>
    </w:p>
    <w:p w14:paraId="10835E7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17.35万元，比上年决算减少3.64万元，下降17.34%,主要原因是：本年在职人员减少，单位基本养老保险缴费较上年减少。</w:t>
      </w:r>
    </w:p>
    <w:p w14:paraId="50B8250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12.85万元，比上年决算减少6.40万元，下降33.25%,主要原因是：本年新增退休人员较上年减少，职业年金缴费较上年减少。</w:t>
      </w:r>
    </w:p>
    <w:p w14:paraId="603175C1">
      <w:pPr>
        <w:spacing w:line="580" w:lineRule="exact"/>
        <w:ind w:firstLine="640"/>
        <w:jc w:val="both"/>
      </w:pPr>
      <w:r>
        <w:rPr>
          <w:rFonts w:ascii="仿宋_GB2312" w:hAnsi="仿宋_GB2312" w:eastAsia="仿宋_GB2312"/>
          <w:b w:val="0"/>
          <w:sz w:val="32"/>
        </w:rPr>
        <w:t>4.卫生健康支出(类)行政事业单位医疗(款)行政单位医疗(项):支出决算数为6.40万元，比上年决算减少3.10万元，下降32.63%,主要原因是：本年在职人员减少，行政单位医疗支出较上年减少。</w:t>
      </w:r>
    </w:p>
    <w:p w14:paraId="29180BAB">
      <w:pPr>
        <w:spacing w:line="580" w:lineRule="exact"/>
        <w:ind w:firstLine="640"/>
        <w:jc w:val="both"/>
      </w:pPr>
      <w:r>
        <w:rPr>
          <w:rFonts w:ascii="仿宋_GB2312" w:hAnsi="仿宋_GB2312" w:eastAsia="仿宋_GB2312"/>
          <w:b w:val="0"/>
          <w:sz w:val="32"/>
        </w:rPr>
        <w:t>5.卫生健康支出(类)行政事业单位医疗(款)公务员医疗补助(项):支出决算数为3.68万元，比上年决算减少0.78万元，下降17.49%,主要原因是：本年在职人员减少，公务员医疗补助较上年减少。</w:t>
      </w:r>
    </w:p>
    <w:p w14:paraId="238D80CE">
      <w:pPr>
        <w:spacing w:line="580" w:lineRule="exact"/>
        <w:ind w:firstLine="640"/>
        <w:jc w:val="both"/>
      </w:pPr>
      <w:r>
        <w:rPr>
          <w:rFonts w:ascii="仿宋_GB2312" w:hAnsi="仿宋_GB2312" w:eastAsia="仿宋_GB2312"/>
          <w:b w:val="0"/>
          <w:sz w:val="32"/>
        </w:rPr>
        <w:t>6.节能环保支出(类)自然生态保护(款)草原生态修复治理(项):支出决算数为0.00万元，比上年决算减少1.00万元，下降100.00%,主要原因是：本年减少库鲁斯台草原生态保护资金。</w:t>
      </w:r>
    </w:p>
    <w:p w14:paraId="2BF67B07">
      <w:pPr>
        <w:spacing w:line="580" w:lineRule="exact"/>
        <w:ind w:firstLine="640"/>
        <w:jc w:val="both"/>
      </w:pPr>
      <w:r>
        <w:rPr>
          <w:rFonts w:ascii="仿宋_GB2312" w:hAnsi="仿宋_GB2312" w:eastAsia="仿宋_GB2312"/>
          <w:b w:val="0"/>
          <w:sz w:val="32"/>
        </w:rPr>
        <w:t>7.农林水支出(类)农业农村(款)行政运行(项):支出决算数为156.19万元，比上年决算减少9.12万元，下降5.52%,主要原因是：本年在职人员减少，相应人员经费较上年减少。</w:t>
      </w:r>
    </w:p>
    <w:p w14:paraId="0E7F11F6">
      <w:pPr>
        <w:spacing w:line="580" w:lineRule="exact"/>
        <w:ind w:firstLine="640"/>
        <w:jc w:val="both"/>
      </w:pPr>
      <w:r>
        <w:rPr>
          <w:rFonts w:ascii="仿宋_GB2312" w:hAnsi="仿宋_GB2312" w:eastAsia="仿宋_GB2312"/>
          <w:b w:val="0"/>
          <w:sz w:val="32"/>
        </w:rPr>
        <w:t>8.农林水支出(类)林业和草原(款)草原管理(项):支出决算数为6.00万元，比上年决算增加6.00万元，增长100.00%,主要原因是：本年增加自治区财政林草专项资金草原植被恢复费（禁牧，</w:t>
      </w:r>
      <w:r>
        <w:rPr>
          <w:rFonts w:hint="eastAsia" w:ascii="仿宋_GB2312" w:hAnsi="仿宋_GB2312" w:eastAsia="仿宋_GB2312"/>
          <w:b w:val="0"/>
          <w:sz w:val="32"/>
          <w:lang w:eastAsia="zh-CN"/>
        </w:rPr>
        <w:t>草畜平衡</w:t>
      </w:r>
      <w:r>
        <w:rPr>
          <w:rFonts w:ascii="仿宋_GB2312" w:hAnsi="仿宋_GB2312" w:eastAsia="仿宋_GB2312"/>
          <w:b w:val="0"/>
          <w:sz w:val="32"/>
        </w:rPr>
        <w:t>和执法监管）项目。</w:t>
      </w:r>
    </w:p>
    <w:p w14:paraId="5265482B">
      <w:pPr>
        <w:spacing w:line="580" w:lineRule="exact"/>
        <w:ind w:firstLine="640"/>
        <w:jc w:val="both"/>
      </w:pPr>
      <w:r>
        <w:rPr>
          <w:rFonts w:ascii="仿宋_GB2312" w:hAnsi="仿宋_GB2312" w:eastAsia="仿宋_GB2312"/>
          <w:b w:val="0"/>
          <w:sz w:val="32"/>
        </w:rPr>
        <w:t>9.农林水支出(类)林业和草原(款)其他林业和草原支出(项):支出决算数为0.70万元，比上年决算减少130.59万元，下降99.47%,主要原因是：本年减少阿克别斗乡江阔拉村草原补偿费资金项目。</w:t>
      </w:r>
    </w:p>
    <w:p w14:paraId="76ABBC60">
      <w:pPr>
        <w:spacing w:line="580" w:lineRule="exact"/>
        <w:ind w:firstLine="640"/>
        <w:jc w:val="both"/>
      </w:pPr>
      <w:r>
        <w:rPr>
          <w:rFonts w:ascii="仿宋_GB2312" w:hAnsi="仿宋_GB2312" w:eastAsia="仿宋_GB2312"/>
          <w:b w:val="0"/>
          <w:sz w:val="32"/>
        </w:rPr>
        <w:t>10.住房保障支出(类)住房改革支出(款)住房公积金(项):支出决算数为14.14万元，比上年决算减少2.64万元，下降15.73%,主要原因是：本年在职人员减少，住房公积金缴费较上年减少。</w:t>
      </w:r>
    </w:p>
    <w:p w14:paraId="05341C63">
      <w:pPr>
        <w:spacing w:line="640" w:lineRule="exact"/>
        <w:ind w:firstLine="640"/>
        <w:jc w:val="both"/>
        <w:outlineLvl w:val="2"/>
      </w:pPr>
      <w:r>
        <w:rPr>
          <w:rFonts w:ascii="黑体" w:hAnsi="黑体" w:eastAsia="黑体"/>
          <w:sz w:val="32"/>
        </w:rPr>
        <w:t>六、一般公共预算财政拨款基本支出决算情况说明</w:t>
      </w:r>
    </w:p>
    <w:p w14:paraId="2E70E8F6">
      <w:pPr>
        <w:spacing w:line="580" w:lineRule="exact"/>
        <w:ind w:firstLine="640"/>
        <w:jc w:val="both"/>
      </w:pPr>
      <w:r>
        <w:rPr>
          <w:rFonts w:ascii="仿宋_GB2312" w:hAnsi="仿宋_GB2312" w:eastAsia="仿宋_GB2312"/>
          <w:b w:val="0"/>
          <w:sz w:val="32"/>
        </w:rPr>
        <w:t>2024年度一般公共预算财政拨款基本支出221.82万元，其中：</w:t>
      </w:r>
      <w:r>
        <w:rPr>
          <w:rFonts w:ascii="仿宋_GB2312" w:hAnsi="仿宋_GB2312" w:eastAsia="仿宋_GB2312"/>
          <w:b/>
          <w:sz w:val="32"/>
        </w:rPr>
        <w:t>人员经费214.49万元，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6E1A8405">
      <w:pPr>
        <w:spacing w:line="580" w:lineRule="exact"/>
        <w:ind w:firstLine="640"/>
        <w:jc w:val="both"/>
      </w:pPr>
      <w:r>
        <w:rPr>
          <w:rFonts w:ascii="仿宋_GB2312" w:hAnsi="仿宋_GB2312" w:eastAsia="仿宋_GB2312"/>
          <w:b/>
          <w:sz w:val="32"/>
        </w:rPr>
        <w:t>公用经费7.32万元，</w:t>
      </w:r>
      <w:r>
        <w:rPr>
          <w:rFonts w:ascii="仿宋_GB2312" w:hAnsi="仿宋_GB2312" w:eastAsia="仿宋_GB2312"/>
          <w:b w:val="0"/>
          <w:sz w:val="32"/>
        </w:rPr>
        <w:t>包括：办公费、印刷费、取暖费、工会经费、公务用车运行维护费。</w:t>
      </w:r>
    </w:p>
    <w:p w14:paraId="05192575">
      <w:pPr>
        <w:spacing w:line="640" w:lineRule="exact"/>
        <w:ind w:firstLine="640"/>
        <w:jc w:val="both"/>
        <w:outlineLvl w:val="2"/>
      </w:pPr>
      <w:r>
        <w:rPr>
          <w:rFonts w:ascii="黑体" w:hAnsi="黑体" w:eastAsia="黑体"/>
          <w:sz w:val="32"/>
        </w:rPr>
        <w:t>七、政府性基金预算财政拨款收入支出决算情况说明</w:t>
      </w:r>
    </w:p>
    <w:p w14:paraId="1E14DD5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165E3C6">
      <w:pPr>
        <w:spacing w:line="640" w:lineRule="exact"/>
        <w:ind w:firstLine="640"/>
        <w:jc w:val="both"/>
        <w:outlineLvl w:val="2"/>
      </w:pPr>
      <w:r>
        <w:rPr>
          <w:rFonts w:ascii="黑体" w:hAnsi="黑体" w:eastAsia="黑体"/>
          <w:sz w:val="32"/>
        </w:rPr>
        <w:t>八、国有资本经营预算财政拨款收入支出决算情况说明</w:t>
      </w:r>
    </w:p>
    <w:p w14:paraId="2C130B0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8D2A04">
      <w:pPr>
        <w:spacing w:line="640" w:lineRule="exact"/>
        <w:ind w:firstLine="640"/>
        <w:jc w:val="both"/>
        <w:outlineLvl w:val="2"/>
      </w:pPr>
      <w:r>
        <w:rPr>
          <w:rFonts w:ascii="黑体" w:hAnsi="黑体" w:eastAsia="黑体"/>
          <w:sz w:val="32"/>
        </w:rPr>
        <w:t>九、财政拨款“三公”经费支出决算情况说明</w:t>
      </w:r>
    </w:p>
    <w:p w14:paraId="6A5C4C5A">
      <w:pPr>
        <w:spacing w:line="580" w:lineRule="exact"/>
        <w:ind w:firstLine="640"/>
        <w:jc w:val="both"/>
      </w:pPr>
      <w:r>
        <w:rPr>
          <w:rFonts w:ascii="仿宋_GB2312" w:hAnsi="仿宋_GB2312" w:eastAsia="仿宋_GB2312"/>
          <w:b/>
          <w:sz w:val="32"/>
        </w:rPr>
        <w:t>2024年度财政拨款“三公”经费支出4.03万元，</w:t>
      </w:r>
      <w:r>
        <w:rPr>
          <w:rFonts w:ascii="仿宋_GB2312" w:hAnsi="仿宋_GB2312" w:eastAsia="仿宋_GB2312"/>
          <w:b w:val="0"/>
          <w:sz w:val="32"/>
        </w:rPr>
        <w:t>比上年减少4.73万元，下降54.00%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4.03万元，占100.00%，比上年减少4.73万元，下降54.00%，主要原因是：严格落实中央八项规定精神，厉行节约，减少公务用车运行维护费。公务接待费支出0.00万元，占0.00%，比上年增加0.00万元，增长0.00%，主要原因是：2023年与2024年均未安排公务接待费支出。</w:t>
      </w:r>
    </w:p>
    <w:p w14:paraId="70C219A5">
      <w:pPr>
        <w:spacing w:line="580" w:lineRule="exact"/>
        <w:ind w:firstLine="640"/>
        <w:jc w:val="both"/>
      </w:pPr>
      <w:r>
        <w:rPr>
          <w:rFonts w:ascii="仿宋_GB2312" w:hAnsi="仿宋_GB2312" w:eastAsia="仿宋_GB2312"/>
          <w:b/>
          <w:sz w:val="32"/>
        </w:rPr>
        <w:t>具体情况如下：</w:t>
      </w:r>
    </w:p>
    <w:p w14:paraId="0599DF7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043C3D">
      <w:pPr>
        <w:spacing w:line="580" w:lineRule="exact"/>
        <w:ind w:firstLine="640"/>
        <w:jc w:val="both"/>
      </w:pPr>
      <w:r>
        <w:rPr>
          <w:rFonts w:ascii="仿宋_GB2312" w:hAnsi="仿宋_GB2312" w:eastAsia="仿宋_GB2312"/>
          <w:b w:val="0"/>
          <w:sz w:val="32"/>
        </w:rPr>
        <w:t>公务用车购置及运行维护费4.03万元，其中：公务用车购置费0.00万元，公务用车运行维护费4.03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70A6EB5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4AF8B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4.03万元，决算数4.03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4.03万元，决算数4.03万元，预决算差异率0.00%，主要原因是：严格按照预算执行，预决算无差异。公务接待费全年预算数0.00万元，决算数0.00万元，预决算差异率0.00%，主要原因是：本单位无公务接待费。</w:t>
      </w:r>
    </w:p>
    <w:p w14:paraId="565B1100">
      <w:pPr>
        <w:spacing w:line="640" w:lineRule="exact"/>
        <w:ind w:firstLine="640"/>
        <w:jc w:val="both"/>
        <w:outlineLvl w:val="2"/>
      </w:pPr>
      <w:r>
        <w:rPr>
          <w:rFonts w:ascii="黑体" w:hAnsi="黑体" w:eastAsia="黑体"/>
          <w:sz w:val="32"/>
        </w:rPr>
        <w:t>十、其他重要事项的情况说明</w:t>
      </w:r>
    </w:p>
    <w:p w14:paraId="2F7EBD14">
      <w:pPr>
        <w:spacing w:line="640" w:lineRule="exact"/>
        <w:ind w:firstLine="640"/>
        <w:jc w:val="both"/>
        <w:outlineLvl w:val="3"/>
      </w:pPr>
      <w:r>
        <w:rPr>
          <w:rFonts w:ascii="楷体_GB2312" w:hAnsi="楷体_GB2312" w:eastAsia="楷体_GB2312"/>
          <w:b/>
          <w:sz w:val="32"/>
        </w:rPr>
        <w:t>（一）机关运行经费及公用经费支出情况</w:t>
      </w:r>
    </w:p>
    <w:p w14:paraId="64ABA772">
      <w:pPr>
        <w:spacing w:line="580" w:lineRule="exact"/>
        <w:ind w:firstLine="640"/>
        <w:jc w:val="both"/>
      </w:pPr>
      <w:r>
        <w:rPr>
          <w:rFonts w:ascii="仿宋_GB2312" w:hAnsi="仿宋_GB2312" w:eastAsia="仿宋_GB2312"/>
          <w:b w:val="0"/>
          <w:sz w:val="32"/>
        </w:rPr>
        <w:t>2024年度托里县草原监理站（行政单位和参照公务员法管理事业单位）机关运行经费支出7.32万元，比上年增加4.00万元，增长120.48%，主要原因是：本年更新、维护补充办公用品，导致机关运行经费较上年增加。</w:t>
      </w:r>
    </w:p>
    <w:p w14:paraId="23247EF8">
      <w:pPr>
        <w:spacing w:line="640" w:lineRule="exact"/>
        <w:ind w:firstLine="640"/>
        <w:jc w:val="both"/>
        <w:outlineLvl w:val="3"/>
      </w:pPr>
      <w:r>
        <w:rPr>
          <w:rFonts w:ascii="楷体_GB2312" w:hAnsi="楷体_GB2312" w:eastAsia="楷体_GB2312"/>
          <w:b/>
          <w:sz w:val="32"/>
        </w:rPr>
        <w:t>（二）政府采购情况</w:t>
      </w:r>
    </w:p>
    <w:p w14:paraId="4C43CA1E">
      <w:pPr>
        <w:spacing w:line="580" w:lineRule="exact"/>
        <w:ind w:firstLine="640"/>
        <w:jc w:val="both"/>
      </w:pPr>
      <w:r>
        <w:rPr>
          <w:rFonts w:ascii="仿宋_GB2312" w:hAnsi="仿宋_GB2312" w:eastAsia="仿宋_GB2312"/>
          <w:b w:val="0"/>
          <w:sz w:val="32"/>
        </w:rPr>
        <w:t>2024年度政府采购支出总额8.73万元，其中：政府采购货物支出2.32万元、政府采购工程支出0.00万元、政府采购服务支出6.41万元。</w:t>
      </w:r>
    </w:p>
    <w:p w14:paraId="55D4B46B">
      <w:pPr>
        <w:spacing w:line="580" w:lineRule="exact"/>
        <w:ind w:firstLine="640"/>
        <w:jc w:val="both"/>
      </w:pPr>
      <w:r>
        <w:rPr>
          <w:rFonts w:ascii="仿宋_GB2312" w:hAnsi="仿宋_GB2312" w:eastAsia="仿宋_GB2312"/>
          <w:b w:val="0"/>
          <w:sz w:val="32"/>
        </w:rPr>
        <w:t>授予中小企业合同金额8.33万元，占政府采购支出总额的95.42%，其中：授予小微企业合同金额8.33万元，占政府采购支出总额的95.42%。</w:t>
      </w:r>
    </w:p>
    <w:p w14:paraId="10FECACE">
      <w:pPr>
        <w:spacing w:line="640" w:lineRule="exact"/>
        <w:ind w:firstLine="640"/>
        <w:jc w:val="both"/>
        <w:outlineLvl w:val="3"/>
      </w:pPr>
      <w:r>
        <w:rPr>
          <w:rFonts w:ascii="楷体_GB2312" w:hAnsi="楷体_GB2312" w:eastAsia="楷体_GB2312"/>
          <w:b/>
          <w:sz w:val="32"/>
        </w:rPr>
        <w:t>（三）国有资产占用情况说明</w:t>
      </w:r>
      <w:bookmarkStart w:id="0" w:name="_GoBack"/>
      <w:bookmarkEnd w:id="0"/>
    </w:p>
    <w:p w14:paraId="770464B2">
      <w:pPr>
        <w:spacing w:line="580" w:lineRule="exact"/>
        <w:ind w:firstLine="640"/>
        <w:jc w:val="both"/>
      </w:pPr>
      <w:r>
        <w:rPr>
          <w:rFonts w:ascii="仿宋_GB2312" w:hAnsi="仿宋_GB2312" w:eastAsia="仿宋_GB2312"/>
          <w:b w:val="0"/>
          <w:sz w:val="32"/>
        </w:rPr>
        <w:t>截至2024年12月31日，房屋80.00平方米，价值28.28万元。车辆3辆，价值42.18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7DEAFCDE">
      <w:pPr>
        <w:spacing w:line="640" w:lineRule="exact"/>
        <w:ind w:firstLine="640"/>
        <w:jc w:val="both"/>
        <w:outlineLvl w:val="2"/>
      </w:pPr>
      <w:r>
        <w:rPr>
          <w:rFonts w:ascii="黑体" w:hAnsi="黑体" w:eastAsia="黑体"/>
          <w:sz w:val="32"/>
        </w:rPr>
        <w:t>十一、预算绩效的情况说明</w:t>
      </w:r>
    </w:p>
    <w:p w14:paraId="44CCF46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230.88万元，实际执行总额228.52万元；预算绩效评价项目3个，全年预算数6.70万元，全年执行数6.70万元。预算绩效管理取得的成效：一是预算执行情况分析，本年度，单位根据年度预算计划对预算执行情况进行了详细分析，通过对各项预算支出的核对和对比，清楚地了解了资金的使用情况，对资金使用不当的，及时采取补救措施，确保资金的有效使用。二是数据核对情况，首先明确核对的目的和范围，确定要核对的数据内容和相关的逻辑关系，然后，我们按照流程进行数据抽取、对比和确认，确保核对的全面和准确性。发现的问题及原因：一是对预算绩效管理认识不足；二是制定和编制预算绩效管理指标的能力不足。下一步改进措施：一是提高人员对预算绩效管理的认识，通过培训提高人员对预算绩效管理的认识，使其充分认识到预算绩效管理，是单位内部控制不可缺少的部分，是实现单位发展规划、最大限度发挥单位职能和完成年度目标任务的有效手段。二是加强对基层事业单位预算绩效管理的考核及结果应用将预算绩效管理及其评价纳入对单位和人员的年度目标绩效考核，以提高全体员工对该项工作的重视程度，必要时，建立专项奖惩机制，强化对违规和低效的责任追究机制，以促进单位预算绩效管理工作持续改进。具体附整体支出绩效自评表，项目支出绩效自评表和评价报告。</w:t>
      </w:r>
    </w:p>
    <w:p w14:paraId="6E6F5BC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8370450">
        <w:tblPrEx>
          <w:tblCellMar>
            <w:top w:w="0" w:type="dxa"/>
            <w:left w:w="108" w:type="dxa"/>
            <w:bottom w:w="0" w:type="dxa"/>
            <w:right w:w="108" w:type="dxa"/>
          </w:tblCellMar>
        </w:tblPrEx>
        <w:tc>
          <w:tcPr>
            <w:tcW w:w="8840" w:type="dxa"/>
            <w:gridSpan w:val="8"/>
            <w:vAlign w:val="center"/>
          </w:tcPr>
          <w:p w14:paraId="0701B33C">
            <w:pPr>
              <w:jc w:val="center"/>
            </w:pPr>
            <w:r>
              <w:rPr>
                <w:rFonts w:ascii="宋体" w:hAnsi="宋体" w:eastAsia="宋体"/>
                <w:sz w:val="24"/>
              </w:rPr>
              <w:t>单位整体支出绩效自评表</w:t>
            </w:r>
          </w:p>
        </w:tc>
      </w:tr>
      <w:tr w14:paraId="5B09D11E">
        <w:tblPrEx>
          <w:tblCellMar>
            <w:top w:w="0" w:type="dxa"/>
            <w:left w:w="108" w:type="dxa"/>
            <w:bottom w:w="0" w:type="dxa"/>
            <w:right w:w="108" w:type="dxa"/>
          </w:tblCellMar>
        </w:tblPrEx>
        <w:tc>
          <w:tcPr>
            <w:tcW w:w="8840" w:type="dxa"/>
            <w:gridSpan w:val="8"/>
            <w:vAlign w:val="center"/>
          </w:tcPr>
          <w:p w14:paraId="15FAC3B8">
            <w:pPr>
              <w:jc w:val="center"/>
            </w:pPr>
            <w:r>
              <w:rPr>
                <w:rFonts w:ascii="宋体" w:hAnsi="宋体" w:eastAsia="宋体"/>
                <w:sz w:val="24"/>
              </w:rPr>
              <w:t>（2024年度）</w:t>
            </w:r>
          </w:p>
        </w:tc>
      </w:tr>
      <w:tr w14:paraId="7E678D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4D40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D6A66">
            <w:pPr>
              <w:jc w:val="center"/>
            </w:pPr>
            <w:r>
              <w:rPr>
                <w:rFonts w:ascii="宋体" w:hAnsi="宋体" w:eastAsia="宋体"/>
                <w:sz w:val="16"/>
              </w:rPr>
              <w:t>托里县草原监理站</w:t>
            </w:r>
          </w:p>
        </w:tc>
      </w:tr>
      <w:tr w14:paraId="346C62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DA2F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1D83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368E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1008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F044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DF00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8C86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E949E">
            <w:pPr>
              <w:jc w:val="center"/>
            </w:pPr>
            <w:r>
              <w:rPr>
                <w:rFonts w:ascii="宋体" w:hAnsi="宋体" w:eastAsia="宋体"/>
                <w:sz w:val="16"/>
              </w:rPr>
              <w:t>得分</w:t>
            </w:r>
          </w:p>
        </w:tc>
      </w:tr>
      <w:tr w14:paraId="41B22D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00C8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C043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ED625">
            <w:pPr>
              <w:jc w:val="center"/>
            </w:pPr>
            <w:r>
              <w:rPr>
                <w:rFonts w:ascii="宋体" w:hAnsi="宋体" w:eastAsia="宋体"/>
                <w:sz w:val="16"/>
              </w:rPr>
              <w:t>221.53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95DAA">
            <w:pPr>
              <w:jc w:val="center"/>
            </w:pPr>
            <w:r>
              <w:rPr>
                <w:rFonts w:ascii="宋体" w:hAnsi="宋体" w:eastAsia="宋体"/>
                <w:sz w:val="16"/>
              </w:rPr>
              <w:t>230.88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32118">
            <w:pPr>
              <w:jc w:val="center"/>
            </w:pPr>
            <w:r>
              <w:rPr>
                <w:rFonts w:ascii="宋体" w:hAnsi="宋体" w:eastAsia="宋体"/>
                <w:sz w:val="16"/>
              </w:rPr>
              <w:t>228.52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DBE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D84DA">
            <w:pPr>
              <w:jc w:val="center"/>
            </w:pPr>
            <w:r>
              <w:rPr>
                <w:rFonts w:ascii="宋体" w:hAnsi="宋体" w:eastAsia="宋体"/>
                <w:sz w:val="16"/>
              </w:rPr>
              <w:t>98.98%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1D278">
            <w:pPr>
              <w:jc w:val="center"/>
            </w:pPr>
            <w:r>
              <w:rPr>
                <w:rFonts w:ascii="宋体" w:hAnsi="宋体" w:eastAsia="宋体"/>
                <w:sz w:val="16"/>
              </w:rPr>
              <w:t>9.9</w:t>
            </w:r>
          </w:p>
        </w:tc>
      </w:tr>
      <w:tr w14:paraId="0C7259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7B65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4460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DE756">
            <w:pPr>
              <w:jc w:val="center"/>
            </w:pPr>
            <w:r>
              <w:rPr>
                <w:rFonts w:ascii="宋体" w:hAnsi="宋体" w:eastAsia="宋体"/>
                <w:sz w:val="16"/>
              </w:rPr>
              <w:t>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C6A04">
            <w:pPr>
              <w:jc w:val="center"/>
            </w:pPr>
            <w:r>
              <w:rPr>
                <w:rFonts w:ascii="宋体" w:hAnsi="宋体" w:eastAsia="宋体"/>
                <w:sz w:val="16"/>
              </w:rPr>
              <w:t>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FA60A">
            <w:pPr>
              <w:jc w:val="center"/>
            </w:pPr>
            <w:r>
              <w:rPr>
                <w:rFonts w:ascii="宋体" w:hAnsi="宋体" w:eastAsia="宋体"/>
                <w:sz w:val="16"/>
              </w:rPr>
              <w:t>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0EE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7FC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1EAC7">
            <w:pPr>
              <w:jc w:val="center"/>
            </w:pPr>
            <w:r>
              <w:rPr>
                <w:rFonts w:ascii="宋体" w:hAnsi="宋体" w:eastAsia="宋体"/>
                <w:sz w:val="16"/>
              </w:rPr>
              <w:t>-</w:t>
            </w:r>
          </w:p>
        </w:tc>
      </w:tr>
      <w:tr w14:paraId="08E6C8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0D5A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E552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7C501">
            <w:pPr>
              <w:jc w:val="center"/>
            </w:pPr>
            <w:r>
              <w:rPr>
                <w:rFonts w:ascii="宋体" w:hAnsi="宋体" w:eastAsia="宋体"/>
                <w:sz w:val="16"/>
              </w:rPr>
              <w:t>213.82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9F655">
            <w:pPr>
              <w:jc w:val="center"/>
            </w:pPr>
            <w:r>
              <w:rPr>
                <w:rFonts w:ascii="宋体" w:hAnsi="宋体" w:eastAsia="宋体"/>
                <w:sz w:val="16"/>
              </w:rPr>
              <w:t>225.18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7A04C">
            <w:pPr>
              <w:jc w:val="center"/>
            </w:pPr>
            <w:r>
              <w:rPr>
                <w:rFonts w:ascii="宋体" w:hAnsi="宋体" w:eastAsia="宋体"/>
                <w:sz w:val="16"/>
              </w:rPr>
              <w:t>222.82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AC8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7C4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DDB9E">
            <w:pPr>
              <w:jc w:val="center"/>
            </w:pPr>
            <w:r>
              <w:rPr>
                <w:rFonts w:ascii="宋体" w:hAnsi="宋体" w:eastAsia="宋体"/>
                <w:sz w:val="16"/>
              </w:rPr>
              <w:t>-</w:t>
            </w:r>
          </w:p>
        </w:tc>
      </w:tr>
      <w:tr w14:paraId="765151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7A90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1FF7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6B2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7A44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7637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096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0A1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E5AC5">
            <w:pPr>
              <w:jc w:val="center"/>
            </w:pPr>
            <w:r>
              <w:rPr>
                <w:rFonts w:ascii="宋体" w:hAnsi="宋体" w:eastAsia="宋体"/>
                <w:sz w:val="16"/>
              </w:rPr>
              <w:t>-</w:t>
            </w:r>
          </w:p>
        </w:tc>
      </w:tr>
      <w:tr w14:paraId="15F713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9242C">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B664D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BAD21E">
            <w:pPr>
              <w:jc w:val="center"/>
            </w:pPr>
            <w:r>
              <w:rPr>
                <w:rFonts w:ascii="宋体" w:hAnsi="宋体" w:eastAsia="宋体"/>
                <w:sz w:val="16"/>
              </w:rPr>
              <w:t>实际完成情况</w:t>
            </w:r>
          </w:p>
        </w:tc>
      </w:tr>
      <w:tr w14:paraId="4A4B16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6B603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22FB9">
            <w:pPr>
              <w:jc w:val="both"/>
            </w:pPr>
            <w:r>
              <w:rPr>
                <w:rFonts w:ascii="宋体" w:hAnsi="宋体" w:eastAsia="宋体"/>
                <w:sz w:val="16"/>
              </w:rPr>
              <w:t>采取有力措施提升对草原生态巡查和保护力度，进一步加大对草原法律法规宣传工作力度，大力宣传保护草原生态环境，提高草原的利用率。同时加大对采挖药用植物的打击力度和巡查力度。草原生态保护巡查次数&gt;=36，举办草原业务工作培训次数&gt;=12次，宣传资料1.5万余份，巡查次数每月不少于3次，草原法律法规宣传率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ABA9BA">
            <w:pPr>
              <w:jc w:val="both"/>
            </w:pPr>
            <w:r>
              <w:rPr>
                <w:rFonts w:ascii="宋体" w:hAnsi="宋体" w:eastAsia="宋体"/>
                <w:sz w:val="16"/>
              </w:rPr>
              <w:t>采取有力措施提升对草原生态巡查和保护力度，进一步加大对草原法律法规宣传工作力度，大力宣传保护草原生态环境，提高草原的利用率。同时加大对采挖药用植物的打击力度和巡查力度。草原生态保护巡查次数&gt;=36，举办草原业务工作培训次数&gt;=12次，宣传资料1.5万余份，巡查次数每月不少于3次，草原法律法规宣传率100%。</w:t>
            </w:r>
          </w:p>
        </w:tc>
      </w:tr>
      <w:tr w14:paraId="631D302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C707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CA17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8E18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6FAC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CED42">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E01C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EECC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35DF2">
            <w:pPr>
              <w:jc w:val="center"/>
            </w:pPr>
            <w:r>
              <w:rPr>
                <w:rFonts w:ascii="宋体" w:hAnsi="宋体" w:eastAsia="宋体"/>
                <w:sz w:val="16"/>
              </w:rPr>
              <w:t>得分</w:t>
            </w:r>
          </w:p>
        </w:tc>
      </w:tr>
      <w:tr w14:paraId="35AB07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DE12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C1EE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DDF94">
            <w:pPr>
              <w:jc w:val="center"/>
            </w:pPr>
            <w:r>
              <w:rPr>
                <w:rFonts w:ascii="宋体" w:hAnsi="宋体" w:eastAsia="宋体"/>
                <w:sz w:val="16"/>
              </w:rPr>
              <w:t>草原生态保护巡查次数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4CADA">
            <w:pPr>
              <w:jc w:val="center"/>
            </w:pPr>
            <w:r>
              <w:rPr>
                <w:rFonts w:ascii="宋体" w:hAnsi="宋体" w:eastAsia="宋体"/>
                <w:sz w:val="16"/>
              </w:rPr>
              <w:t>&gt;=36次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9B73F">
            <w:pPr>
              <w:jc w:val="center"/>
            </w:pPr>
            <w:r>
              <w:rPr>
                <w:rFonts w:ascii="宋体" w:hAnsi="宋体" w:eastAsia="宋体"/>
                <w:sz w:val="16"/>
              </w:rPr>
              <w:t>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0546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1919B">
            <w:pPr>
              <w:jc w:val="center"/>
            </w:pPr>
            <w:r>
              <w:rPr>
                <w:rFonts w:ascii="宋体" w:hAnsi="宋体" w:eastAsia="宋体"/>
                <w:sz w:val="16"/>
              </w:rPr>
              <w: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44903">
            <w:pPr>
              <w:jc w:val="center"/>
            </w:pPr>
            <w:r>
              <w:rPr>
                <w:rFonts w:ascii="宋体" w:hAnsi="宋体" w:eastAsia="宋体"/>
                <w:sz w:val="16"/>
              </w:rPr>
              <w:t>18</w:t>
            </w:r>
          </w:p>
        </w:tc>
      </w:tr>
      <w:tr w14:paraId="4634E5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2A3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AF7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2277D">
            <w:pPr>
              <w:jc w:val="center"/>
            </w:pPr>
            <w:r>
              <w:rPr>
                <w:rFonts w:ascii="宋体" w:hAnsi="宋体" w:eastAsia="宋体"/>
                <w:sz w:val="16"/>
              </w:rPr>
              <w:t>举办草原业务工作培训次数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1FFCA">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74DAC">
            <w:pPr>
              <w:jc w:val="center"/>
            </w:pPr>
            <w:r>
              <w:rPr>
                <w:rFonts w:ascii="宋体" w:hAnsi="宋体" w:eastAsia="宋体"/>
                <w:sz w:val="16"/>
              </w:rPr>
              <w:t>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9270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D6626">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8BCD6">
            <w:pPr>
              <w:jc w:val="center"/>
            </w:pPr>
            <w:r>
              <w:rPr>
                <w:rFonts w:ascii="宋体" w:hAnsi="宋体" w:eastAsia="宋体"/>
                <w:sz w:val="16"/>
              </w:rPr>
              <w:t>18</w:t>
            </w:r>
          </w:p>
        </w:tc>
      </w:tr>
      <w:tr w14:paraId="479C35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6A31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B39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54BE7">
            <w:pPr>
              <w:jc w:val="center"/>
            </w:pPr>
            <w:r>
              <w:rPr>
                <w:rFonts w:ascii="宋体" w:hAnsi="宋体" w:eastAsia="宋体"/>
                <w:sz w:val="16"/>
              </w:rPr>
              <w:t>定制宣传资料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BE2D6">
            <w:pPr>
              <w:jc w:val="center"/>
            </w:pPr>
            <w:r>
              <w:rPr>
                <w:rFonts w:ascii="宋体" w:hAnsi="宋体" w:eastAsia="宋体"/>
                <w:sz w:val="16"/>
              </w:rPr>
              <w:t>&gt;=1.5万余份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FF051">
            <w:pPr>
              <w:jc w:val="center"/>
            </w:pPr>
            <w:r>
              <w:rPr>
                <w:rFonts w:ascii="宋体" w:hAnsi="宋体" w:eastAsia="宋体"/>
                <w:sz w:val="16"/>
              </w:rPr>
              <w:t>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D5D1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DEF43">
            <w:pPr>
              <w:jc w:val="center"/>
            </w:pPr>
            <w:r>
              <w:rPr>
                <w:rFonts w:ascii="宋体" w:hAnsi="宋体" w:eastAsia="宋体"/>
                <w:sz w:val="16"/>
              </w:rPr>
              <w:t>1.5万余份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6FE53">
            <w:pPr>
              <w:jc w:val="center"/>
            </w:pPr>
            <w:r>
              <w:rPr>
                <w:rFonts w:ascii="宋体" w:hAnsi="宋体" w:eastAsia="宋体"/>
                <w:sz w:val="16"/>
              </w:rPr>
              <w:t>18</w:t>
            </w:r>
          </w:p>
        </w:tc>
      </w:tr>
      <w:tr w14:paraId="2EE38B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1D4E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CE23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8B676">
            <w:pPr>
              <w:jc w:val="center"/>
            </w:pPr>
            <w:r>
              <w:rPr>
                <w:rFonts w:ascii="宋体" w:hAnsi="宋体" w:eastAsia="宋体"/>
                <w:sz w:val="16"/>
              </w:rPr>
              <w:t>每月巡查次数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921FC">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5994E">
            <w:pPr>
              <w:jc w:val="center"/>
            </w:pPr>
            <w:r>
              <w:rPr>
                <w:rFonts w:ascii="宋体" w:hAnsi="宋体" w:eastAsia="宋体"/>
                <w:sz w:val="16"/>
              </w:rPr>
              <w:t>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E99C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73AEB">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3C6E9">
            <w:pPr>
              <w:jc w:val="center"/>
            </w:pPr>
            <w:r>
              <w:rPr>
                <w:rFonts w:ascii="宋体" w:hAnsi="宋体" w:eastAsia="宋体"/>
                <w:sz w:val="16"/>
              </w:rPr>
              <w:t>18</w:t>
            </w:r>
          </w:p>
        </w:tc>
      </w:tr>
      <w:tr w14:paraId="403B97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80D5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F39E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918DC">
            <w:pPr>
              <w:jc w:val="center"/>
            </w:pPr>
            <w:r>
              <w:rPr>
                <w:rFonts w:ascii="宋体" w:hAnsi="宋体" w:eastAsia="宋体"/>
                <w:sz w:val="16"/>
              </w:rPr>
              <w:t>草原法律法规宣传率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60AD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D90C7">
            <w:pPr>
              <w:jc w:val="center"/>
            </w:pPr>
            <w:r>
              <w:rPr>
                <w:rFonts w:ascii="宋体" w:hAnsi="宋体" w:eastAsia="宋体"/>
                <w:sz w:val="16"/>
              </w:rPr>
              <w:t>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B054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2ED2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21FC1">
            <w:pPr>
              <w:jc w:val="center"/>
            </w:pPr>
            <w:r>
              <w:rPr>
                <w:rFonts w:ascii="宋体" w:hAnsi="宋体" w:eastAsia="宋体"/>
                <w:sz w:val="16"/>
              </w:rPr>
              <w:t>18</w:t>
            </w:r>
          </w:p>
        </w:tc>
      </w:tr>
    </w:tbl>
    <w:p w14:paraId="06DEA3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E66DBE9">
        <w:tblPrEx>
          <w:tblCellMar>
            <w:top w:w="0" w:type="dxa"/>
            <w:left w:w="108" w:type="dxa"/>
            <w:bottom w:w="0" w:type="dxa"/>
            <w:right w:w="108" w:type="dxa"/>
          </w:tblCellMar>
        </w:tblPrEx>
        <w:tc>
          <w:tcPr>
            <w:tcW w:w="8848" w:type="dxa"/>
            <w:gridSpan w:val="14"/>
            <w:vAlign w:val="center"/>
          </w:tcPr>
          <w:p w14:paraId="3DC8CD3F">
            <w:pPr>
              <w:jc w:val="center"/>
            </w:pPr>
            <w:r>
              <w:rPr>
                <w:rFonts w:ascii="宋体" w:hAnsi="宋体" w:eastAsia="宋体"/>
                <w:sz w:val="24"/>
              </w:rPr>
              <w:t>项目支出绩效自评表</w:t>
            </w:r>
          </w:p>
        </w:tc>
      </w:tr>
      <w:tr w14:paraId="331D1D6E">
        <w:tblPrEx>
          <w:tblCellMar>
            <w:top w:w="0" w:type="dxa"/>
            <w:left w:w="108" w:type="dxa"/>
            <w:bottom w:w="0" w:type="dxa"/>
            <w:right w:w="108" w:type="dxa"/>
          </w:tblCellMar>
        </w:tblPrEx>
        <w:tc>
          <w:tcPr>
            <w:tcW w:w="8848" w:type="dxa"/>
            <w:gridSpan w:val="14"/>
            <w:vAlign w:val="center"/>
          </w:tcPr>
          <w:p w14:paraId="6F4FFAFE">
            <w:pPr>
              <w:jc w:val="center"/>
            </w:pPr>
            <w:r>
              <w:rPr>
                <w:rFonts w:ascii="宋体" w:hAnsi="宋体" w:eastAsia="宋体"/>
                <w:sz w:val="24"/>
              </w:rPr>
              <w:t>(2024年度)</w:t>
            </w:r>
          </w:p>
        </w:tc>
      </w:tr>
      <w:tr w14:paraId="5619E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06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F9B2AF">
            <w:pPr>
              <w:jc w:val="center"/>
            </w:pPr>
            <w:r>
              <w:rPr>
                <w:rFonts w:ascii="宋体" w:hAnsi="宋体" w:eastAsia="宋体"/>
                <w:sz w:val="16"/>
              </w:rPr>
              <w:t>2024年其他项目类-2024年库鲁斯台草原生态保护修复项目</w:t>
            </w:r>
          </w:p>
        </w:tc>
      </w:tr>
      <w:tr w14:paraId="32123B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AD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76B44B">
            <w:pPr>
              <w:jc w:val="center"/>
            </w:pPr>
            <w:r>
              <w:rPr>
                <w:rFonts w:ascii="宋体" w:hAnsi="宋体" w:eastAsia="宋体"/>
                <w:sz w:val="16"/>
              </w:rPr>
              <w:t>托里县草原监理站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50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131D5A">
            <w:pPr>
              <w:jc w:val="center"/>
            </w:pPr>
            <w:r>
              <w:rPr>
                <w:rFonts w:ascii="宋体" w:hAnsi="宋体" w:eastAsia="宋体"/>
                <w:sz w:val="16"/>
              </w:rPr>
              <w:t>托里县草原监理站</w:t>
            </w:r>
          </w:p>
        </w:tc>
      </w:tr>
      <w:tr w14:paraId="060995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C73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5A1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CF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D39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CEF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67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0D0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EDDF">
            <w:pPr>
              <w:jc w:val="center"/>
            </w:pPr>
            <w:r>
              <w:rPr>
                <w:rFonts w:ascii="宋体" w:hAnsi="宋体" w:eastAsia="宋体"/>
                <w:sz w:val="16"/>
              </w:rPr>
              <w:t>得分</w:t>
            </w:r>
          </w:p>
        </w:tc>
      </w:tr>
      <w:tr w14:paraId="38ECF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A0E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CB6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77F7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5076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488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1B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26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13E1">
            <w:pPr>
              <w:jc w:val="center"/>
            </w:pPr>
            <w:r>
              <w:rPr>
                <w:rFonts w:ascii="宋体" w:hAnsi="宋体" w:eastAsia="宋体"/>
                <w:sz w:val="16"/>
              </w:rPr>
              <w:t>10.00</w:t>
            </w:r>
          </w:p>
        </w:tc>
      </w:tr>
      <w:tr w14:paraId="37B38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E6F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AAF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667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90F8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6F2B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01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8E8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8028">
            <w:pPr>
              <w:jc w:val="center"/>
            </w:pPr>
            <w:r>
              <w:rPr>
                <w:rFonts w:ascii="宋体" w:hAnsi="宋体" w:eastAsia="宋体"/>
                <w:sz w:val="16"/>
              </w:rPr>
              <w:t>—</w:t>
            </w:r>
          </w:p>
        </w:tc>
      </w:tr>
      <w:tr w14:paraId="77021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83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85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441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39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DDB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4C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054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4F61">
            <w:pPr>
              <w:jc w:val="center"/>
            </w:pPr>
            <w:r>
              <w:rPr>
                <w:rFonts w:ascii="宋体" w:hAnsi="宋体" w:eastAsia="宋体"/>
                <w:sz w:val="16"/>
              </w:rPr>
              <w:t>—</w:t>
            </w:r>
          </w:p>
        </w:tc>
      </w:tr>
      <w:tr w14:paraId="1B4CF5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211B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951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6C0B0">
            <w:pPr>
              <w:jc w:val="center"/>
            </w:pPr>
            <w:r>
              <w:rPr>
                <w:rFonts w:ascii="宋体" w:hAnsi="宋体" w:eastAsia="宋体"/>
                <w:sz w:val="16"/>
              </w:rPr>
              <w:t>实际完成情况</w:t>
            </w:r>
          </w:p>
        </w:tc>
      </w:tr>
      <w:tr w14:paraId="0DC11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9E3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FFB8A">
            <w:pPr>
              <w:jc w:val="both"/>
            </w:pPr>
            <w:r>
              <w:rPr>
                <w:rFonts w:ascii="宋体" w:hAnsi="宋体" w:eastAsia="宋体"/>
                <w:sz w:val="16"/>
              </w:rPr>
              <w:t>2024年库鲁斯台草原生态保护修复项目，项目资金1万元用于草原禁牧和草畜平衡管理，执法监管次数1次，有效推进草原生态建设工作，草原生态环境持续好转，服务对象满意95%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E8373F">
            <w:pPr>
              <w:jc w:val="both"/>
            </w:pPr>
            <w:r>
              <w:rPr>
                <w:rFonts w:ascii="宋体" w:hAnsi="宋体" w:eastAsia="宋体"/>
                <w:sz w:val="16"/>
              </w:rPr>
              <w:br w:type="textWrapping"/>
            </w:r>
            <w:r>
              <w:rPr>
                <w:rFonts w:ascii="宋体" w:hAnsi="宋体" w:eastAsia="宋体"/>
                <w:sz w:val="16"/>
              </w:rPr>
              <w:t>2024年库鲁斯台草原生态保护修复项目，项目资金1万元用于草原禁牧和草畜平衡管理，执法监管次数1次，有效推进草原生态建设工作，草原生态环境持续好转，服务对象满意95%。</w:t>
            </w:r>
          </w:p>
        </w:tc>
      </w:tr>
      <w:tr w14:paraId="619B9E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6FF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F3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B2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ED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638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5A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A7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804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EAE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D4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81D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0A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CF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13B0">
            <w:pPr>
              <w:jc w:val="center"/>
            </w:pPr>
            <w:r>
              <w:rPr>
                <w:rFonts w:ascii="宋体" w:hAnsi="宋体" w:eastAsia="宋体"/>
                <w:sz w:val="16"/>
              </w:rPr>
              <w:t>偏差原因分析及改进措施</w:t>
            </w:r>
          </w:p>
        </w:tc>
      </w:tr>
      <w:tr w14:paraId="36EC11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5AD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0C2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2D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B46D">
            <w:pPr>
              <w:jc w:val="center"/>
            </w:pPr>
            <w:r>
              <w:rPr>
                <w:rFonts w:ascii="宋体" w:hAnsi="宋体" w:eastAsia="宋体"/>
                <w:sz w:val="16"/>
              </w:rPr>
              <w:t>草原禁牧和草畜平衡管理，执法监管次数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7CE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88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96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3A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72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4F2B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064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4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7F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EDE8">
            <w:pPr>
              <w:jc w:val="center"/>
            </w:pPr>
          </w:p>
        </w:tc>
      </w:tr>
      <w:tr w14:paraId="40C8B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925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A0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F8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B52E">
            <w:pPr>
              <w:jc w:val="center"/>
            </w:pPr>
            <w:r>
              <w:rPr>
                <w:rFonts w:ascii="宋体" w:hAnsi="宋体" w:eastAsia="宋体"/>
                <w:sz w:val="16"/>
              </w:rPr>
              <w:t>禁牧和草畜平衡任务合格率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F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4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F82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71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36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A1D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9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7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2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8F3C">
            <w:pPr>
              <w:jc w:val="center"/>
            </w:pPr>
          </w:p>
        </w:tc>
      </w:tr>
      <w:tr w14:paraId="4628D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C7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300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E42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AA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88E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E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B8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26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E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BE6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E21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C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8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589C">
            <w:pPr>
              <w:jc w:val="center"/>
            </w:pPr>
          </w:p>
        </w:tc>
      </w:tr>
      <w:tr w14:paraId="24BEB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CB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EC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E3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D0CD">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BE2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2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49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9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0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725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13D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D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97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2346">
            <w:pPr>
              <w:jc w:val="center"/>
            </w:pPr>
          </w:p>
        </w:tc>
      </w:tr>
      <w:tr w14:paraId="31835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E40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E9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FE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7E6C">
            <w:pPr>
              <w:jc w:val="center"/>
            </w:pPr>
            <w:r>
              <w:rPr>
                <w:rFonts w:ascii="宋体" w:hAnsi="宋体" w:eastAsia="宋体"/>
                <w:sz w:val="16"/>
              </w:rPr>
              <w:t>草原禁牧和草畜平衡管理，执法监管平均费用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A3EB">
            <w:pPr>
              <w:jc w:val="center"/>
            </w:pPr>
            <w:r>
              <w:rPr>
                <w:rFonts w:ascii="宋体" w:hAnsi="宋体" w:eastAsia="宋体"/>
                <w:sz w:val="16"/>
              </w:rPr>
              <w:t>&lt;=1万元/次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4A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42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F4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18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E76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AE0C">
            <w:pPr>
              <w:jc w:val="center"/>
            </w:pPr>
            <w:r>
              <w:rPr>
                <w:rFonts w:ascii="宋体" w:hAnsi="宋体" w:eastAsia="宋体"/>
                <w:sz w:val="16"/>
              </w:rPr>
              <w: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0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A7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B2A3">
            <w:pPr>
              <w:jc w:val="center"/>
            </w:pPr>
          </w:p>
        </w:tc>
      </w:tr>
      <w:tr w14:paraId="27A6D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AD8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696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415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DF3A">
            <w:pPr>
              <w:jc w:val="center"/>
            </w:pPr>
            <w:r>
              <w:rPr>
                <w:rFonts w:ascii="宋体" w:hAnsi="宋体" w:eastAsia="宋体"/>
                <w:sz w:val="16"/>
              </w:rPr>
              <w:t>草原执法监管报告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E382">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4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2D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D9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F4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CCE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90C4">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3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C8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8266">
            <w:pPr>
              <w:jc w:val="center"/>
            </w:pPr>
          </w:p>
        </w:tc>
      </w:tr>
      <w:tr w14:paraId="74BB8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6A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877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4D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8789">
            <w:pPr>
              <w:jc w:val="center"/>
            </w:pPr>
            <w:r>
              <w:rPr>
                <w:rFonts w:ascii="宋体" w:hAnsi="宋体" w:eastAsia="宋体"/>
                <w:sz w:val="16"/>
              </w:rPr>
              <w:t>推进草原生态建设工作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4BD9">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5F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BB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DA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A2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4A9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5F18">
            <w:pPr>
              <w:jc w:val="center"/>
            </w:pPr>
            <w:r>
              <w:rPr>
                <w:rFonts w:ascii="宋体" w:hAnsi="宋体" w:eastAsia="宋体"/>
                <w:sz w:val="16"/>
              </w:rPr>
              <w:t>达成预期指标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C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E8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E75B">
            <w:pPr>
              <w:jc w:val="center"/>
            </w:pPr>
          </w:p>
        </w:tc>
      </w:tr>
      <w:tr w14:paraId="7803D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79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A3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15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B024">
            <w:pPr>
              <w:jc w:val="center"/>
            </w:pPr>
            <w:r>
              <w:rPr>
                <w:rFonts w:ascii="宋体" w:hAnsi="宋体" w:eastAsia="宋体"/>
                <w:sz w:val="16"/>
              </w:rPr>
              <w:t>服务对象满意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BC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69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5A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78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A3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47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E0A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6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F5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017D">
            <w:pPr>
              <w:jc w:val="center"/>
            </w:pPr>
          </w:p>
        </w:tc>
      </w:tr>
      <w:tr w14:paraId="5BD248C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5550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252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010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744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09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F0EF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1E8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42B6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B3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F1B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56D04"/>
        </w:tc>
      </w:tr>
    </w:tbl>
    <w:p w14:paraId="75F698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22ED442">
        <w:tblPrEx>
          <w:tblCellMar>
            <w:top w:w="0" w:type="dxa"/>
            <w:left w:w="108" w:type="dxa"/>
            <w:bottom w:w="0" w:type="dxa"/>
            <w:right w:w="108" w:type="dxa"/>
          </w:tblCellMar>
        </w:tblPrEx>
        <w:tc>
          <w:tcPr>
            <w:tcW w:w="8848" w:type="dxa"/>
            <w:gridSpan w:val="14"/>
            <w:vAlign w:val="center"/>
          </w:tcPr>
          <w:p w14:paraId="1AA9BD6A">
            <w:pPr>
              <w:jc w:val="center"/>
            </w:pPr>
            <w:r>
              <w:rPr>
                <w:rFonts w:ascii="宋体" w:hAnsi="宋体" w:eastAsia="宋体"/>
                <w:sz w:val="24"/>
              </w:rPr>
              <w:t>项目支出绩效自评表</w:t>
            </w:r>
          </w:p>
        </w:tc>
      </w:tr>
      <w:tr w14:paraId="03669C9E">
        <w:tblPrEx>
          <w:tblCellMar>
            <w:top w:w="0" w:type="dxa"/>
            <w:left w:w="108" w:type="dxa"/>
            <w:bottom w:w="0" w:type="dxa"/>
            <w:right w:w="108" w:type="dxa"/>
          </w:tblCellMar>
        </w:tblPrEx>
        <w:tc>
          <w:tcPr>
            <w:tcW w:w="8848" w:type="dxa"/>
            <w:gridSpan w:val="14"/>
            <w:vAlign w:val="center"/>
          </w:tcPr>
          <w:p w14:paraId="50DD06F4">
            <w:pPr>
              <w:jc w:val="center"/>
            </w:pPr>
            <w:r>
              <w:rPr>
                <w:rFonts w:ascii="宋体" w:hAnsi="宋体" w:eastAsia="宋体"/>
                <w:sz w:val="24"/>
              </w:rPr>
              <w:t>(2024年度)</w:t>
            </w:r>
          </w:p>
        </w:tc>
      </w:tr>
      <w:tr w14:paraId="676E7C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18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5876C3">
            <w:pPr>
              <w:jc w:val="center"/>
            </w:pPr>
            <w:r>
              <w:rPr>
                <w:rFonts w:ascii="宋体" w:hAnsi="宋体" w:eastAsia="宋体"/>
                <w:sz w:val="16"/>
              </w:rPr>
              <w:t>2024年自治区林草专项资金</w:t>
            </w:r>
          </w:p>
        </w:tc>
      </w:tr>
      <w:tr w14:paraId="480246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B0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82F01">
            <w:pPr>
              <w:jc w:val="center"/>
            </w:pPr>
            <w:r>
              <w:rPr>
                <w:rFonts w:ascii="宋体" w:hAnsi="宋体" w:eastAsia="宋体"/>
                <w:sz w:val="16"/>
              </w:rPr>
              <w:t>托里县草原监理站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B8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1398A">
            <w:pPr>
              <w:jc w:val="center"/>
            </w:pPr>
            <w:r>
              <w:rPr>
                <w:rFonts w:ascii="宋体" w:hAnsi="宋体" w:eastAsia="宋体"/>
                <w:sz w:val="16"/>
              </w:rPr>
              <w:t>托里县草原监理站</w:t>
            </w:r>
          </w:p>
        </w:tc>
      </w:tr>
      <w:tr w14:paraId="643BCA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DEC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C5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4F1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21F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54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C3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F8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CAC5">
            <w:pPr>
              <w:jc w:val="center"/>
            </w:pPr>
            <w:r>
              <w:rPr>
                <w:rFonts w:ascii="宋体" w:hAnsi="宋体" w:eastAsia="宋体"/>
                <w:sz w:val="16"/>
              </w:rPr>
              <w:t>得分</w:t>
            </w:r>
          </w:p>
        </w:tc>
      </w:tr>
      <w:tr w14:paraId="1390D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52C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C29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A8B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5A0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902E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CD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74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47F4">
            <w:pPr>
              <w:jc w:val="center"/>
            </w:pPr>
            <w:r>
              <w:rPr>
                <w:rFonts w:ascii="宋体" w:hAnsi="宋体" w:eastAsia="宋体"/>
                <w:sz w:val="16"/>
              </w:rPr>
              <w:t>10.00</w:t>
            </w:r>
          </w:p>
        </w:tc>
      </w:tr>
      <w:tr w14:paraId="0E41B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21E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53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EE67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184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2522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69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B9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37FF">
            <w:pPr>
              <w:jc w:val="center"/>
            </w:pPr>
            <w:r>
              <w:rPr>
                <w:rFonts w:ascii="宋体" w:hAnsi="宋体" w:eastAsia="宋体"/>
                <w:sz w:val="16"/>
              </w:rPr>
              <w:t>—</w:t>
            </w:r>
          </w:p>
        </w:tc>
      </w:tr>
      <w:tr w14:paraId="4C6C4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854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ABE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4B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D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61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934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71F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EFEA">
            <w:pPr>
              <w:jc w:val="center"/>
            </w:pPr>
            <w:r>
              <w:rPr>
                <w:rFonts w:ascii="宋体" w:hAnsi="宋体" w:eastAsia="宋体"/>
                <w:sz w:val="16"/>
              </w:rPr>
              <w:t>—</w:t>
            </w:r>
          </w:p>
        </w:tc>
      </w:tr>
      <w:tr w14:paraId="27D68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F2C2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672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218913">
            <w:pPr>
              <w:jc w:val="center"/>
            </w:pPr>
            <w:r>
              <w:rPr>
                <w:rFonts w:ascii="宋体" w:hAnsi="宋体" w:eastAsia="宋体"/>
                <w:sz w:val="16"/>
              </w:rPr>
              <w:t>实际完成情况</w:t>
            </w:r>
          </w:p>
        </w:tc>
      </w:tr>
      <w:tr w14:paraId="67AA9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D45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F892A">
            <w:pPr>
              <w:jc w:val="both"/>
            </w:pPr>
            <w:r>
              <w:rPr>
                <w:rFonts w:ascii="宋体" w:hAnsi="宋体" w:eastAsia="宋体"/>
                <w:sz w:val="16"/>
              </w:rPr>
              <w:t>2022年度地区财政草原植被恢复项目资金5万元，用于禁牧和草畜平衡管理，执法监管1次，征占用草现场查验1次，开展草原野外监测、草原保护执法以及禁牧和草畜平衡管理并做好宣传、管护站维修，国家级草原固定监测点维修等工作。草原执法监督</w:t>
            </w:r>
            <w:r>
              <w:rPr>
                <w:rFonts w:hint="eastAsia" w:ascii="宋体" w:hAnsi="宋体"/>
                <w:sz w:val="16"/>
                <w:lang w:eastAsia="zh-CN"/>
              </w:rPr>
              <w:t>报告</w:t>
            </w:r>
            <w:r>
              <w:rPr>
                <w:rFonts w:ascii="宋体" w:hAnsi="宋体" w:eastAsia="宋体"/>
                <w:sz w:val="16"/>
              </w:rPr>
              <w:t>，发挥成效显著，草原生态环境持续好转明显，群众满意度达到95%。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11322F">
            <w:pPr>
              <w:jc w:val="both"/>
            </w:pPr>
            <w:r>
              <w:rPr>
                <w:rFonts w:ascii="宋体" w:hAnsi="宋体" w:eastAsia="宋体"/>
                <w:sz w:val="16"/>
              </w:rPr>
              <w:t>2022年度地区财政草原植被恢复项目资金5万元，用于禁牧和草畜平衡管理，执法监管1次，征占用草现场查验1次，开展草原野外监测、草原保护执法以及禁牧和草畜平衡管理并做好宣传、管护站维修，国家级草原固定监测点维修等工作。草原执法监督</w:t>
            </w:r>
            <w:r>
              <w:rPr>
                <w:rFonts w:hint="eastAsia" w:ascii="宋体" w:hAnsi="宋体"/>
                <w:sz w:val="16"/>
                <w:lang w:eastAsia="zh-CN"/>
              </w:rPr>
              <w:t>报告</w:t>
            </w:r>
            <w:r>
              <w:rPr>
                <w:rFonts w:ascii="宋体" w:hAnsi="宋体" w:eastAsia="宋体"/>
                <w:sz w:val="16"/>
              </w:rPr>
              <w:t>，发挥成效显著，草原生态环境持续好转明显，群众满意度达到95%。</w:t>
            </w:r>
          </w:p>
        </w:tc>
      </w:tr>
      <w:tr w14:paraId="4BB13C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88D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AA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77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0E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7CB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1D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8A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5B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A3D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9B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965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DF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76B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862D">
            <w:pPr>
              <w:jc w:val="center"/>
            </w:pPr>
            <w:r>
              <w:rPr>
                <w:rFonts w:ascii="宋体" w:hAnsi="宋体" w:eastAsia="宋体"/>
                <w:sz w:val="16"/>
              </w:rPr>
              <w:t>偏差原因分析及改进措施</w:t>
            </w:r>
          </w:p>
        </w:tc>
      </w:tr>
      <w:tr w14:paraId="509F76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85F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782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CE0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AD9A">
            <w:pPr>
              <w:jc w:val="center"/>
            </w:pPr>
            <w:r>
              <w:rPr>
                <w:rFonts w:ascii="宋体" w:hAnsi="宋体" w:eastAsia="宋体"/>
                <w:sz w:val="16"/>
              </w:rPr>
              <w:t>禁牧和草畜平衡管理，执法监管次数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FFA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F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08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09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9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23E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3A8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A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A0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5324">
            <w:pPr>
              <w:jc w:val="center"/>
            </w:pPr>
          </w:p>
        </w:tc>
      </w:tr>
      <w:tr w14:paraId="1F66F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5F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B5D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29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5972">
            <w:pPr>
              <w:jc w:val="center"/>
            </w:pPr>
            <w:r>
              <w:rPr>
                <w:rFonts w:ascii="宋体" w:hAnsi="宋体" w:eastAsia="宋体"/>
                <w:sz w:val="16"/>
              </w:rPr>
              <w:t>征占用草现场查验次数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7DC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4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CD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1F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7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70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BF3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C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E7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AC7E">
            <w:pPr>
              <w:jc w:val="center"/>
            </w:pPr>
          </w:p>
        </w:tc>
      </w:tr>
      <w:tr w14:paraId="566A9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3D4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5D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DA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DE5F">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4E8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01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60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FC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A5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CA7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A18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7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F4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A5F0">
            <w:pPr>
              <w:jc w:val="center"/>
            </w:pPr>
          </w:p>
        </w:tc>
      </w:tr>
      <w:tr w14:paraId="6AD62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CF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DB3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F82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3708">
            <w:pPr>
              <w:jc w:val="center"/>
            </w:pPr>
            <w:r>
              <w:rPr>
                <w:rFonts w:ascii="宋体" w:hAnsi="宋体" w:eastAsia="宋体"/>
                <w:sz w:val="16"/>
              </w:rPr>
              <w:t>禁牧和草畜平衡任务合格率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6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1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E2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8F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7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83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3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D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4B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14C3">
            <w:pPr>
              <w:jc w:val="center"/>
            </w:pPr>
          </w:p>
        </w:tc>
      </w:tr>
      <w:tr w14:paraId="25A47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08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C5B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47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2E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228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3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04F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CB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73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C69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C00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D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F3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407D">
            <w:pPr>
              <w:jc w:val="center"/>
            </w:pPr>
          </w:p>
        </w:tc>
      </w:tr>
      <w:tr w14:paraId="27538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1A6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756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8A5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C988">
            <w:pPr>
              <w:jc w:val="center"/>
            </w:pPr>
            <w:r>
              <w:rPr>
                <w:rFonts w:ascii="宋体" w:hAnsi="宋体" w:eastAsia="宋体"/>
                <w:sz w:val="16"/>
              </w:rPr>
              <w:t>禁牧和草畜平衡管理成本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5762">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AB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EB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F7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C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6BC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ED7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2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DD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B659">
            <w:pPr>
              <w:jc w:val="center"/>
            </w:pPr>
          </w:p>
        </w:tc>
      </w:tr>
      <w:tr w14:paraId="089E9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5A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FB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F9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94B4">
            <w:pPr>
              <w:jc w:val="center"/>
            </w:pPr>
            <w:r>
              <w:rPr>
                <w:rFonts w:ascii="宋体" w:hAnsi="宋体" w:eastAsia="宋体"/>
                <w:sz w:val="16"/>
              </w:rPr>
              <w:t>征占用草现场查验成本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06DB">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68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CA1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3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B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B41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A933">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3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FC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5B54">
            <w:pPr>
              <w:jc w:val="center"/>
            </w:pPr>
          </w:p>
        </w:tc>
      </w:tr>
      <w:tr w14:paraId="317C0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B49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211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188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378B">
            <w:pPr>
              <w:jc w:val="center"/>
            </w:pPr>
            <w:r>
              <w:rPr>
                <w:rFonts w:ascii="宋体" w:hAnsi="宋体" w:eastAsia="宋体"/>
                <w:sz w:val="16"/>
              </w:rPr>
              <w:t>草原执法监管报告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7249">
            <w:pPr>
              <w:jc w:val="center"/>
            </w:pPr>
            <w:r>
              <w:rPr>
                <w:rFonts w:ascii="宋体" w:hAnsi="宋体" w:eastAsia="宋体"/>
                <w:sz w:val="16"/>
              </w:rPr>
              <w:t>&lt;=1份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7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63D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33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8E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FC9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606E">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9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6C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B884">
            <w:pPr>
              <w:jc w:val="center"/>
            </w:pPr>
          </w:p>
        </w:tc>
      </w:tr>
      <w:tr w14:paraId="30C85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5B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B2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31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ACCA">
            <w:pPr>
              <w:jc w:val="center"/>
            </w:pPr>
            <w:r>
              <w:rPr>
                <w:rFonts w:ascii="宋体" w:hAnsi="宋体" w:eastAsia="宋体"/>
                <w:sz w:val="16"/>
              </w:rPr>
              <w:t>公共对草原生态保护的认</w:t>
            </w:r>
            <w:r>
              <w:rPr>
                <w:rFonts w:hint="eastAsia" w:ascii="宋体" w:hAnsi="宋体"/>
                <w:sz w:val="16"/>
                <w:lang w:eastAsia="zh-CN"/>
              </w:rPr>
              <w:t>识和</w:t>
            </w:r>
            <w:r>
              <w:rPr>
                <w:rFonts w:ascii="宋体" w:hAnsi="宋体" w:eastAsia="宋体"/>
                <w:sz w:val="16"/>
              </w:rPr>
              <w:t>关注度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EE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3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6B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C5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39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C1F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462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9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EF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884E">
            <w:pPr>
              <w:jc w:val="center"/>
            </w:pPr>
          </w:p>
        </w:tc>
      </w:tr>
      <w:tr w14:paraId="1F4A9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378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94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F31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EE52">
            <w:pPr>
              <w:jc w:val="center"/>
            </w:pPr>
            <w:r>
              <w:rPr>
                <w:rFonts w:ascii="宋体" w:hAnsi="宋体" w:eastAsia="宋体"/>
                <w:sz w:val="16"/>
              </w:rPr>
              <w:t>草原生态环境持续好转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E7A4">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1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E4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03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85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EBF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3332">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41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9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FFE1">
            <w:pPr>
              <w:jc w:val="center"/>
            </w:pPr>
          </w:p>
        </w:tc>
      </w:tr>
      <w:tr w14:paraId="44E94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74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2A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8D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611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A6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8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77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0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45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7A9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80B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0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04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769A">
            <w:pPr>
              <w:jc w:val="center"/>
            </w:pPr>
          </w:p>
        </w:tc>
      </w:tr>
      <w:tr w14:paraId="18578B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048F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C1FB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147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80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F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06A1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A4C1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B8F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759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BBF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56979B"/>
        </w:tc>
      </w:tr>
    </w:tbl>
    <w:p w14:paraId="7C1622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FCD334D">
        <w:tblPrEx>
          <w:tblCellMar>
            <w:top w:w="0" w:type="dxa"/>
            <w:left w:w="108" w:type="dxa"/>
            <w:bottom w:w="0" w:type="dxa"/>
            <w:right w:w="108" w:type="dxa"/>
          </w:tblCellMar>
        </w:tblPrEx>
        <w:tc>
          <w:tcPr>
            <w:tcW w:w="8848" w:type="dxa"/>
            <w:gridSpan w:val="14"/>
            <w:vAlign w:val="center"/>
          </w:tcPr>
          <w:p w14:paraId="72290CC1">
            <w:pPr>
              <w:jc w:val="center"/>
            </w:pPr>
            <w:r>
              <w:rPr>
                <w:rFonts w:ascii="宋体" w:hAnsi="宋体" w:eastAsia="宋体"/>
                <w:sz w:val="24"/>
              </w:rPr>
              <w:t>项目支出绩效自评表</w:t>
            </w:r>
          </w:p>
        </w:tc>
      </w:tr>
      <w:tr w14:paraId="666F6854">
        <w:tblPrEx>
          <w:tblCellMar>
            <w:top w:w="0" w:type="dxa"/>
            <w:left w:w="108" w:type="dxa"/>
            <w:bottom w:w="0" w:type="dxa"/>
            <w:right w:w="108" w:type="dxa"/>
          </w:tblCellMar>
        </w:tblPrEx>
        <w:tc>
          <w:tcPr>
            <w:tcW w:w="8848" w:type="dxa"/>
            <w:gridSpan w:val="14"/>
            <w:vAlign w:val="center"/>
          </w:tcPr>
          <w:p w14:paraId="4488855E">
            <w:pPr>
              <w:jc w:val="center"/>
            </w:pPr>
            <w:r>
              <w:rPr>
                <w:rFonts w:ascii="宋体" w:hAnsi="宋体" w:eastAsia="宋体"/>
                <w:sz w:val="24"/>
              </w:rPr>
              <w:t>(2024年度)</w:t>
            </w:r>
          </w:p>
        </w:tc>
      </w:tr>
      <w:tr w14:paraId="03372F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5E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484FBF">
            <w:pPr>
              <w:jc w:val="center"/>
            </w:pPr>
            <w:r>
              <w:rPr>
                <w:rFonts w:ascii="宋体" w:hAnsi="宋体" w:eastAsia="宋体"/>
                <w:sz w:val="16"/>
              </w:rPr>
              <w:t>托里县2023年自治区财政林草专项资金草原植被恢复费</w:t>
            </w:r>
          </w:p>
        </w:tc>
      </w:tr>
      <w:tr w14:paraId="4B95CE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16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D6719">
            <w:pPr>
              <w:jc w:val="center"/>
            </w:pPr>
            <w:r>
              <w:rPr>
                <w:rFonts w:ascii="宋体" w:hAnsi="宋体" w:eastAsia="宋体"/>
                <w:sz w:val="16"/>
              </w:rPr>
              <w:t>托里县草原监理站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BA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044FB8">
            <w:pPr>
              <w:jc w:val="center"/>
            </w:pPr>
            <w:r>
              <w:rPr>
                <w:rFonts w:ascii="宋体" w:hAnsi="宋体" w:eastAsia="宋体"/>
                <w:sz w:val="16"/>
              </w:rPr>
              <w:t>托里县草原监理站</w:t>
            </w:r>
          </w:p>
        </w:tc>
      </w:tr>
      <w:tr w14:paraId="361DAB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D97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4FA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C51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F6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161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11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25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02A3">
            <w:pPr>
              <w:jc w:val="center"/>
            </w:pPr>
            <w:r>
              <w:rPr>
                <w:rFonts w:ascii="宋体" w:hAnsi="宋体" w:eastAsia="宋体"/>
                <w:sz w:val="16"/>
              </w:rPr>
              <w:t>得分</w:t>
            </w:r>
          </w:p>
        </w:tc>
      </w:tr>
      <w:tr w14:paraId="7DA51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D1A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AD5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50104">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8753">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2BD14">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93C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C6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1766">
            <w:pPr>
              <w:jc w:val="center"/>
            </w:pPr>
            <w:r>
              <w:rPr>
                <w:rFonts w:ascii="宋体" w:hAnsi="宋体" w:eastAsia="宋体"/>
                <w:sz w:val="16"/>
              </w:rPr>
              <w:t>10.00</w:t>
            </w:r>
          </w:p>
        </w:tc>
      </w:tr>
      <w:tr w14:paraId="77FBB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022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21C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47FB">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5643">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63A04">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6F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712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2A44">
            <w:pPr>
              <w:jc w:val="center"/>
            </w:pPr>
            <w:r>
              <w:rPr>
                <w:rFonts w:ascii="宋体" w:hAnsi="宋体" w:eastAsia="宋体"/>
                <w:sz w:val="16"/>
              </w:rPr>
              <w:t>—</w:t>
            </w:r>
          </w:p>
        </w:tc>
      </w:tr>
      <w:tr w14:paraId="143C6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F28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D0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6C87">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BB3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9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15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79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2FBA">
            <w:pPr>
              <w:jc w:val="center"/>
            </w:pPr>
            <w:r>
              <w:rPr>
                <w:rFonts w:ascii="宋体" w:hAnsi="宋体" w:eastAsia="宋体"/>
                <w:sz w:val="16"/>
              </w:rPr>
              <w:t>—</w:t>
            </w:r>
          </w:p>
        </w:tc>
      </w:tr>
      <w:tr w14:paraId="191AE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75F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2ED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7BB515">
            <w:pPr>
              <w:jc w:val="center"/>
            </w:pPr>
            <w:r>
              <w:rPr>
                <w:rFonts w:ascii="宋体" w:hAnsi="宋体" w:eastAsia="宋体"/>
                <w:sz w:val="16"/>
              </w:rPr>
              <w:t>实际完成情况</w:t>
            </w:r>
          </w:p>
        </w:tc>
      </w:tr>
      <w:tr w14:paraId="108D2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0ED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C4ED5">
            <w:pPr>
              <w:jc w:val="both"/>
            </w:pPr>
            <w:r>
              <w:rPr>
                <w:rFonts w:ascii="宋体" w:hAnsi="宋体" w:eastAsia="宋体"/>
                <w:sz w:val="16"/>
              </w:rPr>
              <w:t>2023年自治区财政林草专项资金草原植被恢复费，项目资金0.7万元，依法查处开垦草原和非法征占用草原等违法违规行为；购置软件数量1台，维护升级次数4次，对禁牧和草畜平衡区进行管理，实行以草定畜，对超载过牧查处；组织执法人员开展业务培训；征占用草原现场查验组卷上报地区、自治区林业和草原局；全面完成2023年草原变化图斑的核查处置工作；制作草原法律法规宣传材料，开展宣传；草原生态环境持续好转，群众满意率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E996A">
            <w:pPr>
              <w:jc w:val="both"/>
            </w:pPr>
            <w:r>
              <w:rPr>
                <w:rFonts w:ascii="宋体" w:hAnsi="宋体" w:eastAsia="宋体"/>
                <w:sz w:val="16"/>
              </w:rPr>
              <w:t>2023年自治区财政林草专项资金草原植被恢复费，项目资金0.7万元，依法查处开垦草原和非法征占用草原等违法违规行为；购置软件数量1台，维护升级次数4次，对禁牧和草畜平衡区进行管理，实行以草定畜，对超载过牧查处；组织执法人员开展业务培训；征占用草原现场查验组卷上报地区、自治区林业和草原局；全面完成2023年草原变化图斑的核查处置工作；制作草原法律法规宣传材料，开展宣传；草原生态环境持续好转，群众满意率90%</w:t>
            </w:r>
          </w:p>
        </w:tc>
      </w:tr>
      <w:tr w14:paraId="395BDF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585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F4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60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28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44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0C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FE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065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BC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5C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1B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8F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016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82E1">
            <w:pPr>
              <w:jc w:val="center"/>
            </w:pPr>
            <w:r>
              <w:rPr>
                <w:rFonts w:ascii="宋体" w:hAnsi="宋体" w:eastAsia="宋体"/>
                <w:sz w:val="16"/>
              </w:rPr>
              <w:t>偏差原因分析及改进措施</w:t>
            </w:r>
          </w:p>
        </w:tc>
      </w:tr>
      <w:tr w14:paraId="18F851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90B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63F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F1D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D81F">
            <w:pPr>
              <w:jc w:val="center"/>
            </w:pPr>
            <w:r>
              <w:rPr>
                <w:rFonts w:ascii="宋体" w:hAnsi="宋体" w:eastAsia="宋体"/>
                <w:sz w:val="16"/>
              </w:rPr>
              <w:t>购置软件数量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613A">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9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A27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17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A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692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680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3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F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E231">
            <w:pPr>
              <w:jc w:val="center"/>
            </w:pPr>
          </w:p>
        </w:tc>
      </w:tr>
      <w:tr w14:paraId="76831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B7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DB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1D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9DA5">
            <w:pPr>
              <w:jc w:val="center"/>
            </w:pPr>
            <w:r>
              <w:rPr>
                <w:rFonts w:ascii="宋体" w:hAnsi="宋体" w:eastAsia="宋体"/>
                <w:sz w:val="16"/>
              </w:rPr>
              <w:t>维护升级次数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CE5D">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C6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DB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3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1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464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288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4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D8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B27C">
            <w:pPr>
              <w:jc w:val="center"/>
            </w:pPr>
          </w:p>
        </w:tc>
      </w:tr>
      <w:tr w14:paraId="2CE8C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783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F6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9A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5458">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B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7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E9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3F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AD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3B5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2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2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54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A0A3">
            <w:pPr>
              <w:jc w:val="center"/>
            </w:pPr>
          </w:p>
        </w:tc>
      </w:tr>
      <w:tr w14:paraId="578A6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77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F3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72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DD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447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FA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8C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B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3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F9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77BD">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4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1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BE3F">
            <w:pPr>
              <w:jc w:val="center"/>
            </w:pPr>
          </w:p>
        </w:tc>
      </w:tr>
      <w:tr w14:paraId="3BF91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259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077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9DA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E0B3">
            <w:pPr>
              <w:jc w:val="center"/>
            </w:pPr>
            <w:r>
              <w:rPr>
                <w:rFonts w:ascii="宋体" w:hAnsi="宋体" w:eastAsia="宋体"/>
                <w:sz w:val="16"/>
              </w:rPr>
              <w:t>购置软件成本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88FB">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7F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173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028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5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34E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9AA4">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27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E18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30BE">
            <w:pPr>
              <w:jc w:val="center"/>
            </w:pPr>
          </w:p>
        </w:tc>
      </w:tr>
      <w:tr w14:paraId="2DB19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EE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92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2E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E375">
            <w:pPr>
              <w:jc w:val="center"/>
            </w:pPr>
            <w:r>
              <w:rPr>
                <w:rFonts w:ascii="宋体" w:hAnsi="宋体" w:eastAsia="宋体"/>
                <w:sz w:val="16"/>
              </w:rPr>
              <w:t>升级维护成本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08BE">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55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DC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1B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3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07C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0D90">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D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8D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91D7">
            <w:pPr>
              <w:jc w:val="center"/>
            </w:pPr>
          </w:p>
        </w:tc>
      </w:tr>
      <w:tr w14:paraId="6E31C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19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79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6F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42A4">
            <w:pPr>
              <w:jc w:val="center"/>
            </w:pPr>
            <w:r>
              <w:rPr>
                <w:rFonts w:ascii="宋体" w:hAnsi="宋体" w:eastAsia="宋体"/>
                <w:sz w:val="16"/>
              </w:rPr>
              <w:t>控制非法破坏草原现象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A1A7">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1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4B4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AA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69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654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EA88">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2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5B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860D">
            <w:pPr>
              <w:jc w:val="center"/>
            </w:pPr>
          </w:p>
        </w:tc>
      </w:tr>
      <w:tr w14:paraId="6DF10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3C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BF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AB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4736">
            <w:pPr>
              <w:jc w:val="center"/>
            </w:pPr>
            <w:r>
              <w:rPr>
                <w:rFonts w:ascii="宋体" w:hAnsi="宋体" w:eastAsia="宋体"/>
                <w:sz w:val="16"/>
              </w:rPr>
              <w:t>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5BB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74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B6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6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1B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321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85A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2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BB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230B">
            <w:pPr>
              <w:jc w:val="center"/>
            </w:pPr>
          </w:p>
        </w:tc>
      </w:tr>
      <w:tr w14:paraId="20D8861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73C3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DEAA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3248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8B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6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8FA4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65E2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0DA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291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01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6BB5A"/>
        </w:tc>
      </w:tr>
    </w:tbl>
    <w:p w14:paraId="2A63FF92">
      <w:r>
        <w:br w:type="page"/>
      </w:r>
    </w:p>
    <w:p w14:paraId="345B4961">
      <w:pPr>
        <w:spacing w:line="640" w:lineRule="exact"/>
        <w:ind w:firstLine="640"/>
        <w:jc w:val="both"/>
        <w:outlineLvl w:val="2"/>
      </w:pPr>
      <w:r>
        <w:rPr>
          <w:rFonts w:ascii="黑体" w:hAnsi="黑体" w:eastAsia="黑体"/>
          <w:sz w:val="32"/>
        </w:rPr>
        <w:t>十二、其他需说明的事项</w:t>
      </w:r>
    </w:p>
    <w:p w14:paraId="7FB29B67">
      <w:pPr>
        <w:spacing w:line="580" w:lineRule="exact"/>
        <w:ind w:firstLine="640"/>
        <w:jc w:val="both"/>
      </w:pPr>
      <w:r>
        <w:rPr>
          <w:rFonts w:ascii="仿宋_GB2312" w:hAnsi="仿宋_GB2312" w:eastAsia="仿宋_GB2312"/>
          <w:b w:val="0"/>
          <w:sz w:val="32"/>
        </w:rPr>
        <w:t>本单位无其他需说明的事项。</w:t>
      </w:r>
    </w:p>
    <w:p w14:paraId="2EEC4E6A">
      <w:r>
        <w:br w:type="page"/>
      </w:r>
    </w:p>
    <w:p w14:paraId="3F2FB22A">
      <w:pPr>
        <w:spacing w:line="240" w:lineRule="auto"/>
        <w:jc w:val="center"/>
        <w:outlineLvl w:val="1"/>
      </w:pPr>
      <w:r>
        <w:rPr>
          <w:rFonts w:ascii="黑体" w:hAnsi="黑体" w:eastAsia="黑体"/>
          <w:sz w:val="32"/>
        </w:rPr>
        <w:t>第三部分 专业名词解释</w:t>
      </w:r>
    </w:p>
    <w:p w14:paraId="025A70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FE1196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0249B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4085F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346BF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E455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846DD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7D32C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F6716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00286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757AC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715A0C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AA510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7206B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A169B7">
      <w:r>
        <w:br w:type="page"/>
      </w:r>
    </w:p>
    <w:p w14:paraId="0B92C096">
      <w:pPr>
        <w:spacing w:line="240" w:lineRule="auto"/>
        <w:jc w:val="center"/>
        <w:outlineLvl w:val="1"/>
      </w:pPr>
      <w:r>
        <w:rPr>
          <w:rFonts w:ascii="黑体" w:hAnsi="黑体" w:eastAsia="黑体"/>
          <w:sz w:val="32"/>
        </w:rPr>
        <w:t>第四部分 部门决算报表（见附表）</w:t>
      </w:r>
    </w:p>
    <w:p w14:paraId="5BC5AA59">
      <w:pPr>
        <w:spacing w:line="240" w:lineRule="auto"/>
        <w:ind w:firstLine="640"/>
        <w:jc w:val="both"/>
      </w:pPr>
      <w:r>
        <w:rPr>
          <w:rFonts w:ascii="仿宋_GB2312" w:hAnsi="仿宋_GB2312" w:eastAsia="仿宋_GB2312"/>
          <w:b w:val="0"/>
          <w:sz w:val="32"/>
        </w:rPr>
        <w:t>一、《收入支出决算总表》</w:t>
      </w:r>
    </w:p>
    <w:p w14:paraId="020C2422">
      <w:pPr>
        <w:spacing w:line="240" w:lineRule="auto"/>
        <w:ind w:firstLine="640"/>
        <w:jc w:val="both"/>
      </w:pPr>
      <w:r>
        <w:rPr>
          <w:rFonts w:ascii="仿宋_GB2312" w:hAnsi="仿宋_GB2312" w:eastAsia="仿宋_GB2312"/>
          <w:b w:val="0"/>
          <w:sz w:val="32"/>
        </w:rPr>
        <w:t>二、《收入决算表》</w:t>
      </w:r>
    </w:p>
    <w:p w14:paraId="0C703E1C">
      <w:pPr>
        <w:spacing w:line="240" w:lineRule="auto"/>
        <w:ind w:firstLine="640"/>
        <w:jc w:val="both"/>
      </w:pPr>
      <w:r>
        <w:rPr>
          <w:rFonts w:ascii="仿宋_GB2312" w:hAnsi="仿宋_GB2312" w:eastAsia="仿宋_GB2312"/>
          <w:b w:val="0"/>
          <w:sz w:val="32"/>
        </w:rPr>
        <w:t>三、《支出决算表》</w:t>
      </w:r>
    </w:p>
    <w:p w14:paraId="2E4B9E81">
      <w:pPr>
        <w:spacing w:line="240" w:lineRule="auto"/>
        <w:ind w:firstLine="640"/>
        <w:jc w:val="both"/>
      </w:pPr>
      <w:r>
        <w:rPr>
          <w:rFonts w:ascii="仿宋_GB2312" w:hAnsi="仿宋_GB2312" w:eastAsia="仿宋_GB2312"/>
          <w:b w:val="0"/>
          <w:sz w:val="32"/>
        </w:rPr>
        <w:t>四、《财政拨款收入支出决算总表》</w:t>
      </w:r>
    </w:p>
    <w:p w14:paraId="0FED729F">
      <w:pPr>
        <w:spacing w:line="240" w:lineRule="auto"/>
        <w:ind w:firstLine="640"/>
        <w:jc w:val="both"/>
      </w:pPr>
      <w:r>
        <w:rPr>
          <w:rFonts w:ascii="仿宋_GB2312" w:hAnsi="仿宋_GB2312" w:eastAsia="仿宋_GB2312"/>
          <w:b w:val="0"/>
          <w:sz w:val="32"/>
        </w:rPr>
        <w:t>五、《一般公共预算财政拨款支出决算表》</w:t>
      </w:r>
    </w:p>
    <w:p w14:paraId="0652C0AC">
      <w:pPr>
        <w:spacing w:line="240" w:lineRule="auto"/>
        <w:ind w:firstLine="640"/>
        <w:jc w:val="both"/>
      </w:pPr>
      <w:r>
        <w:rPr>
          <w:rFonts w:ascii="仿宋_GB2312" w:hAnsi="仿宋_GB2312" w:eastAsia="仿宋_GB2312"/>
          <w:b w:val="0"/>
          <w:sz w:val="32"/>
        </w:rPr>
        <w:t>六、《一般公共预算财政拨款基本支出决算表》</w:t>
      </w:r>
    </w:p>
    <w:p w14:paraId="6ABAD26E">
      <w:pPr>
        <w:spacing w:line="240" w:lineRule="auto"/>
        <w:ind w:firstLine="640"/>
        <w:jc w:val="both"/>
      </w:pPr>
      <w:r>
        <w:rPr>
          <w:rFonts w:ascii="仿宋_GB2312" w:hAnsi="仿宋_GB2312" w:eastAsia="仿宋_GB2312"/>
          <w:b w:val="0"/>
          <w:sz w:val="32"/>
        </w:rPr>
        <w:t>七、《政府性基金预算财政拨款收入支出决算表》</w:t>
      </w:r>
    </w:p>
    <w:p w14:paraId="26CA066D">
      <w:pPr>
        <w:spacing w:line="240" w:lineRule="auto"/>
        <w:ind w:firstLine="640"/>
        <w:jc w:val="both"/>
      </w:pPr>
      <w:r>
        <w:rPr>
          <w:rFonts w:ascii="仿宋_GB2312" w:hAnsi="仿宋_GB2312" w:eastAsia="仿宋_GB2312"/>
          <w:b w:val="0"/>
          <w:sz w:val="32"/>
        </w:rPr>
        <w:t>八、《国有资本经营预算财政拨款收入支出决算表》</w:t>
      </w:r>
    </w:p>
    <w:p w14:paraId="49086AFC">
      <w:pPr>
        <w:spacing w:line="240" w:lineRule="auto"/>
        <w:ind w:firstLine="640"/>
        <w:jc w:val="both"/>
      </w:pPr>
      <w:r>
        <w:rPr>
          <w:rFonts w:ascii="仿宋_GB2312" w:hAnsi="仿宋_GB2312" w:eastAsia="仿宋_GB2312"/>
          <w:b w:val="0"/>
          <w:sz w:val="32"/>
        </w:rPr>
        <w:t>九、《财政拨款“三公”经费支出决算表》</w:t>
      </w:r>
    </w:p>
    <w:p w14:paraId="1B47D213">
      <w:pPr>
        <w:spacing w:line="240" w:lineRule="auto"/>
        <w:ind w:firstLine="640"/>
        <w:jc w:val="both"/>
      </w:pPr>
    </w:p>
    <w:p w14:paraId="5EB364AA">
      <w:pPr>
        <w:spacing w:line="240" w:lineRule="auto"/>
        <w:ind w:firstLine="640"/>
        <w:jc w:val="both"/>
      </w:pPr>
    </w:p>
    <w:p w14:paraId="3A1C04D0">
      <w:pPr>
        <w:spacing w:line="240" w:lineRule="auto"/>
        <w:ind w:firstLine="640"/>
        <w:jc w:val="both"/>
      </w:pPr>
    </w:p>
    <w:p w14:paraId="38E3785B">
      <w:pPr>
        <w:spacing w:line="240" w:lineRule="auto"/>
        <w:ind w:firstLine="640"/>
        <w:jc w:val="both"/>
      </w:pPr>
    </w:p>
    <w:p w14:paraId="00E508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3F777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8D6E64"/>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8f979798-6197-4328-bdf1-dd8b74c64df8</errorID>
      <errorWord>2月31日</errorWord>
      <group>L1_Sensitive</group>
      <groupName>敏感问题</groupName>
      <ability>L2_UserSensitive</ability>
      <abilityName>自定义敏感词</abilityName>
      <candidateList/>
      <explain>来自自定义敏感词库。</explain>
      <paraID>770464B2</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fb58e-93fd-4b06-bd3f-b3e51de59369}">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5655</Words>
  <Characters>6477</Characters>
  <Lines>0</Lines>
  <Paragraphs>0</Paragraphs>
  <TotalTime>16</TotalTime>
  <ScaleCrop>false</ScaleCrop>
  <LinksUpToDate>false</LinksUpToDate>
  <CharactersWithSpaces>6486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