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托里县老风口林场2024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109578">
      <w:r>
        <w:br w:type="page"/>
      </w:r>
    </w:p>
    <w:p w14:paraId="38272C5C">
      <w:pPr>
        <w:spacing w:line="640" w:lineRule="exact"/>
        <w:jc w:val="center"/>
        <w:outlineLvl w:val="1"/>
      </w:pPr>
      <w:r>
        <w:rPr>
          <w:rFonts w:ascii="黑体" w:hAnsi="黑体" w:eastAsia="黑体"/>
          <w:sz w:val="32"/>
        </w:rPr>
        <w:t>第一部分 单位概况</w:t>
      </w:r>
    </w:p>
    <w:p w14:paraId="15AF7E38">
      <w:pPr>
        <w:spacing w:line="640" w:lineRule="exact"/>
        <w:ind w:firstLine="640"/>
        <w:jc w:val="both"/>
        <w:outlineLvl w:val="2"/>
      </w:pPr>
      <w:r>
        <w:rPr>
          <w:rFonts w:ascii="黑体" w:hAnsi="黑体" w:eastAsia="黑体"/>
          <w:sz w:val="32"/>
        </w:rPr>
        <w:t>一、主要职能</w:t>
      </w:r>
    </w:p>
    <w:p w14:paraId="58AEFDF5">
      <w:pPr>
        <w:spacing w:line="580" w:lineRule="exact"/>
        <w:ind w:firstLine="640"/>
        <w:jc w:val="both"/>
      </w:pPr>
      <w:r>
        <w:rPr>
          <w:rFonts w:ascii="仿宋_GB2312" w:hAnsi="仿宋_GB2312" w:eastAsia="仿宋_GB2312"/>
          <w:sz w:val="32"/>
        </w:rPr>
        <w:t>保护和管理森林资源、护林防火、野生动植物保护、病虫害防治等；认真贯彻《</w:t>
      </w:r>
      <w:r>
        <w:rPr>
          <w:rFonts w:hint="eastAsia" w:ascii="仿宋_GB2312" w:hAnsi="仿宋_GB2312" w:eastAsia="仿宋_GB2312"/>
          <w:sz w:val="32"/>
          <w:lang w:eastAsia="zh-CN"/>
        </w:rPr>
        <w:t>中华人民共和国森林法</w:t>
      </w:r>
      <w:r>
        <w:rPr>
          <w:rFonts w:ascii="仿宋_GB2312" w:hAnsi="仿宋_GB2312" w:eastAsia="仿宋_GB2312"/>
          <w:sz w:val="32"/>
        </w:rPr>
        <w:t>》《森林防火条例》《新疆森林防火实施条例》，实施“预防为主，积极消灭”的方针，加强森林防火宣传、检查督促工作；确保森林、林地、林木及野生动植物不受破坏，</w:t>
      </w:r>
      <w:r>
        <w:rPr>
          <w:rFonts w:hint="eastAsia" w:ascii="仿宋_GB2312" w:hAnsi="仿宋_GB2312" w:eastAsia="仿宋_GB2312"/>
          <w:sz w:val="32"/>
          <w:lang w:eastAsia="zh-CN"/>
        </w:rPr>
        <w:t>负责</w:t>
      </w:r>
      <w:r>
        <w:rPr>
          <w:rFonts w:ascii="仿宋_GB2312" w:hAnsi="仿宋_GB2312" w:eastAsia="仿宋_GB2312"/>
          <w:sz w:val="32"/>
        </w:rPr>
        <w:t>本辖区森林资源监测管理，负责本辖区及周边野外用火，宣传并执行国家有关管理的政策、法规、规章制度；制止破坏森林资源的行为。</w:t>
      </w:r>
    </w:p>
    <w:p w14:paraId="7904136C">
      <w:pPr>
        <w:spacing w:line="640" w:lineRule="exact"/>
        <w:ind w:firstLine="640"/>
        <w:jc w:val="both"/>
        <w:outlineLvl w:val="2"/>
      </w:pPr>
      <w:r>
        <w:rPr>
          <w:rFonts w:ascii="黑体" w:hAnsi="黑体" w:eastAsia="黑体"/>
          <w:sz w:val="32"/>
        </w:rPr>
        <w:t>二、机构设置及人员情况</w:t>
      </w:r>
    </w:p>
    <w:p w14:paraId="5BFD5CDF">
      <w:pPr>
        <w:spacing w:line="580" w:lineRule="exact"/>
        <w:ind w:firstLine="640"/>
        <w:jc w:val="both"/>
      </w:pPr>
      <w:r>
        <w:rPr>
          <w:rFonts w:ascii="仿宋_GB2312" w:hAnsi="仿宋_GB2312" w:eastAsia="仿宋_GB2312"/>
          <w:sz w:val="32"/>
        </w:rPr>
        <w:t>托里县老风口林场2024年度，实有人数33人，其中：在职人员21人，增加0人；离休人员0人，增加0人；退休人员12人,减少2人。</w:t>
      </w:r>
    </w:p>
    <w:p w14:paraId="3FF9AB53">
      <w:pPr>
        <w:spacing w:line="580" w:lineRule="exact"/>
        <w:ind w:firstLine="640"/>
        <w:jc w:val="both"/>
      </w:pPr>
      <w:r>
        <w:rPr>
          <w:rFonts w:ascii="仿宋_GB2312" w:hAnsi="仿宋_GB2312" w:eastAsia="仿宋_GB2312"/>
          <w:sz w:val="32"/>
        </w:rPr>
        <w:t>托里县老风口林场无下属预算单位，下设3个科室，分别是：办公室、财务室、业务室。</w:t>
      </w:r>
    </w:p>
    <w:p w14:paraId="7411E2A3">
      <w:r>
        <w:br w:type="page"/>
      </w:r>
    </w:p>
    <w:p w14:paraId="179A0081">
      <w:pPr>
        <w:spacing w:line="240" w:lineRule="auto"/>
        <w:jc w:val="center"/>
        <w:outlineLvl w:val="1"/>
      </w:pPr>
      <w:r>
        <w:rPr>
          <w:rFonts w:ascii="黑体" w:hAnsi="黑体" w:eastAsia="黑体"/>
          <w:sz w:val="32"/>
        </w:rPr>
        <w:t>第二部分 部门决算情况说明</w:t>
      </w:r>
    </w:p>
    <w:p w14:paraId="60A78D3F">
      <w:pPr>
        <w:spacing w:line="640" w:lineRule="exact"/>
        <w:ind w:firstLine="640"/>
        <w:jc w:val="both"/>
        <w:outlineLvl w:val="2"/>
      </w:pPr>
      <w:r>
        <w:rPr>
          <w:rFonts w:ascii="黑体" w:hAnsi="黑体" w:eastAsia="黑体"/>
          <w:sz w:val="32"/>
        </w:rPr>
        <w:t>一、收入支出决算总体情况说明</w:t>
      </w:r>
    </w:p>
    <w:p w14:paraId="0401864D">
      <w:pPr>
        <w:spacing w:line="580" w:lineRule="exact"/>
        <w:ind w:firstLine="640"/>
        <w:jc w:val="both"/>
      </w:pPr>
      <w:r>
        <w:rPr>
          <w:rFonts w:ascii="仿宋_GB2312" w:hAnsi="仿宋_GB2312" w:eastAsia="仿宋_GB2312"/>
          <w:b/>
          <w:sz w:val="32"/>
        </w:rPr>
        <w:t>2024年度收入总计390.60万元，</w:t>
      </w:r>
      <w:r>
        <w:rPr>
          <w:rFonts w:ascii="仿宋_GB2312" w:hAnsi="仿宋_GB2312" w:eastAsia="仿宋_GB2312"/>
          <w:b w:val="0"/>
          <w:sz w:val="32"/>
        </w:rPr>
        <w:t>其中：本年收入合计390.60万元，使用非财政拨款结余（含专用结余）0.00万元，年初结转和结余0.00万元。</w:t>
      </w:r>
    </w:p>
    <w:p w14:paraId="31818F2E">
      <w:pPr>
        <w:spacing w:line="580" w:lineRule="exact"/>
        <w:ind w:firstLine="640"/>
        <w:jc w:val="both"/>
      </w:pPr>
      <w:r>
        <w:rPr>
          <w:rFonts w:ascii="仿宋_GB2312" w:hAnsi="仿宋_GB2312" w:eastAsia="仿宋_GB2312"/>
          <w:b/>
          <w:sz w:val="32"/>
        </w:rPr>
        <w:t>2024年度支出总计390.60万元，</w:t>
      </w:r>
      <w:r>
        <w:rPr>
          <w:rFonts w:ascii="仿宋_GB2312" w:hAnsi="仿宋_GB2312" w:eastAsia="仿宋_GB2312"/>
          <w:b w:val="0"/>
          <w:sz w:val="32"/>
        </w:rPr>
        <w:t>其中：本年支出合计390.60万元，结余分配0.00万元，年末结转和结余0.00万元。</w:t>
      </w:r>
    </w:p>
    <w:p w14:paraId="3A6A4CDD">
      <w:pPr>
        <w:spacing w:line="580" w:lineRule="exact"/>
        <w:ind w:firstLine="640"/>
        <w:jc w:val="both"/>
      </w:pPr>
      <w:r>
        <w:rPr>
          <w:rFonts w:ascii="仿宋_GB2312" w:hAnsi="仿宋_GB2312" w:eastAsia="仿宋_GB2312"/>
          <w:b w:val="0"/>
          <w:sz w:val="32"/>
        </w:rPr>
        <w:t>收入支出总体与上年相比，增加75.68万元，增长24.03%，主要原因是：本年在职人员工资调增，社保、公积金基数调增，人员经费增加；本年补发2017年绩效、2020年下半年绩效及2023年考核奖。</w:t>
      </w:r>
    </w:p>
    <w:p w14:paraId="34DACCBC">
      <w:pPr>
        <w:spacing w:line="640" w:lineRule="exact"/>
        <w:ind w:firstLine="640"/>
        <w:jc w:val="both"/>
        <w:outlineLvl w:val="2"/>
      </w:pPr>
      <w:r>
        <w:rPr>
          <w:rFonts w:ascii="黑体" w:hAnsi="黑体" w:eastAsia="黑体"/>
          <w:sz w:val="32"/>
        </w:rPr>
        <w:t>二、收入决算情况说明</w:t>
      </w:r>
    </w:p>
    <w:p w14:paraId="161D58FF">
      <w:pPr>
        <w:spacing w:line="580" w:lineRule="exact"/>
        <w:ind w:firstLine="640"/>
        <w:jc w:val="both"/>
      </w:pPr>
      <w:r>
        <w:rPr>
          <w:rFonts w:ascii="仿宋_GB2312" w:hAnsi="仿宋_GB2312" w:eastAsia="仿宋_GB2312"/>
          <w:b/>
          <w:sz w:val="32"/>
        </w:rPr>
        <w:t>本年收入390.60万元，</w:t>
      </w:r>
      <w:r>
        <w:rPr>
          <w:rFonts w:ascii="仿宋_GB2312" w:hAnsi="仿宋_GB2312" w:eastAsia="仿宋_GB2312"/>
          <w:b w:val="0"/>
          <w:sz w:val="32"/>
        </w:rPr>
        <w:t>其中：财政拨款收入390.60万元，占100.00%；上级补助收入0.00万元，占0.00%；事业收入0.00万元，占0.00%；经营收入0.00万元，占0.00%；附属单位上缴收入0.00万元，占0.00%；其他收入0.00万元，占0.00%。</w:t>
      </w:r>
    </w:p>
    <w:p w14:paraId="16153A8C">
      <w:pPr>
        <w:spacing w:line="640" w:lineRule="exact"/>
        <w:ind w:firstLine="640"/>
        <w:jc w:val="both"/>
        <w:outlineLvl w:val="2"/>
      </w:pPr>
      <w:r>
        <w:rPr>
          <w:rFonts w:ascii="黑体" w:hAnsi="黑体" w:eastAsia="黑体"/>
          <w:sz w:val="32"/>
        </w:rPr>
        <w:t>三、支出决算情况说明</w:t>
      </w:r>
    </w:p>
    <w:p w14:paraId="449884FC">
      <w:pPr>
        <w:spacing w:line="580" w:lineRule="exact"/>
        <w:ind w:firstLine="640"/>
        <w:jc w:val="both"/>
      </w:pPr>
      <w:r>
        <w:rPr>
          <w:rFonts w:ascii="仿宋_GB2312" w:hAnsi="仿宋_GB2312" w:eastAsia="仿宋_GB2312"/>
          <w:b/>
          <w:sz w:val="32"/>
        </w:rPr>
        <w:t>本年支出390.60万元，</w:t>
      </w:r>
      <w:r>
        <w:rPr>
          <w:rFonts w:ascii="仿宋_GB2312" w:hAnsi="仿宋_GB2312" w:eastAsia="仿宋_GB2312"/>
          <w:b w:val="0"/>
          <w:sz w:val="32"/>
        </w:rPr>
        <w:t>其中：基本支出388.90万元，占99.56%；项目支出1.70万元，占0.44%；上缴上级支出0.00万元，占0.00%；经营支出0.00万元，占0.00%；对附属单位补助支出0.00万元，占0.00%。</w:t>
      </w:r>
    </w:p>
    <w:p w14:paraId="266229E2">
      <w:pPr>
        <w:spacing w:line="640" w:lineRule="exact"/>
        <w:ind w:firstLine="640"/>
        <w:jc w:val="both"/>
        <w:outlineLvl w:val="2"/>
      </w:pPr>
      <w:r>
        <w:rPr>
          <w:rFonts w:ascii="黑体" w:hAnsi="黑体" w:eastAsia="黑体"/>
          <w:sz w:val="32"/>
        </w:rPr>
        <w:t>四、财政拨款收入支出决算总体情况说明</w:t>
      </w:r>
    </w:p>
    <w:p w14:paraId="75D5B11A">
      <w:pPr>
        <w:spacing w:line="580" w:lineRule="exact"/>
        <w:ind w:firstLine="640"/>
        <w:jc w:val="both"/>
      </w:pPr>
      <w:r>
        <w:rPr>
          <w:rFonts w:ascii="仿宋_GB2312" w:hAnsi="仿宋_GB2312" w:eastAsia="仿宋_GB2312"/>
          <w:b/>
          <w:sz w:val="32"/>
        </w:rPr>
        <w:t>2024年度财政拨款收入总计390.60万元，</w:t>
      </w:r>
      <w:r>
        <w:rPr>
          <w:rFonts w:ascii="仿宋_GB2312" w:hAnsi="仿宋_GB2312" w:eastAsia="仿宋_GB2312"/>
          <w:b w:val="0"/>
          <w:sz w:val="32"/>
        </w:rPr>
        <w:t>其中：年初财政拨款结转和结余0.00万元，本年财政拨款收入390.60万元。</w:t>
      </w:r>
      <w:r>
        <w:rPr>
          <w:rFonts w:ascii="仿宋_GB2312" w:hAnsi="仿宋_GB2312" w:eastAsia="仿宋_GB2312"/>
          <w:b/>
          <w:sz w:val="32"/>
        </w:rPr>
        <w:t>财政拨款支出总计390.60万元，</w:t>
      </w:r>
      <w:r>
        <w:rPr>
          <w:rFonts w:ascii="仿宋_GB2312" w:hAnsi="仿宋_GB2312" w:eastAsia="仿宋_GB2312"/>
          <w:b w:val="0"/>
          <w:sz w:val="32"/>
        </w:rPr>
        <w:t>其中：年末财政拨款结转和结余0.00万元，本年财政拨款支出390.60万元。</w:t>
      </w:r>
    </w:p>
    <w:p w14:paraId="0F280F8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增加75.69万元，增长24.04%，主要原因是：本年在职人员工资调增，社保、公积金基数调增，人员经费增加；本年补发2017年绩效、2020年下半年绩效及2023年考核奖。</w:t>
      </w:r>
      <w:r>
        <w:rPr>
          <w:rFonts w:ascii="仿宋_GB2312" w:hAnsi="仿宋_GB2312" w:eastAsia="仿宋_GB2312"/>
          <w:b/>
          <w:sz w:val="32"/>
        </w:rPr>
        <w:t>与年初预算相比，</w:t>
      </w:r>
      <w:r>
        <w:rPr>
          <w:rFonts w:ascii="仿宋_GB2312" w:hAnsi="仿宋_GB2312" w:eastAsia="仿宋_GB2312"/>
          <w:b w:val="0"/>
          <w:sz w:val="32"/>
        </w:rPr>
        <w:t>年初预算数350.77万元，决算数390.60万元，预决算差异率11.36%，主要原因是：年中追加补发2017年绩效、2020年半年绩效、2023年年度考核奖；年中追加人员工资、社保、公积金基数调增部分资金，导致预决算存在差异。</w:t>
      </w:r>
    </w:p>
    <w:p w14:paraId="62A9518A">
      <w:pPr>
        <w:spacing w:line="640" w:lineRule="exact"/>
        <w:ind w:firstLine="640"/>
        <w:jc w:val="both"/>
        <w:outlineLvl w:val="2"/>
      </w:pPr>
      <w:r>
        <w:rPr>
          <w:rFonts w:ascii="黑体" w:hAnsi="黑体" w:eastAsia="黑体"/>
          <w:sz w:val="32"/>
        </w:rPr>
        <w:t>五、一般公共预算财政拨款支出决算情况说明</w:t>
      </w:r>
    </w:p>
    <w:p w14:paraId="65ECF0B8">
      <w:pPr>
        <w:spacing w:line="640" w:lineRule="exact"/>
        <w:ind w:firstLine="640"/>
        <w:jc w:val="both"/>
        <w:outlineLvl w:val="3"/>
      </w:pPr>
      <w:r>
        <w:rPr>
          <w:rFonts w:ascii="楷体_GB2312" w:hAnsi="楷体_GB2312" w:eastAsia="楷体_GB2312"/>
          <w:b/>
          <w:sz w:val="32"/>
        </w:rPr>
        <w:t>（一）一般公共预算财政拨款支出决算总体情况</w:t>
      </w:r>
    </w:p>
    <w:p w14:paraId="338C0A20">
      <w:pPr>
        <w:spacing w:line="580" w:lineRule="exact"/>
        <w:ind w:firstLine="640"/>
        <w:jc w:val="both"/>
      </w:pPr>
      <w:r>
        <w:rPr>
          <w:rFonts w:ascii="仿宋_GB2312" w:hAnsi="仿宋_GB2312" w:eastAsia="仿宋_GB2312"/>
          <w:b/>
          <w:sz w:val="32"/>
        </w:rPr>
        <w:t>2024年度一般公共预算财政拨款支出390.60万元，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增加75.69万元，增长24.04%，主要原因是：本年在职人员工资调增，社保、公积金基数调增，人员经费增加；本年补发2017年绩效、2020年下半年绩效及2023年考核奖。</w:t>
      </w:r>
      <w:r>
        <w:rPr>
          <w:rFonts w:ascii="仿宋_GB2312" w:hAnsi="仿宋_GB2312" w:eastAsia="仿宋_GB2312"/>
          <w:b/>
          <w:sz w:val="32"/>
        </w:rPr>
        <w:t>与年初预算相比,</w:t>
      </w:r>
      <w:r>
        <w:rPr>
          <w:rFonts w:ascii="仿宋_GB2312" w:hAnsi="仿宋_GB2312" w:eastAsia="仿宋_GB2312"/>
          <w:b w:val="0"/>
          <w:sz w:val="32"/>
        </w:rPr>
        <w:t>年初预算数350.77万元，决算数390.60万元，预决算差异率11.36%，主要原因是：年中追加补发2017年绩效、2020年半年绩效、2023年年度考核奖；年中追加人员工资、社保、公积金基数调增部分资金，导致预决算存在差异。</w:t>
      </w:r>
    </w:p>
    <w:p w14:paraId="6F186245">
      <w:pPr>
        <w:spacing w:line="640" w:lineRule="exact"/>
        <w:ind w:firstLine="640"/>
        <w:jc w:val="both"/>
        <w:outlineLvl w:val="3"/>
      </w:pPr>
      <w:r>
        <w:rPr>
          <w:rFonts w:ascii="楷体_GB2312" w:hAnsi="楷体_GB2312" w:eastAsia="楷体_GB2312"/>
          <w:b/>
          <w:sz w:val="32"/>
        </w:rPr>
        <w:t>（二）一般公共预算财政拨款支出决算结构情况</w:t>
      </w:r>
    </w:p>
    <w:p w14:paraId="147D6D73">
      <w:pPr>
        <w:spacing w:line="580" w:lineRule="exact"/>
        <w:ind w:firstLine="640"/>
        <w:jc w:val="both"/>
      </w:pPr>
      <w:r>
        <w:rPr>
          <w:rFonts w:ascii="仿宋_GB2312" w:hAnsi="仿宋_GB2312" w:eastAsia="仿宋_GB2312"/>
          <w:b w:val="0"/>
          <w:sz w:val="32"/>
        </w:rPr>
        <w:t>1.文化旅游体育与传媒支出(类)1.70万元,占0.44%。</w:t>
      </w:r>
    </w:p>
    <w:p w14:paraId="4CE9CFBD">
      <w:pPr>
        <w:spacing w:line="580" w:lineRule="exact"/>
        <w:ind w:firstLine="640"/>
        <w:jc w:val="both"/>
      </w:pPr>
      <w:r>
        <w:rPr>
          <w:rFonts w:ascii="仿宋_GB2312" w:hAnsi="仿宋_GB2312" w:eastAsia="仿宋_GB2312"/>
          <w:b w:val="0"/>
          <w:sz w:val="32"/>
        </w:rPr>
        <w:t>2.社会保障和就业支出(类)54.75万元,占14.02%。</w:t>
      </w:r>
    </w:p>
    <w:p w14:paraId="26136F62">
      <w:pPr>
        <w:spacing w:line="580" w:lineRule="exact"/>
        <w:ind w:firstLine="640"/>
        <w:jc w:val="both"/>
      </w:pPr>
      <w:r>
        <w:rPr>
          <w:rFonts w:ascii="仿宋_GB2312" w:hAnsi="仿宋_GB2312" w:eastAsia="仿宋_GB2312"/>
          <w:b w:val="0"/>
          <w:sz w:val="32"/>
        </w:rPr>
        <w:t>3.卫生健康支出(类)14.12万元,占3.61%。</w:t>
      </w:r>
    </w:p>
    <w:p w14:paraId="524743B3">
      <w:pPr>
        <w:spacing w:line="580" w:lineRule="exact"/>
        <w:ind w:firstLine="640"/>
        <w:jc w:val="both"/>
      </w:pPr>
      <w:r>
        <w:rPr>
          <w:rFonts w:ascii="仿宋_GB2312" w:hAnsi="仿宋_GB2312" w:eastAsia="仿宋_GB2312"/>
          <w:b w:val="0"/>
          <w:sz w:val="32"/>
        </w:rPr>
        <w:t>4.农林水支出(类)292.20万元,占74.81%。</w:t>
      </w:r>
    </w:p>
    <w:p w14:paraId="2BD97496">
      <w:pPr>
        <w:spacing w:line="580" w:lineRule="exact"/>
        <w:ind w:firstLine="640"/>
        <w:jc w:val="both"/>
      </w:pPr>
      <w:r>
        <w:rPr>
          <w:rFonts w:ascii="仿宋_GB2312" w:hAnsi="仿宋_GB2312" w:eastAsia="仿宋_GB2312"/>
          <w:b w:val="0"/>
          <w:sz w:val="32"/>
        </w:rPr>
        <w:t>5.住房保障支出(类)27.83万元,占7.12%。</w:t>
      </w:r>
    </w:p>
    <w:p w14:paraId="0E66F849">
      <w:pPr>
        <w:spacing w:line="640" w:lineRule="exact"/>
        <w:ind w:firstLine="640"/>
        <w:jc w:val="both"/>
        <w:outlineLvl w:val="3"/>
      </w:pPr>
      <w:r>
        <w:rPr>
          <w:rFonts w:ascii="楷体_GB2312" w:hAnsi="楷体_GB2312" w:eastAsia="楷体_GB2312"/>
          <w:b/>
          <w:sz w:val="32"/>
        </w:rPr>
        <w:t>（三）一般公共预算财政拨款支出决算具体情况</w:t>
      </w:r>
    </w:p>
    <w:p w14:paraId="77F59B3F">
      <w:pPr>
        <w:spacing w:line="580" w:lineRule="exact"/>
        <w:ind w:firstLine="640"/>
        <w:jc w:val="both"/>
      </w:pPr>
      <w:r>
        <w:rPr>
          <w:rFonts w:ascii="仿宋_GB2312" w:hAnsi="仿宋_GB2312" w:eastAsia="仿宋_GB2312"/>
          <w:b w:val="0"/>
          <w:sz w:val="32"/>
        </w:rPr>
        <w:t>1.文化旅游体育与传媒支出(类)文化和旅游(款)其他文化和旅游支出(项):支出决算数为1.70万元，比上年决算减少0.60万元，下降26.09%,主要原因是：本年中央补助地方美术馆、公共图书馆、文化馆[站]免费开放补助项目资金较上年减少。</w:t>
      </w:r>
    </w:p>
    <w:p w14:paraId="796D6342">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2.社会保障和就业支出(类)行政事业单位养老支出(款)事业单位离退休(项):支出决算数为21.44万元，比上年决算增加14.07万元，增长190.91%,主要原因是：本年增加退休人员基础绩效奖，退休费支出增加。</w:t>
      </w:r>
    </w:p>
    <w:p w14:paraId="6C84986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33.30万元，比上年决算增加4.03万元，增长13.77%,主要原因是：本年在职人员工资基数调增，养老缴费基数上涨，相应支出增加。</w:t>
      </w:r>
    </w:p>
    <w:p w14:paraId="3301D83B">
      <w:pPr>
        <w:spacing w:line="580" w:lineRule="exact"/>
        <w:ind w:firstLine="640"/>
        <w:jc w:val="both"/>
      </w:pPr>
      <w:r>
        <w:rPr>
          <w:rFonts w:ascii="仿宋_GB2312" w:hAnsi="仿宋_GB2312" w:eastAsia="仿宋_GB2312"/>
          <w:b w:val="0"/>
          <w:sz w:val="32"/>
        </w:rPr>
        <w:t>4.卫生健康支出(类)行政事业单位医疗(款)事业单位医疗(项):支出决算数为14.12万元，比上年决算增加0.88万元，增长6.65%,主要原因是：本年在职人员工资基数调增，医疗缴费基数上涨，相应支出增加。</w:t>
      </w:r>
    </w:p>
    <w:p w14:paraId="0E6718F5">
      <w:pPr>
        <w:spacing w:line="580" w:lineRule="exact"/>
        <w:ind w:firstLine="640"/>
        <w:jc w:val="both"/>
      </w:pPr>
      <w:r>
        <w:rPr>
          <w:rFonts w:ascii="仿宋_GB2312" w:hAnsi="仿宋_GB2312" w:eastAsia="仿宋_GB2312"/>
          <w:b w:val="0"/>
          <w:sz w:val="32"/>
        </w:rPr>
        <w:t>5.农林水支出(类)林业和草原(款)事业机构(项):支出决算数为292.20万元，比上年决算增加53.39万元，增长22.36%,主要原因是：本年补发2017年绩效、2020年下半年绩效及2023年考核奖；本年在职人员工资调增，相关人员经费增加。</w:t>
      </w:r>
    </w:p>
    <w:p w14:paraId="0D267E30">
      <w:pPr>
        <w:spacing w:line="580" w:lineRule="exact"/>
        <w:ind w:firstLine="640"/>
        <w:jc w:val="both"/>
      </w:pPr>
      <w:r>
        <w:rPr>
          <w:rFonts w:ascii="仿宋_GB2312" w:hAnsi="仿宋_GB2312" w:eastAsia="仿宋_GB2312"/>
          <w:b w:val="0"/>
          <w:sz w:val="32"/>
        </w:rPr>
        <w:t>6.住房保障支出(类)住房改革支出(款)住房公积金(项):支出决算数为27.83万元，比上年决算增加3.91万元，增长16.35%,主要原因是：本年在职人员工资基数调增，公积金缴费基数上涨，相应支出增加。</w:t>
      </w:r>
    </w:p>
    <w:p w14:paraId="022F8158">
      <w:pPr>
        <w:spacing w:line="640" w:lineRule="exact"/>
        <w:ind w:firstLine="640"/>
        <w:jc w:val="both"/>
        <w:outlineLvl w:val="2"/>
      </w:pPr>
      <w:r>
        <w:rPr>
          <w:rFonts w:ascii="黑体" w:hAnsi="黑体" w:eastAsia="黑体"/>
          <w:sz w:val="32"/>
        </w:rPr>
        <w:t>六、一般公共预算财政拨款基本支出决算情况说明</w:t>
      </w:r>
    </w:p>
    <w:p w14:paraId="15F59E6E">
      <w:pPr>
        <w:spacing w:line="580" w:lineRule="exact"/>
        <w:ind w:firstLine="640"/>
        <w:jc w:val="both"/>
      </w:pPr>
      <w:r>
        <w:rPr>
          <w:rFonts w:ascii="仿宋_GB2312" w:hAnsi="仿宋_GB2312" w:eastAsia="仿宋_GB2312"/>
          <w:b w:val="0"/>
          <w:sz w:val="32"/>
        </w:rPr>
        <w:t>2024年度一般公共预算财政拨款基本支出388.90万元，其中：</w:t>
      </w:r>
      <w:r>
        <w:rPr>
          <w:rFonts w:ascii="仿宋_GB2312" w:hAnsi="仿宋_GB2312" w:eastAsia="仿宋_GB2312"/>
          <w:b/>
          <w:sz w:val="32"/>
        </w:rPr>
        <w:t>人员经费378.77万元，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包括：基本工资、津贴补贴、奖金、绩效工资、机关事业单位基本养老保险缴费、职工基本医疗保险缴费、其他社会保障缴费、住房公积金、退休费、抚恤金、生活补助、奖励金。</w:t>
      </w:r>
    </w:p>
    <w:p w14:paraId="31AE0C3E">
      <w:pPr>
        <w:spacing w:line="580" w:lineRule="exact"/>
        <w:ind w:firstLine="640"/>
        <w:jc w:val="both"/>
      </w:pPr>
      <w:r>
        <w:rPr>
          <w:rFonts w:ascii="仿宋_GB2312" w:hAnsi="仿宋_GB2312" w:eastAsia="仿宋_GB2312"/>
          <w:b/>
          <w:sz w:val="32"/>
        </w:rPr>
        <w:t>公用经费10.13万元，</w:t>
      </w:r>
      <w:r>
        <w:rPr>
          <w:rFonts w:ascii="仿宋_GB2312" w:hAnsi="仿宋_GB2312" w:eastAsia="仿宋_GB2312"/>
          <w:b w:val="0"/>
          <w:sz w:val="32"/>
        </w:rPr>
        <w:t>包括：办公费、印刷费、取暖费、专用材料费、工会经费、公务用车运行维护费。</w:t>
      </w:r>
    </w:p>
    <w:p w14:paraId="35386854">
      <w:pPr>
        <w:spacing w:line="640" w:lineRule="exact"/>
        <w:ind w:firstLine="640"/>
        <w:jc w:val="both"/>
        <w:outlineLvl w:val="2"/>
      </w:pPr>
      <w:r>
        <w:rPr>
          <w:rFonts w:ascii="黑体" w:hAnsi="黑体" w:eastAsia="黑体"/>
          <w:sz w:val="32"/>
        </w:rPr>
        <w:t>七、政府性基金预算财政拨款收入支出决算情况说明</w:t>
      </w:r>
    </w:p>
    <w:p w14:paraId="26C200A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BDC7456">
      <w:pPr>
        <w:spacing w:line="640" w:lineRule="exact"/>
        <w:ind w:firstLine="640"/>
        <w:jc w:val="both"/>
        <w:outlineLvl w:val="2"/>
      </w:pPr>
      <w:r>
        <w:rPr>
          <w:rFonts w:ascii="黑体" w:hAnsi="黑体" w:eastAsia="黑体"/>
          <w:sz w:val="32"/>
        </w:rPr>
        <w:t>八、国有资本经营预算财政拨款收入支出决算情况说明</w:t>
      </w:r>
    </w:p>
    <w:p w14:paraId="7431F78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DCB9FA">
      <w:pPr>
        <w:spacing w:line="640" w:lineRule="exact"/>
        <w:ind w:firstLine="640"/>
        <w:jc w:val="both"/>
        <w:outlineLvl w:val="2"/>
      </w:pPr>
      <w:r>
        <w:rPr>
          <w:rFonts w:ascii="黑体" w:hAnsi="黑体" w:eastAsia="黑体"/>
          <w:sz w:val="32"/>
        </w:rPr>
        <w:t>九、财政拨款“三公”经费支出决算情况说明</w:t>
      </w:r>
    </w:p>
    <w:p w14:paraId="6521958B">
      <w:pPr>
        <w:spacing w:line="580" w:lineRule="exact"/>
        <w:ind w:firstLine="640"/>
        <w:jc w:val="both"/>
      </w:pPr>
      <w:r>
        <w:rPr>
          <w:rFonts w:ascii="仿宋_GB2312" w:hAnsi="仿宋_GB2312" w:eastAsia="仿宋_GB2312"/>
          <w:b/>
          <w:sz w:val="32"/>
        </w:rPr>
        <w:t>2024年度财政拨款“三公”经费支出0.20万元，</w:t>
      </w:r>
      <w:r>
        <w:rPr>
          <w:rFonts w:ascii="仿宋_GB2312" w:hAnsi="仿宋_GB2312" w:eastAsia="仿宋_GB2312"/>
          <w:b w:val="0"/>
          <w:sz w:val="32"/>
        </w:rPr>
        <w:t>比上年增加0.20万元，增长100.00%，主要原因是：上年车辆年审费、保险费由自然资源局承担，本年增加车辆年审、保险费。其中：因公出国（境）费支出0.00万元，占0.00%，比上年增加0.00万元，增长0.00%，主要原因是：2023年与2024年均未安排因公出国（境）费支出。公务用车购置及运行维护费支出0.20万元，占100.00%，比上年增加0.20万元，增长100.00%，主要原因是：上年车辆年审费、保险费由自然资源局承担，本年增加车辆年审、保险费。公务接待费支出0.00万元，占0.00%，比上年增加0.00万元，增长0.00%，主要原因是：2023年与2024年均未安排公务接待费支出。</w:t>
      </w:r>
    </w:p>
    <w:p w14:paraId="3574745E">
      <w:pPr>
        <w:spacing w:line="580" w:lineRule="exact"/>
        <w:ind w:firstLine="640"/>
        <w:jc w:val="both"/>
      </w:pPr>
      <w:r>
        <w:rPr>
          <w:rFonts w:ascii="仿宋_GB2312" w:hAnsi="仿宋_GB2312" w:eastAsia="仿宋_GB2312"/>
          <w:b/>
          <w:sz w:val="32"/>
        </w:rPr>
        <w:t>具体情况如下：</w:t>
      </w:r>
    </w:p>
    <w:p w14:paraId="1D4A95A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25ACB0">
      <w:pPr>
        <w:spacing w:line="580" w:lineRule="exact"/>
        <w:ind w:firstLine="640"/>
        <w:jc w:val="both"/>
      </w:pPr>
      <w:r>
        <w:rPr>
          <w:rFonts w:ascii="仿宋_GB2312" w:hAnsi="仿宋_GB2312" w:eastAsia="仿宋_GB2312"/>
          <w:b w:val="0"/>
          <w:sz w:val="32"/>
        </w:rPr>
        <w:t>公务用车购置及运行维护费0.20万元，其中：公务用车购置费0.00万元，公务用车运行维护费0.20万元。公务用车运行维护费开支内容包括车辆加油费、维修费、保险费、审车费。公务用车购置数0辆，公务用车保有量1辆。国有资产占用情况中固定资产车辆0辆，与公务用车保有量差异原因是：借用其他单位车辆，车辆费用由本单位支付。</w:t>
      </w:r>
    </w:p>
    <w:p w14:paraId="4C0A0D7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4C5BE3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0.20万元，决算数0.20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0.20万元，决算数0.20万元，预决算差异率0.00%，主要原因是：严格按照预算执行，预决算无差异。公务接待费全年预算数0.00万元，决算数0.00万元，预决算差异率0.00%，主要原因是：本单位无公务接待费。</w:t>
      </w:r>
    </w:p>
    <w:p w14:paraId="3744F4FC">
      <w:pPr>
        <w:spacing w:line="640" w:lineRule="exact"/>
        <w:ind w:firstLine="640"/>
        <w:jc w:val="both"/>
        <w:outlineLvl w:val="2"/>
      </w:pPr>
      <w:r>
        <w:rPr>
          <w:rFonts w:ascii="黑体" w:hAnsi="黑体" w:eastAsia="黑体"/>
          <w:sz w:val="32"/>
        </w:rPr>
        <w:t>十、其他重要事项的情况说明</w:t>
      </w:r>
    </w:p>
    <w:p w14:paraId="5D9EFAA8">
      <w:pPr>
        <w:spacing w:line="640" w:lineRule="exact"/>
        <w:ind w:firstLine="640"/>
        <w:jc w:val="both"/>
        <w:outlineLvl w:val="3"/>
      </w:pPr>
      <w:r>
        <w:rPr>
          <w:rFonts w:ascii="楷体_GB2312" w:hAnsi="楷体_GB2312" w:eastAsia="楷体_GB2312"/>
          <w:b/>
          <w:sz w:val="32"/>
        </w:rPr>
        <w:t>（一）机关运行经费及公用经费支出情况</w:t>
      </w:r>
    </w:p>
    <w:p w14:paraId="6EBA88EE">
      <w:pPr>
        <w:spacing w:line="580" w:lineRule="exact"/>
        <w:ind w:firstLine="640"/>
        <w:jc w:val="both"/>
      </w:pPr>
      <w:r>
        <w:rPr>
          <w:rFonts w:ascii="仿宋_GB2312" w:hAnsi="仿宋_GB2312" w:eastAsia="仿宋_GB2312"/>
          <w:b w:val="0"/>
          <w:sz w:val="32"/>
        </w:rPr>
        <w:t>2024年度托里县老风口林场（事业单位）公用经费支出10.13万元，比上年增加6.82万元，增长206.04%，主要原因是：本年增加印刷费、专用材料费，导致公用经费较上年增加。</w:t>
      </w:r>
    </w:p>
    <w:p w14:paraId="001EA9DE">
      <w:pPr>
        <w:spacing w:line="640" w:lineRule="exact"/>
        <w:ind w:firstLine="640"/>
        <w:jc w:val="both"/>
        <w:outlineLvl w:val="3"/>
      </w:pPr>
      <w:r>
        <w:rPr>
          <w:rFonts w:ascii="楷体_GB2312" w:hAnsi="楷体_GB2312" w:eastAsia="楷体_GB2312"/>
          <w:b/>
          <w:sz w:val="32"/>
        </w:rPr>
        <w:t>（二）政府采购情况</w:t>
      </w:r>
    </w:p>
    <w:p w14:paraId="4FF3627F">
      <w:pPr>
        <w:spacing w:line="580" w:lineRule="exact"/>
        <w:ind w:firstLine="640"/>
        <w:jc w:val="both"/>
      </w:pPr>
      <w:r>
        <w:rPr>
          <w:rFonts w:ascii="仿宋_GB2312" w:hAnsi="仿宋_GB2312" w:eastAsia="仿宋_GB2312"/>
          <w:b w:val="0"/>
          <w:sz w:val="32"/>
        </w:rPr>
        <w:t>2024年度政府采购支出总额3.03万元，其中：政府采购货物支出2.01万元、政府采购工程支出0.00万元、政府采购服务支出1.01万元。</w:t>
      </w:r>
    </w:p>
    <w:p w14:paraId="52EA967A">
      <w:pPr>
        <w:spacing w:line="580" w:lineRule="exact"/>
        <w:ind w:firstLine="640"/>
        <w:jc w:val="both"/>
      </w:pPr>
      <w:r>
        <w:rPr>
          <w:rFonts w:ascii="仿宋_GB2312" w:hAnsi="仿宋_GB2312" w:eastAsia="仿宋_GB2312"/>
          <w:b w:val="0"/>
          <w:sz w:val="32"/>
        </w:rPr>
        <w:t>授予中小企业合同金额3.03万元，占政府采购支出总额的100.00%，其中：授予小微企业合同金额3.03万元，占政府采购支出总额的100.00%。</w:t>
      </w:r>
    </w:p>
    <w:p w14:paraId="20F12390">
      <w:pPr>
        <w:spacing w:line="640" w:lineRule="exact"/>
        <w:ind w:firstLine="640"/>
        <w:jc w:val="both"/>
        <w:outlineLvl w:val="3"/>
      </w:pPr>
      <w:r>
        <w:rPr>
          <w:rFonts w:ascii="楷体_GB2312" w:hAnsi="楷体_GB2312" w:eastAsia="楷体_GB2312"/>
          <w:b/>
          <w:sz w:val="32"/>
        </w:rPr>
        <w:t>（三）国有资产占用情况说明</w:t>
      </w:r>
    </w:p>
    <w:p w14:paraId="40CF0316">
      <w:pPr>
        <w:spacing w:line="580" w:lineRule="exact"/>
        <w:ind w:firstLine="640"/>
        <w:jc w:val="both"/>
      </w:pPr>
      <w:r>
        <w:rPr>
          <w:rFonts w:ascii="仿宋_GB2312" w:hAnsi="仿宋_GB2312" w:eastAsia="仿宋_GB2312"/>
          <w:b w:val="0"/>
          <w:sz w:val="32"/>
        </w:rPr>
        <w:t>截至2024年12月31日，房屋625.00平方米，价值7.88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8E246A3">
      <w:pPr>
        <w:spacing w:line="640" w:lineRule="exact"/>
        <w:ind w:firstLine="640"/>
        <w:jc w:val="both"/>
        <w:outlineLvl w:val="2"/>
      </w:pPr>
      <w:r>
        <w:rPr>
          <w:rFonts w:ascii="黑体" w:hAnsi="黑体" w:eastAsia="黑体"/>
          <w:sz w:val="32"/>
        </w:rPr>
        <w:t>十一、预算绩效的情况说明</w:t>
      </w:r>
    </w:p>
    <w:p w14:paraId="7E71939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390.60万元，实际执行总额390.60万元；预算绩效评价项目1个，全年预算数1.70万元，全年执行数1.70万元。预算绩效管理取得的成效：一是预算执行情况分析，本年度，单位根据年度预算计划、对预算执行情况进行了详细分析，通过对各项预算支出的核对和对比，清楚地了解了资金的使用情况，对资金使用不当的，及时采取补救措施，确保资金的有效使用。二是数据核对情况，首先明确核对的目的和范围，确定要核对的数据内容和相关的逻辑关系，然后，我们按照流程进行数据抽取、对比和确认，确保核对的全面和准确性。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资产管理制度不规范、不完整。例如资产出租出借资产未履行报批手续、未委托第三方中介机构进行租金评估、未通过合法的交易机构进行公开招租；三是项目实施过程中的上报、跟踪、反馈机制尚未真正形成，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合理设置年度任务。提高各处室对科室中长期规划的重视程度，增强相关规划的落地性、导向性，探索符合科室工作特点的评价指标体系。在设定绩效目标时选取相关性强的量化指标，并注重选取符合实际工作情况的指标值。二是针对抽查发现的问题，查找根源并改进，建议：加强年度政府采购台账和固定资产台账信息的比对，避免资产漏入、少入或录入不及时。资产领用应尽可能明确到具体使用人。资产入账时相关人员应再次确认发票、合同信息，避免基础信息录入错误。三是业务部门进行指导、监督和检查时进一步加强主动性，积极探索更有效和积极主动的监管方式。一方面要建立重点项目实施过程的反馈机制，加大对重点部门项目的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完善。具体附整体支出绩效自评表，项目支出绩效自评表和评价报告。</w:t>
      </w:r>
    </w:p>
    <w:p w14:paraId="6A2F0CE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A050D20">
        <w:tblPrEx>
          <w:tblCellMar>
            <w:top w:w="0" w:type="dxa"/>
            <w:left w:w="108" w:type="dxa"/>
            <w:bottom w:w="0" w:type="dxa"/>
            <w:right w:w="108" w:type="dxa"/>
          </w:tblCellMar>
        </w:tblPrEx>
        <w:tc>
          <w:tcPr>
            <w:tcW w:w="8840" w:type="dxa"/>
            <w:gridSpan w:val="8"/>
            <w:vAlign w:val="center"/>
          </w:tcPr>
          <w:p w14:paraId="087741CA">
            <w:pPr>
              <w:jc w:val="center"/>
            </w:pPr>
            <w:r>
              <w:rPr>
                <w:rFonts w:ascii="宋体" w:hAnsi="宋体" w:eastAsia="宋体"/>
                <w:sz w:val="24"/>
              </w:rPr>
              <w:t>单位整体支出绩效自评表</w:t>
            </w:r>
          </w:p>
        </w:tc>
      </w:tr>
      <w:tr w14:paraId="5C12D250">
        <w:tblPrEx>
          <w:tblCellMar>
            <w:top w:w="0" w:type="dxa"/>
            <w:left w:w="108" w:type="dxa"/>
            <w:bottom w:w="0" w:type="dxa"/>
            <w:right w:w="108" w:type="dxa"/>
          </w:tblCellMar>
        </w:tblPrEx>
        <w:tc>
          <w:tcPr>
            <w:tcW w:w="8840" w:type="dxa"/>
            <w:gridSpan w:val="8"/>
            <w:vAlign w:val="center"/>
          </w:tcPr>
          <w:p w14:paraId="1375B134">
            <w:pPr>
              <w:jc w:val="center"/>
            </w:pPr>
            <w:r>
              <w:rPr>
                <w:rFonts w:ascii="宋体" w:hAnsi="宋体" w:eastAsia="宋体"/>
                <w:sz w:val="24"/>
              </w:rPr>
              <w:t>（2024年度）</w:t>
            </w:r>
          </w:p>
        </w:tc>
      </w:tr>
      <w:tr w14:paraId="518CA02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2881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3A5BB6">
            <w:pPr>
              <w:jc w:val="center"/>
            </w:pPr>
            <w:r>
              <w:rPr>
                <w:rFonts w:ascii="宋体" w:hAnsi="宋体" w:eastAsia="宋体"/>
                <w:sz w:val="16"/>
              </w:rPr>
              <w:t>托里县老风口林场</w:t>
            </w:r>
          </w:p>
        </w:tc>
      </w:tr>
      <w:tr w14:paraId="6D45C5A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7B98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5780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C6E8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1C404">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8860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F138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A16D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3A9EB">
            <w:pPr>
              <w:jc w:val="center"/>
            </w:pPr>
            <w:r>
              <w:rPr>
                <w:rFonts w:ascii="宋体" w:hAnsi="宋体" w:eastAsia="宋体"/>
                <w:sz w:val="16"/>
              </w:rPr>
              <w:t>得分</w:t>
            </w:r>
          </w:p>
        </w:tc>
      </w:tr>
      <w:tr w14:paraId="5055ED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D82A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6204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12EB2">
            <w:pPr>
              <w:jc w:val="center"/>
            </w:pPr>
            <w:r>
              <w:rPr>
                <w:rFonts w:ascii="宋体" w:hAnsi="宋体" w:eastAsia="宋体"/>
                <w:sz w:val="16"/>
              </w:rPr>
              <w:t>350.77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95AA0">
            <w:pPr>
              <w:jc w:val="center"/>
            </w:pPr>
            <w:r>
              <w:rPr>
                <w:rFonts w:ascii="宋体" w:hAnsi="宋体" w:eastAsia="宋体"/>
                <w:sz w:val="16"/>
              </w:rPr>
              <w:t>390.60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082F5">
            <w:pPr>
              <w:jc w:val="center"/>
            </w:pPr>
            <w:r>
              <w:rPr>
                <w:rFonts w:ascii="宋体" w:hAnsi="宋体" w:eastAsia="宋体"/>
                <w:sz w:val="16"/>
              </w:rPr>
              <w:t>390.60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A0E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9453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4F4CC">
            <w:pPr>
              <w:jc w:val="center"/>
            </w:pPr>
            <w:r>
              <w:rPr>
                <w:rFonts w:ascii="宋体" w:hAnsi="宋体" w:eastAsia="宋体"/>
                <w:sz w:val="16"/>
              </w:rPr>
              <w:t>10</w:t>
            </w:r>
          </w:p>
        </w:tc>
      </w:tr>
      <w:tr w14:paraId="19B23D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0587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182E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FE009">
            <w:pPr>
              <w:jc w:val="center"/>
            </w:pPr>
            <w:r>
              <w:rPr>
                <w:rFonts w:ascii="宋体" w:hAnsi="宋体" w:eastAsia="宋体"/>
                <w:sz w:val="16"/>
              </w:rPr>
              <w:t>3.70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8DC06">
            <w:pPr>
              <w:jc w:val="center"/>
            </w:pPr>
            <w:r>
              <w:rPr>
                <w:rFonts w:ascii="宋体" w:hAnsi="宋体" w:eastAsia="宋体"/>
                <w:sz w:val="16"/>
              </w:rPr>
              <w:t>1.70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3BFBA">
            <w:pPr>
              <w:jc w:val="center"/>
            </w:pPr>
            <w:r>
              <w:rPr>
                <w:rFonts w:ascii="宋体" w:hAnsi="宋体" w:eastAsia="宋体"/>
                <w:sz w:val="16"/>
              </w:rPr>
              <w:t>1.70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535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D05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C8DC1">
            <w:pPr>
              <w:jc w:val="center"/>
            </w:pPr>
            <w:r>
              <w:rPr>
                <w:rFonts w:ascii="宋体" w:hAnsi="宋体" w:eastAsia="宋体"/>
                <w:sz w:val="16"/>
              </w:rPr>
              <w:t>-</w:t>
            </w:r>
          </w:p>
        </w:tc>
      </w:tr>
      <w:tr w14:paraId="2907C4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4EAE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8208C">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A03DD">
            <w:pPr>
              <w:jc w:val="center"/>
            </w:pPr>
            <w:r>
              <w:rPr>
                <w:rFonts w:ascii="宋体" w:hAnsi="宋体" w:eastAsia="宋体"/>
                <w:sz w:val="16"/>
              </w:rPr>
              <w:t>347.07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6F47A">
            <w:pPr>
              <w:jc w:val="center"/>
            </w:pPr>
            <w:r>
              <w:rPr>
                <w:rFonts w:ascii="宋体" w:hAnsi="宋体" w:eastAsia="宋体"/>
                <w:sz w:val="16"/>
              </w:rPr>
              <w:t>388.90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AB5E5">
            <w:pPr>
              <w:jc w:val="center"/>
            </w:pPr>
            <w:r>
              <w:rPr>
                <w:rFonts w:ascii="宋体" w:hAnsi="宋体" w:eastAsia="宋体"/>
                <w:sz w:val="16"/>
              </w:rPr>
              <w:t>388.90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873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25C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CC8A1">
            <w:pPr>
              <w:jc w:val="center"/>
            </w:pPr>
            <w:r>
              <w:rPr>
                <w:rFonts w:ascii="宋体" w:hAnsi="宋体" w:eastAsia="宋体"/>
                <w:sz w:val="16"/>
              </w:rPr>
              <w:t>-</w:t>
            </w:r>
          </w:p>
        </w:tc>
      </w:tr>
      <w:tr w14:paraId="163F6E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A119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CC40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5F8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6A23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54AA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634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6F9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BE3A1">
            <w:pPr>
              <w:jc w:val="center"/>
            </w:pPr>
            <w:r>
              <w:rPr>
                <w:rFonts w:ascii="宋体" w:hAnsi="宋体" w:eastAsia="宋体"/>
                <w:sz w:val="16"/>
              </w:rPr>
              <w:t>-</w:t>
            </w:r>
          </w:p>
        </w:tc>
      </w:tr>
      <w:tr w14:paraId="1520D95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79E6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BA6A5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520B41">
            <w:pPr>
              <w:jc w:val="center"/>
            </w:pPr>
            <w:r>
              <w:rPr>
                <w:rFonts w:ascii="宋体" w:hAnsi="宋体" w:eastAsia="宋体"/>
                <w:sz w:val="16"/>
              </w:rPr>
              <w:t>实际完成情况</w:t>
            </w:r>
          </w:p>
        </w:tc>
      </w:tr>
      <w:tr w14:paraId="7BF1DB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60C45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A2632F">
            <w:pPr>
              <w:jc w:val="both"/>
            </w:pPr>
            <w:r>
              <w:rPr>
                <w:rFonts w:ascii="宋体" w:hAnsi="宋体" w:eastAsia="宋体"/>
                <w:sz w:val="16"/>
              </w:rPr>
              <w:t>目标1：开展专题宣传教育活动次数2次；目标2：举办文化开展宣传活动次数5次 目标3；零星业务设备更新次数2次 目标4；加强野生动植物保护；目标5：认真开展林区安全生产工作；目标6：强化人工林管理，划分灌溉责任区；目标7：加强天然林保护 开展野果林人工灌溉工作；森林</w:t>
            </w:r>
            <w:r>
              <w:rPr>
                <w:rFonts w:hint="eastAsia" w:ascii="宋体" w:hAnsi="宋体"/>
                <w:sz w:val="16"/>
                <w:lang w:eastAsia="zh-CN"/>
              </w:rPr>
              <w:t>有害生物</w:t>
            </w:r>
            <w:r>
              <w:rPr>
                <w:rFonts w:ascii="宋体" w:hAnsi="宋体" w:eastAsia="宋体"/>
                <w:sz w:val="16"/>
              </w:rPr>
              <w:t>监测完成率97%，林区防火隐患排查率100%。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D1B33A">
            <w:pPr>
              <w:jc w:val="both"/>
            </w:pPr>
            <w:r>
              <w:rPr>
                <w:rFonts w:ascii="宋体" w:hAnsi="宋体" w:eastAsia="宋体"/>
                <w:sz w:val="16"/>
              </w:rPr>
              <w:t>目标1：开展专题宣传教育活动次数2次；目标2：举办文化开展宣传活动次数5次 目标3；零星业务设备更新次数2次 目标4；加强野生动植物保护；目标5：认真开展林区安全生产工作；目标6：强化人工林管理，划分灌溉责任区；目标7：加强天然林保护 开展野果林人工灌溉工作；森林</w:t>
            </w:r>
            <w:r>
              <w:rPr>
                <w:rFonts w:hint="eastAsia" w:ascii="宋体" w:hAnsi="宋体"/>
                <w:sz w:val="16"/>
                <w:lang w:eastAsia="zh-CN"/>
              </w:rPr>
              <w:t>有害生物</w:t>
            </w:r>
            <w:r>
              <w:rPr>
                <w:rFonts w:ascii="宋体" w:hAnsi="宋体" w:eastAsia="宋体"/>
                <w:sz w:val="16"/>
              </w:rPr>
              <w:t>监测完成率97%，林区防火隐患排查率100%。</w:t>
            </w:r>
          </w:p>
        </w:tc>
      </w:tr>
      <w:tr w14:paraId="5A9700F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CFC6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4AF1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D18C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A803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73B56">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9257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F910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098C1">
            <w:pPr>
              <w:jc w:val="center"/>
            </w:pPr>
            <w:r>
              <w:rPr>
                <w:rFonts w:ascii="宋体" w:hAnsi="宋体" w:eastAsia="宋体"/>
                <w:sz w:val="16"/>
              </w:rPr>
              <w:t>得分</w:t>
            </w:r>
          </w:p>
        </w:tc>
      </w:tr>
      <w:tr w14:paraId="1658C4C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1D81B">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68DA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23A65">
            <w:pPr>
              <w:jc w:val="center"/>
            </w:pPr>
            <w:r>
              <w:rPr>
                <w:rFonts w:ascii="宋体" w:hAnsi="宋体" w:eastAsia="宋体"/>
                <w:sz w:val="16"/>
              </w:rPr>
              <w:t>林区草原防护，安全生产宣传单数量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CB3F4">
            <w:pPr>
              <w:jc w:val="center"/>
            </w:pPr>
            <w:r>
              <w:rPr>
                <w:rFonts w:ascii="宋体" w:hAnsi="宋体" w:eastAsia="宋体"/>
                <w:sz w:val="16"/>
              </w:rPr>
              <w:t>&gt;=3200单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3EFCE">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8400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EFB9E">
            <w:pPr>
              <w:jc w:val="center"/>
            </w:pPr>
            <w:r>
              <w:rPr>
                <w:rFonts w:ascii="宋体" w:hAnsi="宋体" w:eastAsia="宋体"/>
                <w:sz w:val="16"/>
              </w:rPr>
              <w:t>3200单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86391">
            <w:pPr>
              <w:jc w:val="center"/>
            </w:pPr>
            <w:r>
              <w:rPr>
                <w:rFonts w:ascii="宋体" w:hAnsi="宋体" w:eastAsia="宋体"/>
                <w:sz w:val="16"/>
              </w:rPr>
              <w:t>15</w:t>
            </w:r>
          </w:p>
        </w:tc>
      </w:tr>
      <w:tr w14:paraId="7DEE9A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BC73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623E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24E5E">
            <w:pPr>
              <w:jc w:val="center"/>
            </w:pPr>
            <w:r>
              <w:rPr>
                <w:rFonts w:ascii="宋体" w:hAnsi="宋体" w:eastAsia="宋体"/>
                <w:sz w:val="16"/>
              </w:rPr>
              <w:t>举办文化开展宣传活动次数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FE45E">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AEACE">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89C4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9CA29">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0A91C">
            <w:pPr>
              <w:jc w:val="center"/>
            </w:pPr>
            <w:r>
              <w:rPr>
                <w:rFonts w:ascii="宋体" w:hAnsi="宋体" w:eastAsia="宋体"/>
                <w:sz w:val="16"/>
              </w:rPr>
              <w:t>15</w:t>
            </w:r>
          </w:p>
        </w:tc>
      </w:tr>
      <w:tr w14:paraId="3CBD1A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084D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B91F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6AA0C">
            <w:pPr>
              <w:jc w:val="center"/>
            </w:pPr>
            <w:r>
              <w:rPr>
                <w:rFonts w:ascii="宋体" w:hAnsi="宋体" w:eastAsia="宋体"/>
                <w:sz w:val="16"/>
              </w:rPr>
              <w:t>开展专题宣传教育活动次数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EF9AF">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388C6">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2DF6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929A9">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A6663">
            <w:pPr>
              <w:jc w:val="center"/>
            </w:pPr>
            <w:r>
              <w:rPr>
                <w:rFonts w:ascii="宋体" w:hAnsi="宋体" w:eastAsia="宋体"/>
                <w:sz w:val="16"/>
              </w:rPr>
              <w:t>15</w:t>
            </w:r>
          </w:p>
        </w:tc>
      </w:tr>
      <w:tr w14:paraId="7BEAB4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572EF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34CC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D2907">
            <w:pPr>
              <w:jc w:val="center"/>
            </w:pPr>
            <w:r>
              <w:rPr>
                <w:rFonts w:ascii="宋体" w:hAnsi="宋体" w:eastAsia="宋体"/>
                <w:sz w:val="16"/>
              </w:rPr>
              <w:t>零星业务设备更新次数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299C9">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9ED45">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6D4D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3A5BD">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E8628">
            <w:pPr>
              <w:jc w:val="center"/>
            </w:pPr>
            <w:r>
              <w:rPr>
                <w:rFonts w:ascii="宋体" w:hAnsi="宋体" w:eastAsia="宋体"/>
                <w:sz w:val="16"/>
              </w:rPr>
              <w:t>15</w:t>
            </w:r>
          </w:p>
        </w:tc>
      </w:tr>
      <w:tr w14:paraId="6F8D45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14F5F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3986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45244">
            <w:pPr>
              <w:jc w:val="center"/>
            </w:pPr>
            <w:r>
              <w:rPr>
                <w:rFonts w:ascii="宋体" w:hAnsi="宋体" w:eastAsia="宋体"/>
                <w:sz w:val="16"/>
              </w:rPr>
              <w:t>森林</w:t>
            </w:r>
            <w:r>
              <w:rPr>
                <w:rFonts w:hint="eastAsia" w:ascii="宋体" w:hAnsi="宋体"/>
                <w:sz w:val="16"/>
                <w:lang w:eastAsia="zh-CN"/>
              </w:rPr>
              <w:t>有害生物监测</w:t>
            </w:r>
            <w:r>
              <w:rPr>
                <w:rFonts w:ascii="宋体" w:hAnsi="宋体" w:eastAsia="宋体"/>
                <w:sz w:val="16"/>
              </w:rPr>
              <w:t>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E1409">
            <w:pPr>
              <w:jc w:val="center"/>
            </w:pPr>
            <w:r>
              <w:rPr>
                <w:rFonts w:ascii="宋体" w:hAnsi="宋体" w:eastAsia="宋体"/>
                <w:sz w:val="16"/>
              </w:rPr>
              <w:t>&gt;=97%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F05F8">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5FDE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BD6E6">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4041E">
            <w:pPr>
              <w:jc w:val="center"/>
            </w:pPr>
            <w:r>
              <w:rPr>
                <w:rFonts w:ascii="宋体" w:hAnsi="宋体" w:eastAsia="宋体"/>
                <w:sz w:val="16"/>
              </w:rPr>
              <w:t>15</w:t>
            </w:r>
          </w:p>
        </w:tc>
      </w:tr>
      <w:tr w14:paraId="4592DD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70DB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36E8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549BF">
            <w:pPr>
              <w:jc w:val="center"/>
            </w:pPr>
            <w:r>
              <w:rPr>
                <w:rFonts w:ascii="宋体" w:hAnsi="宋体" w:eastAsia="宋体"/>
                <w:sz w:val="16"/>
              </w:rPr>
              <w:t>林区防火隐患排查率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9C47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BD2E1">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6A8B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5D791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B92C9">
            <w:pPr>
              <w:jc w:val="center"/>
            </w:pPr>
            <w:r>
              <w:rPr>
                <w:rFonts w:ascii="宋体" w:hAnsi="宋体" w:eastAsia="宋体"/>
                <w:sz w:val="16"/>
              </w:rPr>
              <w:t>15</w:t>
            </w:r>
          </w:p>
        </w:tc>
      </w:tr>
    </w:tbl>
    <w:p w14:paraId="74B977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98D8EF4">
        <w:tblPrEx>
          <w:tblCellMar>
            <w:top w:w="0" w:type="dxa"/>
            <w:left w:w="108" w:type="dxa"/>
            <w:bottom w:w="0" w:type="dxa"/>
            <w:right w:w="108" w:type="dxa"/>
          </w:tblCellMar>
        </w:tblPrEx>
        <w:tc>
          <w:tcPr>
            <w:tcW w:w="8848" w:type="dxa"/>
            <w:gridSpan w:val="14"/>
            <w:vAlign w:val="center"/>
          </w:tcPr>
          <w:p w14:paraId="6F397E86">
            <w:pPr>
              <w:jc w:val="center"/>
            </w:pPr>
            <w:r>
              <w:rPr>
                <w:rFonts w:ascii="宋体" w:hAnsi="宋体" w:eastAsia="宋体"/>
                <w:sz w:val="24"/>
              </w:rPr>
              <w:t>项目支出绩效自评表</w:t>
            </w:r>
          </w:p>
        </w:tc>
      </w:tr>
      <w:tr w14:paraId="7FC9DCC2">
        <w:tblPrEx>
          <w:tblCellMar>
            <w:top w:w="0" w:type="dxa"/>
            <w:left w:w="108" w:type="dxa"/>
            <w:bottom w:w="0" w:type="dxa"/>
            <w:right w:w="108" w:type="dxa"/>
          </w:tblCellMar>
        </w:tblPrEx>
        <w:tc>
          <w:tcPr>
            <w:tcW w:w="8848" w:type="dxa"/>
            <w:gridSpan w:val="14"/>
            <w:vAlign w:val="center"/>
          </w:tcPr>
          <w:p w14:paraId="17750EE8">
            <w:pPr>
              <w:jc w:val="center"/>
            </w:pPr>
            <w:r>
              <w:rPr>
                <w:rFonts w:ascii="宋体" w:hAnsi="宋体" w:eastAsia="宋体"/>
                <w:sz w:val="24"/>
              </w:rPr>
              <w:t>(2024年度)</w:t>
            </w:r>
          </w:p>
        </w:tc>
      </w:tr>
      <w:tr w14:paraId="2A12FC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47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4023B8">
            <w:pPr>
              <w:jc w:val="center"/>
            </w:pPr>
            <w:r>
              <w:rPr>
                <w:rFonts w:ascii="宋体" w:hAnsi="宋体" w:eastAsia="宋体"/>
                <w:sz w:val="16"/>
              </w:rPr>
              <w:t>2024年中央补助地方美术馆，公共图书馆，文化馆（站）免费开放补助资金</w:t>
            </w:r>
          </w:p>
        </w:tc>
      </w:tr>
      <w:tr w14:paraId="429C91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B9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65918B">
            <w:pPr>
              <w:jc w:val="center"/>
            </w:pPr>
            <w:r>
              <w:rPr>
                <w:rFonts w:ascii="宋体" w:hAnsi="宋体" w:eastAsia="宋体"/>
                <w:sz w:val="16"/>
              </w:rPr>
              <w:t>托里县老风口林场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A5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CB716D">
            <w:pPr>
              <w:jc w:val="center"/>
            </w:pPr>
            <w:r>
              <w:rPr>
                <w:rFonts w:ascii="宋体" w:hAnsi="宋体" w:eastAsia="宋体"/>
                <w:sz w:val="16"/>
              </w:rPr>
              <w:t>托里县老风口林场</w:t>
            </w:r>
          </w:p>
        </w:tc>
      </w:tr>
      <w:tr w14:paraId="15E4D6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B78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BD0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81E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BC0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2CC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F6B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49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7B39">
            <w:pPr>
              <w:jc w:val="center"/>
            </w:pPr>
            <w:r>
              <w:rPr>
                <w:rFonts w:ascii="宋体" w:hAnsi="宋体" w:eastAsia="宋体"/>
                <w:sz w:val="16"/>
              </w:rPr>
              <w:t>得分</w:t>
            </w:r>
          </w:p>
        </w:tc>
      </w:tr>
      <w:tr w14:paraId="061F6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4C1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DB2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8147D">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8CDDD">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7E2CB">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1A6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2EA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F2AA">
            <w:pPr>
              <w:jc w:val="center"/>
            </w:pPr>
            <w:r>
              <w:rPr>
                <w:rFonts w:ascii="宋体" w:hAnsi="宋体" w:eastAsia="宋体"/>
                <w:sz w:val="16"/>
              </w:rPr>
              <w:t>10.00</w:t>
            </w:r>
          </w:p>
        </w:tc>
      </w:tr>
      <w:tr w14:paraId="49DB5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EA0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79B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36638">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794F6">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FC83A">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1A2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6E3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CECB">
            <w:pPr>
              <w:jc w:val="center"/>
            </w:pPr>
            <w:r>
              <w:rPr>
                <w:rFonts w:ascii="宋体" w:hAnsi="宋体" w:eastAsia="宋体"/>
                <w:sz w:val="16"/>
              </w:rPr>
              <w:t>—</w:t>
            </w:r>
          </w:p>
        </w:tc>
      </w:tr>
      <w:tr w14:paraId="1E828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7D8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6F8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A09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7F8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E1A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C19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258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3B3F">
            <w:pPr>
              <w:jc w:val="center"/>
            </w:pPr>
            <w:r>
              <w:rPr>
                <w:rFonts w:ascii="宋体" w:hAnsi="宋体" w:eastAsia="宋体"/>
                <w:sz w:val="16"/>
              </w:rPr>
              <w:t>—</w:t>
            </w:r>
          </w:p>
        </w:tc>
      </w:tr>
      <w:tr w14:paraId="7342D4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DD67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2C7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D53C8F">
            <w:pPr>
              <w:jc w:val="center"/>
            </w:pPr>
            <w:r>
              <w:rPr>
                <w:rFonts w:ascii="宋体" w:hAnsi="宋体" w:eastAsia="宋体"/>
                <w:sz w:val="16"/>
              </w:rPr>
              <w:t>实际完成情况</w:t>
            </w:r>
          </w:p>
        </w:tc>
      </w:tr>
      <w:tr w14:paraId="22407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045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C03E35">
            <w:pPr>
              <w:jc w:val="both"/>
            </w:pPr>
            <w:r>
              <w:rPr>
                <w:rFonts w:ascii="宋体" w:hAnsi="宋体" w:eastAsia="宋体"/>
                <w:sz w:val="16"/>
              </w:rPr>
              <w:t>2024年美术馆、公共图书馆、文化馆(站)免费开放补助资金17000元，结转金额和今年预算余额为36951元，</w:t>
            </w:r>
            <w:r>
              <w:rPr>
                <w:rFonts w:hint="eastAsia" w:ascii="宋体" w:hAnsi="宋体"/>
                <w:sz w:val="16"/>
                <w:lang w:eastAsia="zh-CN"/>
              </w:rPr>
              <w:t>截至2024</w:t>
            </w:r>
            <w:r>
              <w:rPr>
                <w:rFonts w:ascii="宋体" w:hAnsi="宋体" w:eastAsia="宋体"/>
                <w:sz w:val="16"/>
              </w:rPr>
              <w:t>年8月31日已支付预算金17000元。制作文化站制作背景墙 一批，开展各项文化活动4次。 文化站制作背景墙7000元， 开展各项文化活动，需活动经费8500元。购买图书架子一套1500元。未支付结转资金19951元。制作文化展板数量4个，费用</w:t>
            </w:r>
            <w:r>
              <w:rPr>
                <w:rFonts w:hint="eastAsia" w:ascii="宋体" w:hAnsi="宋体"/>
                <w:sz w:val="16"/>
                <w:lang w:eastAsia="zh-CN"/>
              </w:rPr>
              <w:t>〈</w:t>
            </w:r>
            <w:r>
              <w:rPr>
                <w:rFonts w:ascii="宋体" w:hAnsi="宋体" w:eastAsia="宋体"/>
                <w:sz w:val="16"/>
              </w:rPr>
              <w:t>=4000元，开展各类文化活动，需活动经费5次，费用</w:t>
            </w:r>
            <w:r>
              <w:rPr>
                <w:rFonts w:hint="eastAsia" w:ascii="宋体" w:hAnsi="宋体"/>
                <w:sz w:val="16"/>
                <w:lang w:eastAsia="zh-CN"/>
              </w:rPr>
              <w:t>〈</w:t>
            </w:r>
            <w:r>
              <w:rPr>
                <w:rFonts w:ascii="宋体" w:hAnsi="宋体" w:eastAsia="宋体"/>
                <w:sz w:val="16"/>
              </w:rPr>
              <w:t>=15951元。促进各民族之间友好往来，共同发展，有利于促进社会稳定，民族团结，提高农牧民爱国情怀，提升农牧民审美价值观不断进一步丰富群众的精神文化生活，社会公众满意度95%。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FD790E">
            <w:pPr>
              <w:jc w:val="both"/>
            </w:pPr>
            <w:r>
              <w:rPr>
                <w:rFonts w:ascii="宋体" w:hAnsi="宋体" w:eastAsia="宋体"/>
                <w:sz w:val="16"/>
              </w:rPr>
              <w:t>2024年美术馆、公共图书馆、文化馆(站)免费开放补助资金17000元，</w:t>
            </w:r>
            <w:r>
              <w:rPr>
                <w:rFonts w:hint="eastAsia" w:ascii="宋体" w:hAnsi="宋体"/>
                <w:sz w:val="16"/>
                <w:lang w:eastAsia="zh-CN"/>
              </w:rPr>
              <w:t>截至</w:t>
            </w:r>
            <w:r>
              <w:rPr>
                <w:rFonts w:ascii="宋体" w:hAnsi="宋体" w:eastAsia="宋体"/>
                <w:sz w:val="16"/>
              </w:rPr>
              <w:t>2024年8月31日已支付预算金17000元。制作文化站制作背景墙 一批， 文化站制作背景墙7000元， 开展</w:t>
            </w:r>
            <w:bookmarkStart w:id="0" w:name="_GoBack"/>
            <w:bookmarkEnd w:id="0"/>
            <w:r>
              <w:rPr>
                <w:rFonts w:ascii="宋体" w:hAnsi="宋体" w:eastAsia="宋体"/>
                <w:sz w:val="16"/>
              </w:rPr>
              <w:t>各项文化活动，需活动经费8500元。购买图书架子一套1500元。促进各民族之间友好往来，共同发展，有利于促进社会稳定，民族团结，提高农牧民爱国情怀，提升农牧民审美价值观不断进一步丰富群众的精神文化生活，社会公众满意度95%。</w:t>
            </w:r>
          </w:p>
        </w:tc>
      </w:tr>
      <w:tr w14:paraId="03E505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4B4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50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36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4D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F5B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E1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F5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71C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681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F2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8FF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B36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9E7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C397">
            <w:pPr>
              <w:jc w:val="center"/>
            </w:pPr>
            <w:r>
              <w:rPr>
                <w:rFonts w:ascii="宋体" w:hAnsi="宋体" w:eastAsia="宋体"/>
                <w:sz w:val="16"/>
              </w:rPr>
              <w:t>偏差原因分析及改进措施</w:t>
            </w:r>
          </w:p>
        </w:tc>
      </w:tr>
      <w:tr w14:paraId="1A7E2C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DEB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4BA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F42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4290">
            <w:pPr>
              <w:jc w:val="center"/>
            </w:pPr>
            <w:r>
              <w:rPr>
                <w:rFonts w:ascii="宋体" w:hAnsi="宋体" w:eastAsia="宋体"/>
                <w:sz w:val="16"/>
              </w:rPr>
              <w:t>购买图书架子数量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B01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40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147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3B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40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2E9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C9C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63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FA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BBF4">
            <w:pPr>
              <w:jc w:val="center"/>
            </w:pPr>
          </w:p>
        </w:tc>
      </w:tr>
      <w:tr w14:paraId="361A4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E5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42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41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1533">
            <w:pPr>
              <w:jc w:val="center"/>
            </w:pPr>
            <w:r>
              <w:rPr>
                <w:rFonts w:ascii="宋体" w:hAnsi="宋体" w:eastAsia="宋体"/>
                <w:sz w:val="16"/>
              </w:rPr>
              <w:t>制作文化站制作背景墙数量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9AC3">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1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2E3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45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96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493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3E9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1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60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B78C">
            <w:pPr>
              <w:jc w:val="center"/>
            </w:pPr>
          </w:p>
        </w:tc>
      </w:tr>
      <w:tr w14:paraId="5B39C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E3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9C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4E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382B">
            <w:pPr>
              <w:jc w:val="center"/>
            </w:pPr>
            <w:r>
              <w:rPr>
                <w:rFonts w:ascii="宋体" w:hAnsi="宋体" w:eastAsia="宋体"/>
                <w:sz w:val="16"/>
              </w:rPr>
              <w:t>制作文化展板数量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8893">
            <w:pPr>
              <w:jc w:val="center"/>
            </w:pPr>
            <w:r>
              <w:rPr>
                <w:rFonts w:ascii="宋体" w:hAnsi="宋体" w:eastAsia="宋体"/>
                <w:sz w:val="16"/>
              </w:rPr>
              <w:t>&gt;=0个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77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5C1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DC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D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3FA6">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A99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85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E3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47B3">
            <w:pPr>
              <w:jc w:val="center"/>
            </w:pPr>
          </w:p>
        </w:tc>
      </w:tr>
      <w:tr w14:paraId="04AEB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95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9C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04C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9ECE">
            <w:pPr>
              <w:jc w:val="center"/>
            </w:pPr>
            <w:r>
              <w:rPr>
                <w:rFonts w:ascii="宋体" w:hAnsi="宋体" w:eastAsia="宋体"/>
                <w:sz w:val="16"/>
              </w:rPr>
              <w:t>开展各类文化活动数量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AF769">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4B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C68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3E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7A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A5E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5D2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7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A8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A4C6">
            <w:pPr>
              <w:jc w:val="center"/>
            </w:pPr>
          </w:p>
        </w:tc>
      </w:tr>
      <w:tr w14:paraId="41AB1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BC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B7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6C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A272">
            <w:pPr>
              <w:jc w:val="center"/>
            </w:pPr>
            <w:r>
              <w:rPr>
                <w:rFonts w:ascii="宋体" w:hAnsi="宋体" w:eastAsia="宋体"/>
                <w:sz w:val="16"/>
              </w:rPr>
              <w:t>开展各项文化活动数量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858D">
            <w:pPr>
              <w:jc w:val="center"/>
            </w:pPr>
            <w:r>
              <w:rPr>
                <w:rFonts w:ascii="宋体" w:hAnsi="宋体" w:eastAsia="宋体"/>
                <w:sz w:val="16"/>
              </w:rPr>
              <w:t>&gt;=0次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3A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F7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5C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08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259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B76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9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A7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8F06">
            <w:pPr>
              <w:jc w:val="center"/>
            </w:pPr>
          </w:p>
        </w:tc>
      </w:tr>
      <w:tr w14:paraId="23388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66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1AC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21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1F27">
            <w:pPr>
              <w:jc w:val="center"/>
            </w:pPr>
            <w:r>
              <w:rPr>
                <w:rFonts w:ascii="宋体" w:hAnsi="宋体" w:eastAsia="宋体"/>
                <w:sz w:val="16"/>
              </w:rPr>
              <w:t>“三馆一站”开展文化活动覆盖率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DC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D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EA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B4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CE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255C">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A17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66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EC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8260">
            <w:pPr>
              <w:jc w:val="center"/>
            </w:pPr>
          </w:p>
        </w:tc>
      </w:tr>
      <w:tr w14:paraId="6C9E3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C6F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853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D15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8355">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961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80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872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98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D1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8ACC">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A99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E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12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5767">
            <w:pPr>
              <w:jc w:val="center"/>
            </w:pPr>
          </w:p>
        </w:tc>
      </w:tr>
      <w:tr w14:paraId="409B5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9EC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B77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AE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088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B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F0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08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4C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FF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FD43">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0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4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1E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BC48">
            <w:pPr>
              <w:jc w:val="center"/>
            </w:pPr>
          </w:p>
        </w:tc>
      </w:tr>
      <w:tr w14:paraId="75687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6B6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35A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E6E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E807">
            <w:pPr>
              <w:jc w:val="center"/>
            </w:pPr>
            <w:r>
              <w:rPr>
                <w:rFonts w:ascii="宋体" w:hAnsi="宋体" w:eastAsia="宋体"/>
                <w:sz w:val="16"/>
              </w:rPr>
              <w:t>购买图书架子费用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AA3A">
            <w:pPr>
              <w:jc w:val="center"/>
            </w:pPr>
            <w:r>
              <w:rPr>
                <w:rFonts w:ascii="宋体" w:hAnsi="宋体" w:eastAsia="宋体"/>
                <w:sz w:val="16"/>
              </w:rPr>
              <w:t>&lt;=1500元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58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9AC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54C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73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6F4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F703">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FF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027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6EDD">
            <w:pPr>
              <w:jc w:val="center"/>
            </w:pPr>
          </w:p>
        </w:tc>
      </w:tr>
      <w:tr w14:paraId="24EF0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B7B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A9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C85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DF59">
            <w:pPr>
              <w:jc w:val="center"/>
            </w:pPr>
            <w:r>
              <w:rPr>
                <w:rFonts w:ascii="宋体" w:hAnsi="宋体" w:eastAsia="宋体"/>
                <w:sz w:val="16"/>
              </w:rPr>
              <w:t>制作文化站制作背景墙费用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FFBE">
            <w:pPr>
              <w:jc w:val="center"/>
            </w:pPr>
            <w:r>
              <w:rPr>
                <w:rFonts w:ascii="宋体" w:hAnsi="宋体" w:eastAsia="宋体"/>
                <w:sz w:val="16"/>
              </w:rPr>
              <w:t>&lt;=7000元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56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56A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A58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E0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607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2C44">
            <w:pPr>
              <w:jc w:val="center"/>
            </w:pPr>
            <w:r>
              <w:rPr>
                <w:rFonts w:ascii="宋体" w:hAnsi="宋体" w:eastAsia="宋体"/>
                <w:sz w:val="16"/>
              </w:rPr>
              <w:t>=7000元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3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2E8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E031">
            <w:pPr>
              <w:jc w:val="center"/>
            </w:pPr>
          </w:p>
        </w:tc>
      </w:tr>
      <w:tr w14:paraId="466AC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89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7B5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6D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1465">
            <w:pPr>
              <w:jc w:val="center"/>
            </w:pPr>
            <w:r>
              <w:rPr>
                <w:rFonts w:ascii="宋体" w:hAnsi="宋体" w:eastAsia="宋体"/>
                <w:sz w:val="16"/>
              </w:rPr>
              <w:t>开展各类文化活动费用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0957">
            <w:pPr>
              <w:jc w:val="center"/>
            </w:pPr>
            <w:r>
              <w:rPr>
                <w:rFonts w:ascii="宋体" w:hAnsi="宋体" w:eastAsia="宋体"/>
                <w:sz w:val="16"/>
              </w:rPr>
              <w:t>=8500元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0D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F56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B7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5E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D01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9936">
            <w:pPr>
              <w:jc w:val="center"/>
            </w:pPr>
            <w:r>
              <w:rPr>
                <w:rFonts w:ascii="宋体" w:hAnsi="宋体" w:eastAsia="宋体"/>
                <w:sz w:val="16"/>
              </w:rPr>
              <w:t>=8500元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F6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29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B625">
            <w:pPr>
              <w:jc w:val="center"/>
            </w:pPr>
          </w:p>
        </w:tc>
      </w:tr>
      <w:tr w14:paraId="4E0CF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B55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D0F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73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8EB3">
            <w:pPr>
              <w:jc w:val="center"/>
            </w:pPr>
            <w:r>
              <w:rPr>
                <w:rFonts w:ascii="宋体" w:hAnsi="宋体" w:eastAsia="宋体"/>
                <w:sz w:val="16"/>
              </w:rPr>
              <w:t>开展各项文化活动费用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084D">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F9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742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83D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2B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54CB">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6B10">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7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B8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F584">
            <w:pPr>
              <w:jc w:val="center"/>
            </w:pPr>
          </w:p>
        </w:tc>
      </w:tr>
      <w:tr w14:paraId="59F42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1F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D71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F4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54A4">
            <w:pPr>
              <w:jc w:val="center"/>
            </w:pPr>
            <w:r>
              <w:rPr>
                <w:rFonts w:ascii="宋体" w:hAnsi="宋体" w:eastAsia="宋体"/>
                <w:sz w:val="16"/>
              </w:rPr>
              <w:t>制作文化展板费用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336C">
            <w:pPr>
              <w:jc w:val="center"/>
            </w:pPr>
            <w:r>
              <w:rPr>
                <w:rFonts w:ascii="宋体" w:hAnsi="宋体" w:eastAsia="宋体"/>
                <w:sz w:val="16"/>
              </w:rPr>
              <w:t>&lt;=0元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200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670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50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3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FC2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7826">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F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418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62F5">
            <w:pPr>
              <w:jc w:val="center"/>
            </w:pPr>
          </w:p>
        </w:tc>
      </w:tr>
      <w:tr w14:paraId="560B1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83F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0BB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B7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2BA2">
            <w:pPr>
              <w:jc w:val="center"/>
            </w:pPr>
            <w:r>
              <w:rPr>
                <w:rFonts w:ascii="宋体" w:hAnsi="宋体" w:eastAsia="宋体"/>
                <w:sz w:val="16"/>
              </w:rPr>
              <w:t>提高各民族群众科学文化素质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B3D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6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C36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9F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98E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7BD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578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C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83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291E">
            <w:pPr>
              <w:jc w:val="center"/>
            </w:pPr>
          </w:p>
        </w:tc>
      </w:tr>
      <w:tr w14:paraId="69A16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00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3E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FE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0DAF">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CA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9E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57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4E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57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DA79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42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FB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4B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56A7">
            <w:pPr>
              <w:jc w:val="center"/>
            </w:pPr>
          </w:p>
        </w:tc>
      </w:tr>
      <w:tr w14:paraId="4E8FEF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FDB0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0C12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B7D8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D94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7B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5348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36D4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08DF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2FA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ED0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4D658"/>
        </w:tc>
      </w:tr>
    </w:tbl>
    <w:p w14:paraId="1A86BF36">
      <w:r>
        <w:br w:type="page"/>
      </w:r>
    </w:p>
    <w:p w14:paraId="1911763D">
      <w:pPr>
        <w:spacing w:line="640" w:lineRule="exact"/>
        <w:ind w:firstLine="640"/>
        <w:jc w:val="both"/>
        <w:outlineLvl w:val="2"/>
      </w:pPr>
      <w:r>
        <w:rPr>
          <w:rFonts w:ascii="黑体" w:hAnsi="黑体" w:eastAsia="黑体"/>
          <w:sz w:val="32"/>
        </w:rPr>
        <w:t>十二、其他需说明的事项</w:t>
      </w:r>
    </w:p>
    <w:p w14:paraId="3C1991C1">
      <w:pPr>
        <w:spacing w:line="580" w:lineRule="exact"/>
        <w:ind w:firstLine="640"/>
        <w:jc w:val="both"/>
      </w:pPr>
      <w:r>
        <w:rPr>
          <w:rFonts w:ascii="仿宋_GB2312" w:hAnsi="仿宋_GB2312" w:eastAsia="仿宋_GB2312"/>
          <w:b w:val="0"/>
          <w:sz w:val="32"/>
        </w:rPr>
        <w:t>本单位无其他需说明的事项。</w:t>
      </w:r>
    </w:p>
    <w:p w14:paraId="2E239584">
      <w:r>
        <w:br w:type="page"/>
      </w:r>
    </w:p>
    <w:p w14:paraId="022BD6EF">
      <w:pPr>
        <w:spacing w:line="240" w:lineRule="auto"/>
        <w:jc w:val="center"/>
        <w:outlineLvl w:val="1"/>
      </w:pPr>
      <w:r>
        <w:rPr>
          <w:rFonts w:ascii="黑体" w:hAnsi="黑体" w:eastAsia="黑体"/>
          <w:sz w:val="32"/>
        </w:rPr>
        <w:t>第三部分 专业名词解释</w:t>
      </w:r>
    </w:p>
    <w:p w14:paraId="2855721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0EFCA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E88C2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F5B36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FB32E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93180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AEB906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A0881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0231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9574C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09406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F0C09A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B7A93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B4EAA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473EAD2">
      <w:r>
        <w:br w:type="page"/>
      </w:r>
    </w:p>
    <w:p w14:paraId="185BA990">
      <w:pPr>
        <w:spacing w:line="240" w:lineRule="auto"/>
        <w:jc w:val="center"/>
        <w:outlineLvl w:val="1"/>
      </w:pPr>
      <w:r>
        <w:rPr>
          <w:rFonts w:ascii="黑体" w:hAnsi="黑体" w:eastAsia="黑体"/>
          <w:sz w:val="32"/>
        </w:rPr>
        <w:t>第四部分 部门决算报表（见附表）</w:t>
      </w:r>
    </w:p>
    <w:p w14:paraId="479D24D0">
      <w:pPr>
        <w:spacing w:line="240" w:lineRule="auto"/>
        <w:ind w:firstLine="640"/>
        <w:jc w:val="both"/>
      </w:pPr>
      <w:r>
        <w:rPr>
          <w:rFonts w:ascii="仿宋_GB2312" w:hAnsi="仿宋_GB2312" w:eastAsia="仿宋_GB2312"/>
          <w:b w:val="0"/>
          <w:sz w:val="32"/>
        </w:rPr>
        <w:t>一、《收入支出决算总表》</w:t>
      </w:r>
    </w:p>
    <w:p w14:paraId="2216D2DB">
      <w:pPr>
        <w:spacing w:line="240" w:lineRule="auto"/>
        <w:ind w:firstLine="640"/>
        <w:jc w:val="both"/>
      </w:pPr>
      <w:r>
        <w:rPr>
          <w:rFonts w:ascii="仿宋_GB2312" w:hAnsi="仿宋_GB2312" w:eastAsia="仿宋_GB2312"/>
          <w:b w:val="0"/>
          <w:sz w:val="32"/>
        </w:rPr>
        <w:t>二、《收入决算表》</w:t>
      </w:r>
    </w:p>
    <w:p w14:paraId="64716AC5">
      <w:pPr>
        <w:spacing w:line="240" w:lineRule="auto"/>
        <w:ind w:firstLine="640"/>
        <w:jc w:val="both"/>
      </w:pPr>
      <w:r>
        <w:rPr>
          <w:rFonts w:ascii="仿宋_GB2312" w:hAnsi="仿宋_GB2312" w:eastAsia="仿宋_GB2312"/>
          <w:b w:val="0"/>
          <w:sz w:val="32"/>
        </w:rPr>
        <w:t>三、《支出决算表》</w:t>
      </w:r>
    </w:p>
    <w:p w14:paraId="13D2B62F">
      <w:pPr>
        <w:spacing w:line="240" w:lineRule="auto"/>
        <w:ind w:firstLine="640"/>
        <w:jc w:val="both"/>
      </w:pPr>
      <w:r>
        <w:rPr>
          <w:rFonts w:ascii="仿宋_GB2312" w:hAnsi="仿宋_GB2312" w:eastAsia="仿宋_GB2312"/>
          <w:b w:val="0"/>
          <w:sz w:val="32"/>
        </w:rPr>
        <w:t>四、《财政拨款收入支出决算总表》</w:t>
      </w:r>
    </w:p>
    <w:p w14:paraId="23A4A152">
      <w:pPr>
        <w:spacing w:line="240" w:lineRule="auto"/>
        <w:ind w:firstLine="640"/>
        <w:jc w:val="both"/>
      </w:pPr>
      <w:r>
        <w:rPr>
          <w:rFonts w:ascii="仿宋_GB2312" w:hAnsi="仿宋_GB2312" w:eastAsia="仿宋_GB2312"/>
          <w:b w:val="0"/>
          <w:sz w:val="32"/>
        </w:rPr>
        <w:t>五、《一般公共预算财政拨款支出决算表》</w:t>
      </w:r>
    </w:p>
    <w:p w14:paraId="6BDAA36B">
      <w:pPr>
        <w:spacing w:line="240" w:lineRule="auto"/>
        <w:ind w:firstLine="640"/>
        <w:jc w:val="both"/>
      </w:pPr>
      <w:r>
        <w:rPr>
          <w:rFonts w:ascii="仿宋_GB2312" w:hAnsi="仿宋_GB2312" w:eastAsia="仿宋_GB2312"/>
          <w:b w:val="0"/>
          <w:sz w:val="32"/>
        </w:rPr>
        <w:t>六、《一般公共预算财政拨款基本支出决算表》</w:t>
      </w:r>
    </w:p>
    <w:p w14:paraId="11B5854E">
      <w:pPr>
        <w:spacing w:line="240" w:lineRule="auto"/>
        <w:ind w:firstLine="640"/>
        <w:jc w:val="both"/>
      </w:pPr>
      <w:r>
        <w:rPr>
          <w:rFonts w:ascii="仿宋_GB2312" w:hAnsi="仿宋_GB2312" w:eastAsia="仿宋_GB2312"/>
          <w:b w:val="0"/>
          <w:sz w:val="32"/>
        </w:rPr>
        <w:t>七、《政府性基金预算财政拨款收入支出决算表》</w:t>
      </w:r>
    </w:p>
    <w:p w14:paraId="0A59E878">
      <w:pPr>
        <w:spacing w:line="240" w:lineRule="auto"/>
        <w:ind w:firstLine="640"/>
        <w:jc w:val="both"/>
      </w:pPr>
      <w:r>
        <w:rPr>
          <w:rFonts w:ascii="仿宋_GB2312" w:hAnsi="仿宋_GB2312" w:eastAsia="仿宋_GB2312"/>
          <w:b w:val="0"/>
          <w:sz w:val="32"/>
        </w:rPr>
        <w:t>八、《国有资本经营预算财政拨款收入支出决算表》</w:t>
      </w:r>
    </w:p>
    <w:p w14:paraId="414F1E65">
      <w:pPr>
        <w:spacing w:line="240" w:lineRule="auto"/>
        <w:ind w:firstLine="640"/>
        <w:jc w:val="both"/>
      </w:pPr>
      <w:r>
        <w:rPr>
          <w:rFonts w:ascii="仿宋_GB2312" w:hAnsi="仿宋_GB2312" w:eastAsia="仿宋_GB2312"/>
          <w:b w:val="0"/>
          <w:sz w:val="32"/>
        </w:rPr>
        <w:t>九、《财政拨款“三公”经费支出决算表》</w:t>
      </w:r>
    </w:p>
    <w:p w14:paraId="5C18A39F">
      <w:pPr>
        <w:spacing w:line="240" w:lineRule="auto"/>
        <w:ind w:firstLine="640"/>
        <w:jc w:val="both"/>
      </w:pPr>
    </w:p>
    <w:p w14:paraId="7591D2F8">
      <w:pPr>
        <w:spacing w:line="240" w:lineRule="auto"/>
        <w:ind w:firstLine="640"/>
        <w:jc w:val="both"/>
      </w:pPr>
    </w:p>
    <w:p w14:paraId="1A807AC1">
      <w:pPr>
        <w:spacing w:line="240" w:lineRule="auto"/>
        <w:ind w:firstLine="640"/>
        <w:jc w:val="both"/>
      </w:pPr>
    </w:p>
    <w:p w14:paraId="0C627A86">
      <w:pPr>
        <w:spacing w:line="240" w:lineRule="auto"/>
        <w:ind w:firstLine="640"/>
        <w:jc w:val="both"/>
      </w:pPr>
    </w:p>
    <w:p w14:paraId="4C159AF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3AE47F-F77F-4DE6-A1E2-E042F371C9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5F53287-B75B-498B-9113-EFB395A439B4}"/>
  </w:font>
  <w:font w:name="仿宋_GB2312">
    <w:panose1 w:val="02010609030101010101"/>
    <w:charset w:val="86"/>
    <w:family w:val="modern"/>
    <w:pitch w:val="default"/>
    <w:sig w:usb0="00000001" w:usb1="080E0000" w:usb2="00000000" w:usb3="00000000" w:csb0="00040000" w:csb1="00000000"/>
    <w:embedRegular r:id="rId3" w:fontKey="{3925EEE4-D8AC-4E31-AA8F-7ACDB112A7AA}"/>
  </w:font>
  <w:font w:name="楷体_GB2312">
    <w:panose1 w:val="02010609030101010101"/>
    <w:charset w:val="86"/>
    <w:family w:val="auto"/>
    <w:pitch w:val="default"/>
    <w:sig w:usb0="00000001" w:usb1="080E0000" w:usb2="00000000" w:usb3="00000000" w:csb0="00040000" w:csb1="00000000"/>
    <w:embedRegular r:id="rId4" w:fontKey="{72AB4822-780F-4CCB-A5E8-1AB4EAD68F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232D99"/>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B31DEC"/>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bdba5dab-f378-4bc4-80e9-61279ca2dbe6</errorID>
      <errorWord>森林法</errorWord>
      <group>L1_Knowledge</group>
      <groupName>知识性问题</groupName>
      <ability>L2_Knowledge</ability>
      <abilityName>其他知识</abilityName>
      <candidateList>
        <item>中华人民共和国森林法</item>
      </candidateList>
      <explain>当前法律法规名称使用简称，请注意是否应当使用全称。</explain>
      <paraID>58AEFDF5</paraID>
      <start>35</start>
      <end>45</end>
      <status>modified</status>
      <modifiedWord>中华人民共和国森林法</modifiedWord>
      <trackRevisions>false</trackRevisions>
    </reviewItem>
    <reviewItem>
      <errorID>d6d7fde9-5daa-4498-8153-34d276e660d8</errorID>
      <errorWord>负责在</errorWord>
      <group>L1_Word</group>
      <groupName>字词问题</groupName>
      <ability>L2_Typo</ability>
      <abilityName>字词错误</abilityName>
      <candidateList>
        <item>负责</item>
      </candidateList>
      <explain>❶〈动〉担负责任：～后勤工作｜这里的事由你～。❷〈形〉（工作）尽到应尽的责任；认真踏实：他对工作很～。</explain>
      <paraID>58AEFDF5</paraID>
      <start>121</start>
      <end>123</end>
      <status>modified</status>
      <modifiedWord>负责</modifiedWord>
      <trackRevisions>false</trackRevisions>
    </reviewItem>
    <reviewItem>
      <errorID>8e3a12dc-71e4-482b-b613-62517ffad521</errorID>
      <errorWord>2月31日</errorWord>
      <group>L1_Sensitive</group>
      <groupName>敏感问题</groupName>
      <ability>L2_UserSensitive</ability>
      <abilityName>自定义敏感词</abilityName>
      <candidateList/>
      <explain>来自自定义敏感词库。</explain>
      <paraID>40CF0316</paraID>
      <start>8</start>
      <end>13</end>
      <status>ignored</status>
      <modifiedWord/>
      <trackRevisions>false</trackRevisions>
    </reviewItem>
    <reviewItem>
      <errorID>0df3625c-b74b-465f-a112-bcb211c8065f</errorID>
      <errorWord>我单位</errorWord>
      <group>L1_Other</group>
      <groupName>其他问题</groupName>
      <ability>L2_UserTypo</ability>
      <abilityName>自定义错误</abilityName>
      <candidateList>
        <item>本单位</item>
      </candidateList>
      <explain>来自自定义错词库。</explain>
      <paraID>7E719399</paraID>
      <start>302</start>
      <end>305</end>
      <status>modified</status>
      <modifiedWord>本单位</modifiedWord>
      <trackRevisions>false</trackRevisions>
    </reviewItem>
    <reviewItem>
      <errorID>21afa2f5-cc90-4012-b6d0-aab3744dd036</errorID>
      <errorWord>区害生物</errorWord>
      <group>L1_Word</group>
      <groupName>字词问题</groupName>
      <ability>L2_Typo</ability>
      <abilityName>字词错误</abilityName>
      <candidateList>
        <item>有害生物</item>
      </candidateList>
      <explain/>
      <paraID>38A2632F</paraID>
      <start>132</start>
      <end>136</end>
      <status>modified</status>
      <modifiedWord>有害生物</modifiedWord>
      <trackRevisions>false</trackRevisions>
    </reviewItem>
    <reviewItem>
      <errorID>2c76dcc1-3411-4af4-bb3e-252c3a0b9bd6</errorID>
      <errorWord>区害生物</errorWord>
      <group>L1_Word</group>
      <groupName>字词问题</groupName>
      <ability>L2_Typo</ability>
      <abilityName>字词错误</abilityName>
      <candidateList>
        <item>有害生物</item>
      </candidateList>
      <explain/>
      <paraID>65D1B33A</paraID>
      <start>132</start>
      <end>136</end>
      <status>modified</status>
      <modifiedWord>有害生物</modifiedWord>
      <trackRevisions>false</trackRevisions>
    </reviewItem>
    <reviewItem>
      <errorID>4f319cca-3304-4718-a425-c2d71b9197a7</errorID>
      <errorWord>区害</errorWord>
      <group>L1_Word</group>
      <groupName>字词问题</groupName>
      <ability>L2_Typo</ability>
      <abilityName>字词错误</abilityName>
      <candidateList>
        <item>有害</item>
      </candidateList>
      <explain/>
      <paraID>57145244</paraID>
      <start>2</start>
      <end>4</end>
      <status>modified</status>
      <modifiedWord>有害</modifiedWord>
      <trackRevisions>false</trackRevisions>
    </reviewItem>
    <reviewItem>
      <errorID>a2d3304a-78f7-41cf-81f7-57d7b906c037</errorID>
      <errorWord>生物检测</errorWord>
      <group>L1_Word</group>
      <groupName>字词问题</groupName>
      <ability>L2_Typo</ability>
      <abilityName>字词错误</abilityName>
      <candidateList>
        <item>生物监测</item>
      </candidateList>
      <explain>存在发音相同字词的误用。</explain>
      <paraID>57145244</paraID>
      <start>4</start>
      <end>8</end>
      <status>modified</status>
      <modifiedWord>生物监测</modifiedWord>
      <trackRevisions>false</trackRevisions>
    </reviewItem>
    <reviewItem>
      <errorID>addbfc74-bdc4-4c6e-a0f7-f224e70a01c3</errorID>
      <errorWord>截止2024</errorWord>
      <group>L1_Word</group>
      <groupName>字词问题</groupName>
      <ability>L2_Typo</ability>
      <abilityName>字词错误</abilityName>
      <candidateList>
        <item>截至2024</item>
      </candidateList>
      <explain/>
      <paraID>6AC03E35</paraID>
      <start>55</start>
      <end>61</end>
      <status>modified</status>
      <modifiedWord>截至2024</modifiedWord>
      <trackRevisions>false</trackRevisions>
    </reviewItem>
    <reviewItem>
      <errorID>c8665bd6-0551-4f47-aee7-0040f70fb894</errorID>
      <errorWord>&lt;</errorWord>
      <group>L1_Format</group>
      <groupName>格式问题</groupName>
      <ability>L2_HalfPunc</ability>
      <abilityName>全半角检查</abilityName>
      <candidateList>
        <item>〈</item>
      </candidateList>
      <explain>文本全半角错误。</explain>
      <paraID>6AC03E35</paraID>
      <start>182</start>
      <end>183</end>
      <status>modified</status>
      <modifiedWord>〈</modifiedWord>
      <trackRevisions>false</trackRevisions>
    </reviewItem>
    <reviewItem>
      <errorID>08ddbda2-69fd-4503-9586-d0fea74333e5</errorID>
      <errorWord>&lt;</errorWord>
      <group>L1_Format</group>
      <groupName>格式问题</groupName>
      <ability>L2_HalfPunc</ability>
      <abilityName>全半角检查</abilityName>
      <candidateList>
        <item>〈</item>
      </candidateList>
      <explain>文本全半角错误。</explain>
      <paraID>6AC03E35</paraID>
      <start>209</start>
      <end>210</end>
      <status>modified</status>
      <modifiedWord>〈</modifiedWord>
      <trackRevisions>false</trackRevisions>
    </reviewItem>
    <reviewItem>
      <errorID>74a6f8e1-7b76-460e-8ee2-df176850e338</errorID>
      <errorWord>截止</errorWord>
      <group>L1_Word</group>
      <groupName>字词问题</groupName>
      <ability>L2_Typo</ability>
      <abilityName>字词错误</abilityName>
      <candidateList>
        <item>截至</item>
      </candidateList>
      <explain>存在发音相同字词的误用。</explain>
      <paraID> 7FD790E</paraID>
      <start>36</start>
      <end>38</end>
      <status>modified</status>
      <modifiedWord>截至</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d2aa2-104a-412f-832d-9d8ae41fc93b}">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5633</Words>
  <Characters>6440</Characters>
  <Lines>0</Lines>
  <Paragraphs>0</Paragraphs>
  <TotalTime>1</TotalTime>
  <ScaleCrop>false</ScaleCrop>
  <LinksUpToDate>false</LinksUpToDate>
  <CharactersWithSpaces>6454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2025-10-31T09:52:04Z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