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托里县生态环境保护中心2024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3DD983">
      <w:r>
        <w:br w:type="page"/>
      </w:r>
    </w:p>
    <w:p w14:paraId="22F867D8">
      <w:pPr>
        <w:spacing w:line="640" w:lineRule="exact"/>
        <w:jc w:val="center"/>
        <w:outlineLvl w:val="1"/>
      </w:pPr>
      <w:r>
        <w:rPr>
          <w:rFonts w:ascii="黑体" w:hAnsi="黑体" w:eastAsia="黑体"/>
          <w:sz w:val="32"/>
        </w:rPr>
        <w:t>第一部分 单位概况</w:t>
      </w:r>
    </w:p>
    <w:p w14:paraId="1913A52D">
      <w:pPr>
        <w:spacing w:line="640" w:lineRule="exact"/>
        <w:ind w:firstLine="640"/>
        <w:jc w:val="both"/>
        <w:outlineLvl w:val="2"/>
      </w:pPr>
      <w:r>
        <w:rPr>
          <w:rFonts w:ascii="黑体" w:hAnsi="黑体" w:eastAsia="黑体"/>
          <w:sz w:val="32"/>
        </w:rPr>
        <w:t>一、主要职能</w:t>
      </w:r>
    </w:p>
    <w:p w14:paraId="74C6742E">
      <w:pPr>
        <w:spacing w:line="580" w:lineRule="exact"/>
        <w:ind w:firstLine="640"/>
        <w:jc w:val="both"/>
      </w:pPr>
      <w:r>
        <w:rPr>
          <w:rFonts w:ascii="仿宋_GB2312" w:hAnsi="仿宋_GB2312" w:eastAsia="仿宋_GB2312"/>
          <w:sz w:val="32"/>
        </w:rPr>
        <w:t>1.实施防治荒漠化治理，维护生态环境建设成果。</w:t>
      </w:r>
    </w:p>
    <w:p w14:paraId="6346D9C6">
      <w:pPr>
        <w:spacing w:line="580" w:lineRule="exact"/>
        <w:ind w:firstLine="640"/>
        <w:jc w:val="both"/>
      </w:pPr>
      <w:r>
        <w:rPr>
          <w:rFonts w:ascii="仿宋_GB2312" w:hAnsi="仿宋_GB2312" w:eastAsia="仿宋_GB2312"/>
          <w:sz w:val="32"/>
        </w:rPr>
        <w:t>2.负责植树造林，林木抚育管理及生态林病虫害防治工作。</w:t>
      </w:r>
    </w:p>
    <w:p w14:paraId="79791B6E">
      <w:pPr>
        <w:spacing w:line="580" w:lineRule="exact"/>
        <w:ind w:firstLine="640"/>
        <w:jc w:val="both"/>
      </w:pPr>
      <w:r>
        <w:rPr>
          <w:rFonts w:ascii="仿宋_GB2312" w:hAnsi="仿宋_GB2312" w:eastAsia="仿宋_GB2312"/>
          <w:sz w:val="32"/>
        </w:rPr>
        <w:t>3.积极宣传、贯彻林业的相关法律法规、方针、政策，依据《中华人民共和国森林法》的有关规定，做好生态区林木的管护工作。</w:t>
      </w:r>
    </w:p>
    <w:p w14:paraId="4E8BBF70">
      <w:pPr>
        <w:spacing w:line="580" w:lineRule="exact"/>
        <w:ind w:firstLine="640"/>
        <w:jc w:val="both"/>
      </w:pPr>
      <w:r>
        <w:rPr>
          <w:rFonts w:ascii="仿宋_GB2312" w:hAnsi="仿宋_GB2312" w:eastAsia="仿宋_GB2312"/>
          <w:sz w:val="32"/>
        </w:rPr>
        <w:t>4.落实森林防火工作责任制，确保生态林健康发展。</w:t>
      </w:r>
    </w:p>
    <w:p w14:paraId="74622BC3">
      <w:pPr>
        <w:spacing w:line="580" w:lineRule="exact"/>
        <w:ind w:firstLine="640"/>
        <w:jc w:val="both"/>
      </w:pPr>
      <w:r>
        <w:rPr>
          <w:rFonts w:ascii="仿宋_GB2312" w:hAnsi="仿宋_GB2312" w:eastAsia="仿宋_GB2312"/>
          <w:sz w:val="32"/>
        </w:rPr>
        <w:t>5.绿化生态环境以及相关社会服务工作。</w:t>
      </w:r>
    </w:p>
    <w:p w14:paraId="76B22F5B">
      <w:pPr>
        <w:spacing w:line="580" w:lineRule="exact"/>
        <w:ind w:firstLine="640"/>
        <w:jc w:val="both"/>
      </w:pPr>
      <w:r>
        <w:rPr>
          <w:rFonts w:ascii="仿宋_GB2312" w:hAnsi="仿宋_GB2312" w:eastAsia="仿宋_GB2312"/>
          <w:sz w:val="32"/>
        </w:rPr>
        <w:t>6.承办县委、县政府和上级交办的其他工作等。</w:t>
      </w:r>
    </w:p>
    <w:p w14:paraId="21CF34FC">
      <w:pPr>
        <w:spacing w:line="640" w:lineRule="exact"/>
        <w:ind w:firstLine="640"/>
        <w:jc w:val="both"/>
        <w:outlineLvl w:val="2"/>
      </w:pPr>
      <w:r>
        <w:rPr>
          <w:rFonts w:ascii="黑体" w:hAnsi="黑体" w:eastAsia="黑体"/>
          <w:sz w:val="32"/>
        </w:rPr>
        <w:t>二、机构设置及人员情况</w:t>
      </w:r>
    </w:p>
    <w:p w14:paraId="564C4733">
      <w:pPr>
        <w:spacing w:line="580" w:lineRule="exact"/>
        <w:ind w:firstLine="640"/>
        <w:jc w:val="both"/>
      </w:pPr>
      <w:r>
        <w:rPr>
          <w:rFonts w:ascii="仿宋_GB2312" w:hAnsi="仿宋_GB2312" w:eastAsia="仿宋_GB2312"/>
          <w:sz w:val="32"/>
        </w:rPr>
        <w:t>托里县生态环境保护中心2024年度，实有人数28人，其中：在职人员18人，减少1人；离休人员0人，增加0人；退休人员10人,增加0人。</w:t>
      </w:r>
    </w:p>
    <w:p w14:paraId="0CF73533">
      <w:pPr>
        <w:spacing w:line="580" w:lineRule="exact"/>
        <w:ind w:firstLine="640"/>
        <w:jc w:val="both"/>
      </w:pPr>
      <w:r>
        <w:rPr>
          <w:rFonts w:ascii="仿宋_GB2312" w:hAnsi="仿宋_GB2312" w:eastAsia="仿宋_GB2312"/>
          <w:sz w:val="32"/>
        </w:rPr>
        <w:t>托里县生态环境保护中心无下属预算单位，下设3个科室，分别是：办公室、财务室、林区巡护室。</w:t>
      </w:r>
    </w:p>
    <w:p w14:paraId="0F3F78A3">
      <w:r>
        <w:br w:type="page"/>
      </w:r>
    </w:p>
    <w:p w14:paraId="08BC6D95">
      <w:pPr>
        <w:spacing w:line="240" w:lineRule="auto"/>
        <w:jc w:val="center"/>
        <w:outlineLvl w:val="1"/>
      </w:pPr>
      <w:r>
        <w:rPr>
          <w:rFonts w:ascii="黑体" w:hAnsi="黑体" w:eastAsia="黑体"/>
          <w:sz w:val="32"/>
        </w:rPr>
        <w:t>第二部分 部门决算情况说明</w:t>
      </w:r>
    </w:p>
    <w:p w14:paraId="0F19903E">
      <w:pPr>
        <w:spacing w:line="640" w:lineRule="exact"/>
        <w:ind w:firstLine="640"/>
        <w:jc w:val="both"/>
        <w:outlineLvl w:val="2"/>
      </w:pPr>
      <w:r>
        <w:rPr>
          <w:rFonts w:ascii="黑体" w:hAnsi="黑体" w:eastAsia="黑体"/>
          <w:sz w:val="32"/>
        </w:rPr>
        <w:t>一、收入支出决算总体情况说明</w:t>
      </w:r>
    </w:p>
    <w:p w14:paraId="35354F40">
      <w:pPr>
        <w:spacing w:line="580" w:lineRule="exact"/>
        <w:ind w:firstLine="640"/>
        <w:jc w:val="both"/>
      </w:pPr>
      <w:r>
        <w:rPr>
          <w:rFonts w:ascii="仿宋_GB2312" w:hAnsi="仿宋_GB2312" w:eastAsia="仿宋_GB2312"/>
          <w:b/>
          <w:sz w:val="32"/>
        </w:rPr>
        <w:t>2024年度收入总计362.36万元，</w:t>
      </w:r>
      <w:r>
        <w:rPr>
          <w:rFonts w:ascii="仿宋_GB2312" w:hAnsi="仿宋_GB2312" w:eastAsia="仿宋_GB2312"/>
          <w:b w:val="0"/>
          <w:sz w:val="32"/>
        </w:rPr>
        <w:t>其中：本年收入合计362.35万元，使用非财政拨款结余（含专用结余）0.00万元，年初结转和结余0.00万元。</w:t>
      </w:r>
    </w:p>
    <w:p w14:paraId="2A41F27E">
      <w:pPr>
        <w:spacing w:line="580" w:lineRule="exact"/>
        <w:ind w:firstLine="640"/>
        <w:jc w:val="both"/>
      </w:pPr>
      <w:r>
        <w:rPr>
          <w:rFonts w:ascii="仿宋_GB2312" w:hAnsi="仿宋_GB2312" w:eastAsia="仿宋_GB2312"/>
          <w:b/>
          <w:sz w:val="32"/>
        </w:rPr>
        <w:t>2024年度支出总计362.36万元，</w:t>
      </w:r>
      <w:r>
        <w:rPr>
          <w:rFonts w:ascii="仿宋_GB2312" w:hAnsi="仿宋_GB2312" w:eastAsia="仿宋_GB2312"/>
          <w:b w:val="0"/>
          <w:sz w:val="32"/>
        </w:rPr>
        <w:t>其中：本年支出合计362.35万元，结余分配0.00万元，年末结转和结余0.01万元。</w:t>
      </w:r>
    </w:p>
    <w:p w14:paraId="1F3A5B64">
      <w:pPr>
        <w:spacing w:line="580" w:lineRule="exact"/>
        <w:ind w:firstLine="640"/>
        <w:jc w:val="both"/>
      </w:pPr>
      <w:r>
        <w:rPr>
          <w:rFonts w:ascii="仿宋_GB2312" w:hAnsi="仿宋_GB2312" w:eastAsia="仿宋_GB2312"/>
          <w:b w:val="0"/>
          <w:sz w:val="32"/>
        </w:rPr>
        <w:t>收入支出总体与上年相比，增加68.31万元，增长23.23%，主要原因是：本年在职人员工资调增，社保、公积金基数调增，人员经费增加，本年补发2017年绩效、2020年半年绩效、补发2023年年度考核奖，导致经费较上年增加。</w:t>
      </w:r>
    </w:p>
    <w:p w14:paraId="6AA42163">
      <w:pPr>
        <w:spacing w:line="640" w:lineRule="exact"/>
        <w:ind w:firstLine="640"/>
        <w:jc w:val="both"/>
        <w:outlineLvl w:val="2"/>
      </w:pPr>
      <w:r>
        <w:rPr>
          <w:rFonts w:ascii="黑体" w:hAnsi="黑体" w:eastAsia="黑体"/>
          <w:sz w:val="32"/>
        </w:rPr>
        <w:t>二、收入决算情况说明</w:t>
      </w:r>
    </w:p>
    <w:p w14:paraId="0788218E">
      <w:pPr>
        <w:spacing w:line="580" w:lineRule="exact"/>
        <w:ind w:firstLine="640"/>
        <w:jc w:val="both"/>
      </w:pPr>
      <w:r>
        <w:rPr>
          <w:rFonts w:ascii="仿宋_GB2312" w:hAnsi="仿宋_GB2312" w:eastAsia="仿宋_GB2312"/>
          <w:b/>
          <w:sz w:val="32"/>
        </w:rPr>
        <w:t>本年收入362.35万元，</w:t>
      </w:r>
      <w:r>
        <w:rPr>
          <w:rFonts w:ascii="仿宋_GB2312" w:hAnsi="仿宋_GB2312" w:eastAsia="仿宋_GB2312"/>
          <w:b w:val="0"/>
          <w:sz w:val="32"/>
        </w:rPr>
        <w:t>其中：财政拨款收入362.35万元，占100.00%；上级补助收入0.00万元，占0.00%；事业收入0.00万元，占0.00%；经营收入0.00万元，占0.00%；附属单位上缴收入0.00万元，占0.00%；其他收入0.01万元，占0.003%。</w:t>
      </w:r>
    </w:p>
    <w:p w14:paraId="7CF97F1F">
      <w:pPr>
        <w:spacing w:line="640" w:lineRule="exact"/>
        <w:ind w:firstLine="640"/>
        <w:jc w:val="both"/>
        <w:outlineLvl w:val="2"/>
      </w:pPr>
      <w:r>
        <w:rPr>
          <w:rFonts w:ascii="黑体" w:hAnsi="黑体" w:eastAsia="黑体"/>
          <w:sz w:val="32"/>
        </w:rPr>
        <w:t>三、支出决算情况说明</w:t>
      </w:r>
    </w:p>
    <w:p w14:paraId="4BD4F555">
      <w:pPr>
        <w:spacing w:line="580" w:lineRule="exact"/>
        <w:ind w:firstLine="640"/>
        <w:jc w:val="both"/>
      </w:pPr>
      <w:r>
        <w:rPr>
          <w:rFonts w:ascii="仿宋_GB2312" w:hAnsi="仿宋_GB2312" w:eastAsia="仿宋_GB2312"/>
          <w:b/>
          <w:sz w:val="32"/>
        </w:rPr>
        <w:t>本年支出362.35万元，</w:t>
      </w:r>
      <w:r>
        <w:rPr>
          <w:rFonts w:ascii="仿宋_GB2312" w:hAnsi="仿宋_GB2312" w:eastAsia="仿宋_GB2312"/>
          <w:b w:val="0"/>
          <w:sz w:val="32"/>
        </w:rPr>
        <w:t>其中：基本支出362.35万元，占100.00%；项目支出0.00万元，占0.00%；上缴上级支出0.00万元，占0.00%；经营支出0.00万元，占0.00%；对附属单位补助支出0.00万元，占0.00%。</w:t>
      </w:r>
    </w:p>
    <w:p w14:paraId="6FE42F99">
      <w:pPr>
        <w:spacing w:line="640" w:lineRule="exact"/>
        <w:ind w:firstLine="640"/>
        <w:jc w:val="both"/>
        <w:outlineLvl w:val="2"/>
      </w:pPr>
      <w:r>
        <w:rPr>
          <w:rFonts w:ascii="黑体" w:hAnsi="黑体" w:eastAsia="黑体"/>
          <w:sz w:val="32"/>
        </w:rPr>
        <w:t>四、财政拨款收入支出决算总体情况说明</w:t>
      </w:r>
    </w:p>
    <w:p w14:paraId="3653663B">
      <w:pPr>
        <w:spacing w:line="580" w:lineRule="exact"/>
        <w:ind w:firstLine="640"/>
        <w:jc w:val="both"/>
      </w:pPr>
      <w:r>
        <w:rPr>
          <w:rFonts w:ascii="仿宋_GB2312" w:hAnsi="仿宋_GB2312" w:eastAsia="仿宋_GB2312"/>
          <w:b/>
          <w:sz w:val="32"/>
        </w:rPr>
        <w:t>2024年度财政拨款收入总计362.35万元，</w:t>
      </w:r>
      <w:r>
        <w:rPr>
          <w:rFonts w:ascii="仿宋_GB2312" w:hAnsi="仿宋_GB2312" w:eastAsia="仿宋_GB2312"/>
          <w:b w:val="0"/>
          <w:sz w:val="32"/>
        </w:rPr>
        <w:t>其中：年初财政拨款结转和结余0.00万元，本年财政拨款收入362.35万元。</w:t>
      </w:r>
      <w:r>
        <w:rPr>
          <w:rFonts w:ascii="仿宋_GB2312" w:hAnsi="仿宋_GB2312" w:eastAsia="仿宋_GB2312"/>
          <w:b/>
          <w:sz w:val="32"/>
        </w:rPr>
        <w:t>财政拨款支出总计362.35万元，</w:t>
      </w:r>
      <w:r>
        <w:rPr>
          <w:rFonts w:ascii="仿宋_GB2312" w:hAnsi="仿宋_GB2312" w:eastAsia="仿宋_GB2312"/>
          <w:b w:val="0"/>
          <w:sz w:val="32"/>
        </w:rPr>
        <w:t>其中：年末财政拨款结转和结余0.00万元，本年财政拨款支出362.35万元。</w:t>
      </w:r>
    </w:p>
    <w:p w14:paraId="21DCCB5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增加68.31万元，增长23.23%，主要原因是：本年在职人员工资调增，社保、公积金基数调增，人员经费增加，本年补发2017年绩效、2020年半年绩效、补发2023年年度考核奖</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年初预算数304.14万元，决算数362.35万元，预决算差异率19.14%，主要原因是：年中追加人员工资、社保、公积金基数调增部分资金，导致预决算存在差异。</w:t>
      </w:r>
    </w:p>
    <w:p w14:paraId="63EFB0ED">
      <w:pPr>
        <w:spacing w:line="640" w:lineRule="exact"/>
        <w:ind w:firstLine="640"/>
        <w:jc w:val="both"/>
        <w:outlineLvl w:val="2"/>
      </w:pPr>
      <w:r>
        <w:rPr>
          <w:rFonts w:ascii="黑体" w:hAnsi="黑体" w:eastAsia="黑体"/>
          <w:sz w:val="32"/>
        </w:rPr>
        <w:t>五、一般公共预算财政拨款支出决算情况说明</w:t>
      </w:r>
    </w:p>
    <w:p w14:paraId="1B9D4047">
      <w:pPr>
        <w:spacing w:line="640" w:lineRule="exact"/>
        <w:ind w:firstLine="640"/>
        <w:jc w:val="both"/>
        <w:outlineLvl w:val="3"/>
      </w:pPr>
      <w:r>
        <w:rPr>
          <w:rFonts w:ascii="楷体_GB2312" w:hAnsi="楷体_GB2312" w:eastAsia="楷体_GB2312"/>
          <w:b/>
          <w:sz w:val="32"/>
        </w:rPr>
        <w:t>（一）一般公共预算财政拨款支出决算总体情况</w:t>
      </w:r>
    </w:p>
    <w:p w14:paraId="14034D09">
      <w:pPr>
        <w:spacing w:line="580" w:lineRule="exact"/>
        <w:ind w:firstLine="640"/>
        <w:jc w:val="both"/>
      </w:pPr>
      <w:r>
        <w:rPr>
          <w:rFonts w:ascii="仿宋_GB2312" w:hAnsi="仿宋_GB2312" w:eastAsia="仿宋_GB2312"/>
          <w:b/>
          <w:sz w:val="32"/>
        </w:rPr>
        <w:t>2024年度一般公共预算财政拨款支出362.35万元，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增加68.31万元，增长23.23%，主要原因是：本年在职人员工资调增，社保、公积金基数调增，人员经费增加，本年补发2017年绩效、2020年半年绩效、补发2023年年度考核奖，导致经费较上年增加。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年初预算数304.14万元，决算数362.35万元，预决算差异率19.14%，主要原因是：年中追加人员工资、社保、公积金基数调增部分资金，导致预决算存在差异。</w:t>
      </w:r>
    </w:p>
    <w:p w14:paraId="05F47493">
      <w:pPr>
        <w:spacing w:line="640" w:lineRule="exact"/>
        <w:ind w:firstLine="640"/>
        <w:jc w:val="both"/>
        <w:outlineLvl w:val="3"/>
      </w:pPr>
      <w:r>
        <w:rPr>
          <w:rFonts w:ascii="楷体_GB2312" w:hAnsi="楷体_GB2312" w:eastAsia="楷体_GB2312"/>
          <w:b/>
          <w:sz w:val="32"/>
        </w:rPr>
        <w:t>（二）一般公共预算财政拨款支出决算结构情况</w:t>
      </w:r>
    </w:p>
    <w:p w14:paraId="0EC62AF2">
      <w:pPr>
        <w:spacing w:line="580" w:lineRule="exact"/>
        <w:ind w:firstLine="640"/>
        <w:jc w:val="both"/>
      </w:pPr>
      <w:r>
        <w:rPr>
          <w:rFonts w:ascii="仿宋_GB2312" w:hAnsi="仿宋_GB2312" w:eastAsia="仿宋_GB2312"/>
          <w:b w:val="0"/>
          <w:sz w:val="32"/>
        </w:rPr>
        <w:t>1.社会保障和就业支出(类)55.66万元,占15.36%。</w:t>
      </w:r>
    </w:p>
    <w:p w14:paraId="0763C15B">
      <w:pPr>
        <w:spacing w:line="580" w:lineRule="exact"/>
        <w:ind w:firstLine="640"/>
        <w:jc w:val="both"/>
      </w:pPr>
      <w:r>
        <w:rPr>
          <w:rFonts w:ascii="仿宋_GB2312" w:hAnsi="仿宋_GB2312" w:eastAsia="仿宋_GB2312"/>
          <w:b w:val="0"/>
          <w:sz w:val="32"/>
        </w:rPr>
        <w:t>2.卫生健康支出(类)12.62万元,占3.48%。</w:t>
      </w:r>
    </w:p>
    <w:p w14:paraId="41F0E856">
      <w:pPr>
        <w:spacing w:line="580" w:lineRule="exact"/>
        <w:ind w:firstLine="640"/>
        <w:jc w:val="both"/>
      </w:pPr>
      <w:r>
        <w:rPr>
          <w:rFonts w:ascii="仿宋_GB2312" w:hAnsi="仿宋_GB2312" w:eastAsia="仿宋_GB2312"/>
          <w:b w:val="0"/>
          <w:sz w:val="32"/>
        </w:rPr>
        <w:t>3.农林水支出(类)268.11万元,占73.99%。</w:t>
      </w:r>
    </w:p>
    <w:p w14:paraId="449FB462">
      <w:pPr>
        <w:spacing w:line="580" w:lineRule="exact"/>
        <w:ind w:firstLine="640"/>
        <w:jc w:val="both"/>
      </w:pPr>
      <w:r>
        <w:rPr>
          <w:rFonts w:ascii="仿宋_GB2312" w:hAnsi="仿宋_GB2312" w:eastAsia="仿宋_GB2312"/>
          <w:b w:val="0"/>
          <w:sz w:val="32"/>
        </w:rPr>
        <w:t>4.住房保障支出(类)25.96万元,占7.16%。</w:t>
      </w:r>
    </w:p>
    <w:p w14:paraId="03A220FB">
      <w:pPr>
        <w:spacing w:line="640" w:lineRule="exact"/>
        <w:ind w:firstLine="640"/>
        <w:jc w:val="both"/>
        <w:outlineLvl w:val="3"/>
      </w:pPr>
      <w:r>
        <w:rPr>
          <w:rFonts w:ascii="楷体_GB2312" w:hAnsi="楷体_GB2312" w:eastAsia="楷体_GB2312"/>
          <w:b/>
          <w:sz w:val="32"/>
        </w:rPr>
        <w:t>（三）一般公共预算财政拨款支出决算具体情况</w:t>
      </w:r>
    </w:p>
    <w:p w14:paraId="589F871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1.社会保障和就业支出(类)行政事业单位养老支出(款)事业单位离退休(项):支出决算数为19.44万元，比上年决算增加9.29万元，增长91.53%,主要原因是：本年增加退休人员基础绩效奖，退休费支出增加。</w:t>
      </w:r>
    </w:p>
    <w:p w14:paraId="551B599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29.51万元，比上年决算增加1.78万元，增长6.42%,主要原因是：本年在职人员工资基数调增，养老缴费基数上涨，相应支出增加。</w:t>
      </w:r>
    </w:p>
    <w:p w14:paraId="778CF67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6.71万元，比上年决算增加6.71万元，增长100.00%,主要原因是：本年在职人员死亡一名，职业年金做实，相关支出增加。</w:t>
      </w:r>
    </w:p>
    <w:p w14:paraId="6DDE0498">
      <w:pPr>
        <w:spacing w:line="580" w:lineRule="exact"/>
        <w:ind w:firstLine="640"/>
        <w:jc w:val="both"/>
      </w:pPr>
      <w:r>
        <w:rPr>
          <w:rFonts w:ascii="仿宋_GB2312" w:hAnsi="仿宋_GB2312" w:eastAsia="仿宋_GB2312"/>
          <w:b w:val="0"/>
          <w:sz w:val="32"/>
        </w:rPr>
        <w:t>4.卫生健康支出(类)行政事业单位医疗(款)事业单位医疗(项):支出决算数为12.62万元，比上年决算增加0.08万元，增长0.64%,主要原因是：本年在职人员工资基数调增，医疗缴费基数上涨，相应支出增加。</w:t>
      </w:r>
    </w:p>
    <w:p w14:paraId="1D64CEDD">
      <w:pPr>
        <w:spacing w:line="580" w:lineRule="exact"/>
        <w:ind w:firstLine="640"/>
        <w:jc w:val="both"/>
      </w:pPr>
      <w:r>
        <w:rPr>
          <w:rFonts w:ascii="仿宋_GB2312" w:hAnsi="仿宋_GB2312" w:eastAsia="仿宋_GB2312"/>
          <w:b w:val="0"/>
          <w:sz w:val="32"/>
        </w:rPr>
        <w:t>5.农林水支出(类)林业和草原(款)事业机构(项):支出决算数为268.11万元，比上年决算增加47.30万元，增长21.42%,主要原因是：本年在职人员工资调增，补发人员绩效奖，相关人员经费增加。</w:t>
      </w:r>
    </w:p>
    <w:p w14:paraId="619B4645">
      <w:pPr>
        <w:spacing w:line="580" w:lineRule="exact"/>
        <w:ind w:firstLine="640"/>
        <w:jc w:val="both"/>
      </w:pPr>
      <w:r>
        <w:rPr>
          <w:rFonts w:ascii="仿宋_GB2312" w:hAnsi="仿宋_GB2312" w:eastAsia="仿宋_GB2312"/>
          <w:b w:val="0"/>
          <w:sz w:val="32"/>
        </w:rPr>
        <w:t>6.住房保障支出(类)住房改革支出(款)住房公积金(项):支出决算数为25.96万元，比上年决算增加3.14万元，增长13.76%,主要原因是：本年在职人员工资基数调增，公积金缴费基数上涨，相应支出增加。</w:t>
      </w:r>
    </w:p>
    <w:p w14:paraId="23B79473">
      <w:pPr>
        <w:spacing w:line="640" w:lineRule="exact"/>
        <w:ind w:firstLine="640"/>
        <w:jc w:val="both"/>
        <w:outlineLvl w:val="2"/>
      </w:pPr>
      <w:r>
        <w:rPr>
          <w:rFonts w:ascii="黑体" w:hAnsi="黑体" w:eastAsia="黑体"/>
          <w:sz w:val="32"/>
        </w:rPr>
        <w:t>六、一般公共预算财政拨款基本支出决算情况说明</w:t>
      </w:r>
    </w:p>
    <w:p w14:paraId="10AD4A23">
      <w:pPr>
        <w:spacing w:line="580" w:lineRule="exact"/>
        <w:ind w:firstLine="640"/>
        <w:jc w:val="both"/>
      </w:pPr>
      <w:r>
        <w:rPr>
          <w:rFonts w:ascii="仿宋_GB2312" w:hAnsi="仿宋_GB2312" w:eastAsia="仿宋_GB2312"/>
          <w:b w:val="0"/>
          <w:sz w:val="32"/>
        </w:rPr>
        <w:t>2024年度一般公共预算财政拨款基本支出362.35万元，其中：</w:t>
      </w:r>
      <w:r>
        <w:rPr>
          <w:rFonts w:ascii="仿宋_GB2312" w:hAnsi="仿宋_GB2312" w:eastAsia="仿宋_GB2312"/>
          <w:b/>
          <w:sz w:val="32"/>
        </w:rPr>
        <w:t>人员经费351.54万元，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包括：基本工资、津贴补贴、奖金、绩效工资、机关事业单位基本养老保险缴费、职业年金缴费、职工基本医疗保险缴费、其他社会保障缴费、住房公积金、退休费、抚恤金、奖励金。</w:t>
      </w:r>
    </w:p>
    <w:p w14:paraId="559DF7F5">
      <w:pPr>
        <w:spacing w:line="580" w:lineRule="exact"/>
        <w:ind w:firstLine="640"/>
        <w:jc w:val="both"/>
      </w:pPr>
      <w:r>
        <w:rPr>
          <w:rFonts w:ascii="仿宋_GB2312" w:hAnsi="仿宋_GB2312" w:eastAsia="仿宋_GB2312"/>
          <w:b/>
          <w:sz w:val="32"/>
        </w:rPr>
        <w:t>公用经费10.80万元，</w:t>
      </w:r>
      <w:r>
        <w:rPr>
          <w:rFonts w:ascii="仿宋_GB2312" w:hAnsi="仿宋_GB2312" w:eastAsia="仿宋_GB2312"/>
          <w:b w:val="0"/>
          <w:sz w:val="32"/>
        </w:rPr>
        <w:t>包括：办公费、邮电费、取暖费、维修（护）费、劳务费、工会经费、其他商品和服务支出。</w:t>
      </w:r>
    </w:p>
    <w:p w14:paraId="757CBDB9">
      <w:pPr>
        <w:spacing w:line="640" w:lineRule="exact"/>
        <w:ind w:firstLine="640"/>
        <w:jc w:val="both"/>
        <w:outlineLvl w:val="2"/>
      </w:pPr>
      <w:r>
        <w:rPr>
          <w:rFonts w:ascii="黑体" w:hAnsi="黑体" w:eastAsia="黑体"/>
          <w:sz w:val="32"/>
        </w:rPr>
        <w:t>七、政府性基金预算财政拨款收入支出决算情况说明</w:t>
      </w:r>
    </w:p>
    <w:p w14:paraId="55532B1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878D51">
      <w:pPr>
        <w:spacing w:line="640" w:lineRule="exact"/>
        <w:ind w:firstLine="640"/>
        <w:jc w:val="both"/>
        <w:outlineLvl w:val="2"/>
      </w:pPr>
      <w:r>
        <w:rPr>
          <w:rFonts w:ascii="黑体" w:hAnsi="黑体" w:eastAsia="黑体"/>
          <w:sz w:val="32"/>
        </w:rPr>
        <w:t>八、国有资本经营预算财政拨款收入支出决算情况说明</w:t>
      </w:r>
    </w:p>
    <w:p w14:paraId="0ED7268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0A6634">
      <w:pPr>
        <w:spacing w:line="640" w:lineRule="exact"/>
        <w:ind w:firstLine="640"/>
        <w:jc w:val="both"/>
        <w:outlineLvl w:val="2"/>
      </w:pPr>
      <w:r>
        <w:rPr>
          <w:rFonts w:ascii="黑体" w:hAnsi="黑体" w:eastAsia="黑体"/>
          <w:sz w:val="32"/>
        </w:rPr>
        <w:t>九、财政拨款“三公”经费支出决算情况说明</w:t>
      </w:r>
    </w:p>
    <w:p w14:paraId="54677CC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EA32DB0">
      <w:pPr>
        <w:spacing w:line="580" w:lineRule="exact"/>
        <w:ind w:firstLine="640"/>
        <w:jc w:val="both"/>
      </w:pPr>
      <w:r>
        <w:rPr>
          <w:rFonts w:ascii="仿宋_GB2312" w:hAnsi="仿宋_GB2312" w:eastAsia="仿宋_GB2312"/>
          <w:b/>
          <w:sz w:val="32"/>
        </w:rPr>
        <w:t>具体情况如下：</w:t>
      </w:r>
    </w:p>
    <w:p w14:paraId="26CFC6D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7F368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w:t>
      </w:r>
      <w:r>
        <w:rPr>
          <w:rFonts w:hint="eastAsia" w:ascii="仿宋_GB2312" w:hAnsi="仿宋_GB2312" w:eastAsia="仿宋_GB2312"/>
          <w:b w:val="0"/>
          <w:sz w:val="32"/>
        </w:rPr>
        <w:t>车辆费用未使用财政拨款公务用车运行维护费支付</w:t>
      </w:r>
      <w:bookmarkStart w:id="0" w:name="_GoBack"/>
      <w:bookmarkEnd w:id="0"/>
      <w:r>
        <w:rPr>
          <w:rFonts w:ascii="仿宋_GB2312" w:hAnsi="仿宋_GB2312" w:eastAsia="仿宋_GB2312"/>
          <w:b w:val="0"/>
          <w:sz w:val="32"/>
        </w:rPr>
        <w:t>，由业务经费保障。</w:t>
      </w:r>
    </w:p>
    <w:p w14:paraId="6158391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66772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1898EF">
      <w:pPr>
        <w:spacing w:line="640" w:lineRule="exact"/>
        <w:ind w:firstLine="640"/>
        <w:jc w:val="both"/>
        <w:outlineLvl w:val="2"/>
      </w:pPr>
      <w:r>
        <w:rPr>
          <w:rFonts w:ascii="黑体" w:hAnsi="黑体" w:eastAsia="黑体"/>
          <w:sz w:val="32"/>
        </w:rPr>
        <w:t>十、其他重要事项的情况说明</w:t>
      </w:r>
    </w:p>
    <w:p w14:paraId="782FD363">
      <w:pPr>
        <w:spacing w:line="640" w:lineRule="exact"/>
        <w:ind w:firstLine="640"/>
        <w:jc w:val="both"/>
        <w:outlineLvl w:val="3"/>
      </w:pPr>
      <w:r>
        <w:rPr>
          <w:rFonts w:ascii="楷体_GB2312" w:hAnsi="楷体_GB2312" w:eastAsia="楷体_GB2312"/>
          <w:b/>
          <w:sz w:val="32"/>
        </w:rPr>
        <w:t>（一）机关运行经费及公用经费支出情况</w:t>
      </w:r>
    </w:p>
    <w:p w14:paraId="47F7551B">
      <w:pPr>
        <w:spacing w:line="580" w:lineRule="exact"/>
        <w:ind w:firstLine="640"/>
        <w:jc w:val="both"/>
      </w:pPr>
      <w:r>
        <w:rPr>
          <w:rFonts w:ascii="仿宋_GB2312" w:hAnsi="仿宋_GB2312" w:eastAsia="仿宋_GB2312"/>
          <w:b w:val="0"/>
          <w:sz w:val="32"/>
        </w:rPr>
        <w:t>2024年度托里县生态环境保护中心（事业单位）公用经费支出10.80万元，比上年增加6.54万元，增长153.52%，主要原因是：本年度增加办公费、取暖费和工会经费，公用经费支出增加。</w:t>
      </w:r>
    </w:p>
    <w:p w14:paraId="4C5C9246">
      <w:pPr>
        <w:spacing w:line="640" w:lineRule="exact"/>
        <w:ind w:firstLine="640"/>
        <w:jc w:val="both"/>
        <w:outlineLvl w:val="3"/>
      </w:pPr>
      <w:r>
        <w:rPr>
          <w:rFonts w:ascii="楷体_GB2312" w:hAnsi="楷体_GB2312" w:eastAsia="楷体_GB2312"/>
          <w:b/>
          <w:sz w:val="32"/>
        </w:rPr>
        <w:t>（二）政府采购情况</w:t>
      </w:r>
    </w:p>
    <w:p w14:paraId="2C45082C">
      <w:pPr>
        <w:spacing w:line="580" w:lineRule="exact"/>
        <w:ind w:firstLine="640"/>
        <w:jc w:val="both"/>
      </w:pPr>
      <w:r>
        <w:rPr>
          <w:rFonts w:ascii="仿宋_GB2312" w:hAnsi="仿宋_GB2312" w:eastAsia="仿宋_GB2312"/>
          <w:b w:val="0"/>
          <w:sz w:val="32"/>
        </w:rPr>
        <w:t>2024年度政府采购支出总额0.40万元，其中：政府采购货物支出0.00万元、政府采购工程支出0.00万元、政府采购服务支出0.40万元。</w:t>
      </w:r>
    </w:p>
    <w:p w14:paraId="45330CA4">
      <w:pPr>
        <w:spacing w:line="580" w:lineRule="exact"/>
        <w:ind w:firstLine="640"/>
        <w:jc w:val="both"/>
      </w:pPr>
      <w:r>
        <w:rPr>
          <w:rFonts w:ascii="仿宋_GB2312" w:hAnsi="仿宋_GB2312" w:eastAsia="仿宋_GB2312"/>
          <w:b w:val="0"/>
          <w:sz w:val="32"/>
        </w:rPr>
        <w:t>授予中小企业合同金额0.40万元，占政府采购支出总额的100.00%，其中：授予小微企业合同金额0.40万元，占政府采购支出总额的100.00%。</w:t>
      </w:r>
    </w:p>
    <w:p w14:paraId="4CAA8100">
      <w:pPr>
        <w:spacing w:line="640" w:lineRule="exact"/>
        <w:ind w:firstLine="640"/>
        <w:jc w:val="both"/>
        <w:outlineLvl w:val="3"/>
      </w:pPr>
      <w:r>
        <w:rPr>
          <w:rFonts w:ascii="楷体_GB2312" w:hAnsi="楷体_GB2312" w:eastAsia="楷体_GB2312"/>
          <w:b/>
          <w:sz w:val="32"/>
        </w:rPr>
        <w:t>（三）国有资产占用情况说明</w:t>
      </w:r>
    </w:p>
    <w:p w14:paraId="0FF7B4E1">
      <w:pPr>
        <w:spacing w:line="580" w:lineRule="exact"/>
        <w:ind w:firstLine="640"/>
        <w:jc w:val="both"/>
      </w:pPr>
      <w:r>
        <w:rPr>
          <w:rFonts w:ascii="仿宋_GB2312" w:hAnsi="仿宋_GB2312" w:eastAsia="仿宋_GB2312"/>
          <w:b w:val="0"/>
          <w:sz w:val="32"/>
        </w:rPr>
        <w:t>截至2024年12月31日，房屋0.00平方米，价值0.00万元。车辆3辆，价值37.85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A46BDDF">
      <w:pPr>
        <w:spacing w:line="640" w:lineRule="exact"/>
        <w:ind w:firstLine="640"/>
        <w:jc w:val="both"/>
        <w:outlineLvl w:val="2"/>
      </w:pPr>
      <w:r>
        <w:rPr>
          <w:rFonts w:ascii="黑体" w:hAnsi="黑体" w:eastAsia="黑体"/>
          <w:sz w:val="32"/>
        </w:rPr>
        <w:t>十一、预算绩效的情况说明</w:t>
      </w:r>
    </w:p>
    <w:p w14:paraId="568C23F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362.35万元，实际执行总额362.35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3E074F13">
      <w:r>
        <w:br w:type="page"/>
      </w:r>
    </w:p>
    <w:tbl>
      <w:tblPr>
        <w:tblStyle w:val="9"/>
        <w:tblW w:w="0" w:type="auto"/>
        <w:tblInd w:w="0" w:type="dxa"/>
        <w:tblLayout w:type="autofit"/>
        <w:tblCellMar>
          <w:top w:w="0" w:type="dxa"/>
          <w:left w:w="108" w:type="dxa"/>
          <w:bottom w:w="0" w:type="dxa"/>
          <w:right w:w="108" w:type="dxa"/>
        </w:tblCellMar>
      </w:tblPr>
      <w:tblGrid>
        <w:gridCol w:w="1105"/>
        <w:gridCol w:w="997"/>
        <w:gridCol w:w="108"/>
        <w:gridCol w:w="1105"/>
        <w:gridCol w:w="403"/>
        <w:gridCol w:w="212"/>
        <w:gridCol w:w="490"/>
        <w:gridCol w:w="332"/>
        <w:gridCol w:w="773"/>
        <w:gridCol w:w="593"/>
        <w:gridCol w:w="512"/>
        <w:gridCol w:w="448"/>
        <w:gridCol w:w="657"/>
        <w:gridCol w:w="358"/>
        <w:gridCol w:w="747"/>
      </w:tblGrid>
      <w:tr w14:paraId="68DB3822">
        <w:tblPrEx>
          <w:tblCellMar>
            <w:top w:w="0" w:type="dxa"/>
            <w:left w:w="108" w:type="dxa"/>
            <w:bottom w:w="0" w:type="dxa"/>
            <w:right w:w="108" w:type="dxa"/>
          </w:tblCellMar>
        </w:tblPrEx>
        <w:tc>
          <w:tcPr>
            <w:tcW w:w="8840" w:type="dxa"/>
            <w:gridSpan w:val="15"/>
            <w:vAlign w:val="center"/>
          </w:tcPr>
          <w:p w14:paraId="12855096">
            <w:pPr>
              <w:jc w:val="center"/>
            </w:pPr>
            <w:r>
              <w:rPr>
                <w:rFonts w:ascii="宋体" w:hAnsi="宋体" w:eastAsia="宋体"/>
                <w:sz w:val="24"/>
              </w:rPr>
              <w:t>单位整体支出绩效自评表</w:t>
            </w:r>
          </w:p>
        </w:tc>
      </w:tr>
      <w:tr w14:paraId="4DABAA79">
        <w:tblPrEx>
          <w:tblCellMar>
            <w:top w:w="0" w:type="dxa"/>
            <w:left w:w="108" w:type="dxa"/>
            <w:bottom w:w="0" w:type="dxa"/>
            <w:right w:w="108" w:type="dxa"/>
          </w:tblCellMar>
        </w:tblPrEx>
        <w:tc>
          <w:tcPr>
            <w:tcW w:w="8840" w:type="dxa"/>
            <w:gridSpan w:val="15"/>
            <w:vAlign w:val="center"/>
          </w:tcPr>
          <w:p w14:paraId="2478506C">
            <w:pPr>
              <w:jc w:val="center"/>
            </w:pPr>
            <w:r>
              <w:rPr>
                <w:rFonts w:ascii="宋体" w:hAnsi="宋体" w:eastAsia="宋体"/>
                <w:sz w:val="24"/>
              </w:rPr>
              <w:t>（2024年度）</w:t>
            </w:r>
          </w:p>
        </w:tc>
      </w:tr>
      <w:tr w14:paraId="04F3BB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11895">
            <w:pPr>
              <w:jc w:val="center"/>
            </w:pPr>
            <w:r>
              <w:rPr>
                <w:rFonts w:ascii="宋体" w:hAnsi="宋体" w:eastAsia="宋体"/>
                <w:sz w:val="16"/>
              </w:rPr>
              <w:t>单位名称</w:t>
            </w:r>
          </w:p>
        </w:tc>
        <w:tc>
          <w:tcPr>
            <w:tcW w:w="77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8AED5E0">
            <w:pPr>
              <w:jc w:val="center"/>
            </w:pPr>
            <w:r>
              <w:rPr>
                <w:rFonts w:ascii="宋体" w:hAnsi="宋体" w:eastAsia="宋体"/>
                <w:sz w:val="16"/>
              </w:rPr>
              <w:t>托里县生态环境保护中心</w:t>
            </w:r>
          </w:p>
        </w:tc>
      </w:tr>
      <w:tr w14:paraId="11E930B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BB91A">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F6BD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33FFE">
            <w:pPr>
              <w:jc w:val="center"/>
            </w:pPr>
            <w:r>
              <w:rPr>
                <w:rFonts w:ascii="宋体" w:hAnsi="宋体" w:eastAsia="宋体"/>
                <w:sz w:val="16"/>
              </w:rPr>
              <w:t>年初预算数</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AEEFA5">
            <w:pPr>
              <w:jc w:val="center"/>
            </w:pPr>
            <w:r>
              <w:rPr>
                <w:rFonts w:ascii="宋体" w:hAnsi="宋体" w:eastAsia="宋体"/>
                <w:sz w:val="16"/>
              </w:rPr>
              <w:t>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AC9B3">
            <w:pPr>
              <w:jc w:val="center"/>
            </w:pPr>
            <w:r>
              <w:rPr>
                <w:rFonts w:ascii="宋体" w:hAnsi="宋体" w:eastAsia="宋体"/>
                <w:sz w:val="16"/>
              </w:rPr>
              <w:t>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288FC">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50ED8">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45ABF">
            <w:pPr>
              <w:jc w:val="center"/>
            </w:pPr>
            <w:r>
              <w:rPr>
                <w:rFonts w:ascii="宋体" w:hAnsi="宋体" w:eastAsia="宋体"/>
                <w:sz w:val="16"/>
              </w:rPr>
              <w:t>得分</w:t>
            </w:r>
          </w:p>
        </w:tc>
      </w:tr>
      <w:tr w14:paraId="13FE90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7714E0"/>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35E0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C9DDF">
            <w:pPr>
              <w:jc w:val="center"/>
            </w:pPr>
            <w:r>
              <w:rPr>
                <w:rFonts w:ascii="宋体" w:hAnsi="宋体" w:eastAsia="宋体"/>
                <w:sz w:val="16"/>
              </w:rPr>
              <w:t>304.14</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E3CFB1">
            <w:pPr>
              <w:jc w:val="center"/>
            </w:pPr>
            <w:r>
              <w:rPr>
                <w:rFonts w:ascii="宋体" w:hAnsi="宋体" w:eastAsia="宋体"/>
                <w:sz w:val="16"/>
              </w:rPr>
              <w:t>362.35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E4AE2">
            <w:pPr>
              <w:jc w:val="center"/>
            </w:pPr>
            <w:r>
              <w:rPr>
                <w:rFonts w:ascii="宋体" w:hAnsi="宋体" w:eastAsia="宋体"/>
                <w:sz w:val="16"/>
              </w:rPr>
              <w:t>362.35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312B6">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F6EF7">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7CFF">
            <w:pPr>
              <w:jc w:val="center"/>
            </w:pPr>
            <w:r>
              <w:rPr>
                <w:rFonts w:ascii="宋体" w:hAnsi="宋体" w:eastAsia="宋体"/>
                <w:sz w:val="16"/>
              </w:rPr>
              <w:t>10</w:t>
            </w:r>
          </w:p>
        </w:tc>
      </w:tr>
      <w:tr w14:paraId="270C29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0DF085"/>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7D9A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B019D">
            <w:pPr>
              <w:jc w:val="center"/>
            </w:pPr>
            <w:r>
              <w:rPr>
                <w:rFonts w:ascii="宋体" w:hAnsi="宋体" w:eastAsia="宋体"/>
                <w:sz w:val="16"/>
              </w:rPr>
              <w:t>0.00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6DA869">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6A38E">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1FD1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9DEA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A0F1">
            <w:pPr>
              <w:jc w:val="center"/>
            </w:pPr>
            <w:r>
              <w:rPr>
                <w:rFonts w:ascii="宋体" w:hAnsi="宋体" w:eastAsia="宋体"/>
                <w:sz w:val="16"/>
              </w:rPr>
              <w:t>-</w:t>
            </w:r>
          </w:p>
        </w:tc>
      </w:tr>
      <w:tr w14:paraId="517B5C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AE0286"/>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92EE">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B5EF4">
            <w:pPr>
              <w:jc w:val="center"/>
            </w:pPr>
            <w:r>
              <w:rPr>
                <w:rFonts w:ascii="宋体" w:hAnsi="宋体" w:eastAsia="宋体"/>
                <w:sz w:val="16"/>
              </w:rPr>
              <w:t>304.14</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4BDE2B">
            <w:pPr>
              <w:jc w:val="center"/>
            </w:pPr>
            <w:r>
              <w:rPr>
                <w:rFonts w:ascii="宋体" w:hAnsi="宋体" w:eastAsia="宋体"/>
                <w:sz w:val="16"/>
              </w:rPr>
              <w:t>362.35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452C">
            <w:pPr>
              <w:jc w:val="center"/>
            </w:pPr>
            <w:r>
              <w:rPr>
                <w:rFonts w:ascii="宋体" w:hAnsi="宋体" w:eastAsia="宋体"/>
                <w:sz w:val="16"/>
              </w:rPr>
              <w:t>362.35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1840F">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1EF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EFF79">
            <w:pPr>
              <w:jc w:val="center"/>
            </w:pPr>
            <w:r>
              <w:rPr>
                <w:rFonts w:ascii="宋体" w:hAnsi="宋体" w:eastAsia="宋体"/>
                <w:sz w:val="16"/>
              </w:rPr>
              <w:t>-</w:t>
            </w:r>
          </w:p>
        </w:tc>
      </w:tr>
      <w:tr w14:paraId="199FA0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C7559E"/>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D882">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3F514">
            <w:pPr>
              <w:jc w:val="center"/>
            </w:pPr>
            <w:r>
              <w:rPr>
                <w:rFonts w:ascii="宋体" w:hAnsi="宋体" w:eastAsia="宋体"/>
                <w:sz w:val="16"/>
              </w:rPr>
              <w:t>0.00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5EC9BC">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257E3">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5E1D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07AF5">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9CB98">
            <w:pPr>
              <w:jc w:val="center"/>
            </w:pPr>
            <w:r>
              <w:rPr>
                <w:rFonts w:ascii="宋体" w:hAnsi="宋体" w:eastAsia="宋体"/>
                <w:sz w:val="16"/>
              </w:rPr>
              <w:t>-</w:t>
            </w:r>
          </w:p>
        </w:tc>
      </w:tr>
      <w:tr w14:paraId="052BC8B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054FE">
            <w:pPr>
              <w:jc w:val="center"/>
            </w:pPr>
            <w:r>
              <w:rPr>
                <w:rFonts w:ascii="宋体" w:hAnsi="宋体" w:eastAsia="宋体"/>
                <w:sz w:val="16"/>
              </w:rPr>
              <w:t>年度总目标</w:t>
            </w:r>
          </w:p>
        </w:tc>
        <w:tc>
          <w:tcPr>
            <w:tcW w:w="28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766D67">
            <w:pPr>
              <w:jc w:val="center"/>
            </w:pPr>
            <w:r>
              <w:rPr>
                <w:rFonts w:ascii="宋体" w:hAnsi="宋体" w:eastAsia="宋体"/>
                <w:sz w:val="16"/>
              </w:rPr>
              <w:t>预期目标</w:t>
            </w:r>
          </w:p>
        </w:tc>
        <w:tc>
          <w:tcPr>
            <w:tcW w:w="4910"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7391E70">
            <w:pPr>
              <w:jc w:val="center"/>
            </w:pPr>
            <w:r>
              <w:rPr>
                <w:rFonts w:ascii="宋体" w:hAnsi="宋体" w:eastAsia="宋体"/>
                <w:sz w:val="16"/>
              </w:rPr>
              <w:t>实际完成情况</w:t>
            </w:r>
          </w:p>
        </w:tc>
      </w:tr>
      <w:tr w14:paraId="398241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DF0071"/>
        </w:tc>
        <w:tc>
          <w:tcPr>
            <w:tcW w:w="28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642FB6">
            <w:pPr>
              <w:jc w:val="both"/>
            </w:pPr>
            <w:r>
              <w:rPr>
                <w:rFonts w:ascii="宋体" w:hAnsi="宋体" w:eastAsia="宋体"/>
                <w:sz w:val="16"/>
              </w:rPr>
              <w:t>1）完善林区管理办法、谋划退化林修复、补植补造、全年补植补造1800亩，全年死树清理、350亩，病虫害防治林区打药一次，覆盖率100%安全生产等具体工作</w:t>
            </w:r>
            <w:r>
              <w:rPr>
                <w:rFonts w:ascii="宋体" w:hAnsi="宋体" w:eastAsia="宋体"/>
                <w:sz w:val="16"/>
              </w:rPr>
              <w:br w:type="textWrapping"/>
            </w:r>
            <w:r>
              <w:rPr>
                <w:rFonts w:ascii="宋体" w:hAnsi="宋体" w:eastAsia="宋体"/>
                <w:sz w:val="16"/>
              </w:rPr>
              <w:t>（2）完成各类租赁费收缴上交、26眼机电井接供电工作，确保林区安全用电用水工作。</w:t>
            </w:r>
            <w:r>
              <w:rPr>
                <w:rFonts w:ascii="宋体" w:hAnsi="宋体" w:eastAsia="宋体"/>
                <w:sz w:val="16"/>
              </w:rPr>
              <w:br w:type="textWrapping"/>
            </w:r>
            <w:r>
              <w:rPr>
                <w:rFonts w:ascii="宋体" w:hAnsi="宋体" w:eastAsia="宋体"/>
                <w:sz w:val="16"/>
              </w:rPr>
              <w:t>（3）做好病虫害、防火监测、宣传工作，发放宣传单750次，防火演练全年不低于2次，确保林区安全生产。</w:t>
            </w:r>
            <w:r>
              <w:rPr>
                <w:rFonts w:ascii="宋体" w:hAnsi="宋体" w:eastAsia="宋体"/>
                <w:sz w:val="16"/>
              </w:rPr>
              <w:br w:type="textWrapping"/>
            </w:r>
            <w:r>
              <w:rPr>
                <w:rFonts w:ascii="宋体" w:hAnsi="宋体" w:eastAsia="宋体"/>
                <w:sz w:val="16"/>
              </w:rPr>
              <w:t>（4）做好林区林木灌溉、病虫害防治、护林防火及安全隐患排查工作，完成各类工作上半年总结工作。</w:t>
            </w:r>
          </w:p>
        </w:tc>
        <w:tc>
          <w:tcPr>
            <w:tcW w:w="4910"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6C2F87C6">
            <w:pPr>
              <w:jc w:val="both"/>
            </w:pPr>
            <w:r>
              <w:rPr>
                <w:rFonts w:ascii="宋体" w:hAnsi="宋体" w:eastAsia="宋体"/>
                <w:sz w:val="16"/>
              </w:rPr>
              <w:t>2024年度托里县生态环境保护中心全年履职尽责，严格贯彻落实实施防治荒漠化治理，维护生态环境建设成果；负责植树造林，林木抚育管理及生态林病虫害防治工作；积极宣传、贯彻林业的相关</w:t>
            </w:r>
            <w:r>
              <w:rPr>
                <w:rFonts w:hint="eastAsia" w:ascii="宋体" w:hAnsi="宋体"/>
                <w:sz w:val="16"/>
                <w:lang w:eastAsia="zh-CN"/>
              </w:rPr>
              <w:t>法律法规</w:t>
            </w:r>
            <w:r>
              <w:rPr>
                <w:rFonts w:ascii="宋体" w:hAnsi="宋体" w:eastAsia="宋体"/>
                <w:sz w:val="16"/>
              </w:rPr>
              <w:t>、方针、政策，依据《中华人民共和国森林法》的有关规定，做好生态区林木的管护工作；落实森林防火工作责任制，确保生态林健康发展；绿化生态环境以及相关社会服务工作；</w:t>
            </w:r>
            <w:r>
              <w:rPr>
                <w:rFonts w:ascii="宋体" w:hAnsi="宋体" w:eastAsia="宋体"/>
                <w:sz w:val="16"/>
              </w:rPr>
              <w:br w:type="textWrapping"/>
            </w:r>
            <w:r>
              <w:rPr>
                <w:rFonts w:ascii="宋体" w:hAnsi="宋体" w:eastAsia="宋体"/>
                <w:sz w:val="16"/>
              </w:rPr>
              <w:t>全年完成了（1）完善林区管理办法、谋划退化林修复、补植补造、全年补植补造1800亩，全年死树清理、350亩，病虫害防治林区打药一次，覆盖率100%安全生产等具体工作</w:t>
            </w:r>
            <w:r>
              <w:rPr>
                <w:rFonts w:ascii="宋体" w:hAnsi="宋体" w:eastAsia="宋体"/>
                <w:sz w:val="16"/>
              </w:rPr>
              <w:br w:type="textWrapping"/>
            </w:r>
            <w:r>
              <w:rPr>
                <w:rFonts w:ascii="宋体" w:hAnsi="宋体" w:eastAsia="宋体"/>
                <w:sz w:val="16"/>
              </w:rPr>
              <w:t>（2）完成各类租赁费收缴上交、26眼机电井接供电工作，确保林区安全用电用水工作。</w:t>
            </w:r>
            <w:r>
              <w:rPr>
                <w:rFonts w:ascii="宋体" w:hAnsi="宋体" w:eastAsia="宋体"/>
                <w:sz w:val="16"/>
              </w:rPr>
              <w:br w:type="textWrapping"/>
            </w:r>
            <w:r>
              <w:rPr>
                <w:rFonts w:ascii="宋体" w:hAnsi="宋体" w:eastAsia="宋体"/>
                <w:sz w:val="16"/>
              </w:rPr>
              <w:t>（3）做好病虫害、防火监测、宣传工作，发放宣传单750次，防火演练全年2次，确保林区安全生产。</w:t>
            </w:r>
            <w:r>
              <w:rPr>
                <w:rFonts w:ascii="宋体" w:hAnsi="宋体" w:eastAsia="宋体"/>
                <w:sz w:val="16"/>
              </w:rPr>
              <w:br w:type="textWrapping"/>
            </w:r>
            <w:r>
              <w:rPr>
                <w:rFonts w:ascii="宋体" w:hAnsi="宋体" w:eastAsia="宋体"/>
                <w:sz w:val="16"/>
              </w:rPr>
              <w:t>（4）做好林区林木灌溉、病虫害防治、护林防火及安全隐患排查工作，完成各类工作总结。</w:t>
            </w:r>
          </w:p>
        </w:tc>
      </w:tr>
      <w:tr w14:paraId="5CD7FA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C98ED">
            <w:pPr>
              <w:jc w:val="center"/>
            </w:pPr>
            <w:r>
              <w:rPr>
                <w:rFonts w:ascii="宋体" w:hAnsi="宋体" w:eastAsia="宋体"/>
                <w:sz w:val="16"/>
              </w:rPr>
              <w:t>一级指标</w:t>
            </w:r>
          </w:p>
        </w:tc>
        <w:tc>
          <w:tcPr>
            <w:tcW w:w="997" w:type="dxa"/>
            <w:tcBorders>
              <w:top w:val="single" w:color="auto" w:sz="10" w:space="0"/>
              <w:left w:val="single" w:color="auto" w:sz="10" w:space="0"/>
              <w:bottom w:val="single" w:color="auto" w:sz="10" w:space="0"/>
              <w:right w:val="single" w:color="auto" w:sz="10" w:space="0"/>
              <w:insideV w:val="single" w:sz="10" w:space="0"/>
            </w:tcBorders>
            <w:vAlign w:val="center"/>
          </w:tcPr>
          <w:p w14:paraId="0B74A415">
            <w:pPr>
              <w:jc w:val="center"/>
            </w:pPr>
            <w:r>
              <w:rPr>
                <w:rFonts w:ascii="宋体" w:hAnsi="宋体" w:eastAsia="宋体"/>
                <w:sz w:val="16"/>
              </w:rPr>
              <w:t>二级指标</w:t>
            </w:r>
          </w:p>
        </w:tc>
        <w:tc>
          <w:tcPr>
            <w:tcW w:w="16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3769E0">
            <w:pPr>
              <w:jc w:val="center"/>
            </w:pPr>
            <w:r>
              <w:rPr>
                <w:rFonts w:ascii="宋体" w:hAnsi="宋体" w:eastAsia="宋体"/>
                <w:sz w:val="16"/>
              </w:rPr>
              <w:t>三级指标</w:t>
            </w:r>
          </w:p>
        </w:tc>
        <w:tc>
          <w:tcPr>
            <w:tcW w:w="10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2FAD58">
            <w:pPr>
              <w:jc w:val="center"/>
            </w:pPr>
            <w:r>
              <w:rPr>
                <w:rFonts w:ascii="宋体" w:hAnsi="宋体" w:eastAsia="宋体"/>
                <w:sz w:val="16"/>
              </w:rPr>
              <w:t>指标值</w:t>
            </w:r>
          </w:p>
        </w:tc>
        <w:tc>
          <w:tcPr>
            <w:tcW w:w="13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FC7FF">
            <w:pPr>
              <w:jc w:val="center"/>
            </w:pPr>
            <w:r>
              <w:rPr>
                <w:rFonts w:ascii="宋体" w:hAnsi="宋体" w:eastAsia="宋体"/>
                <w:sz w:val="16"/>
              </w:rPr>
              <w:t>指标设定依据</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19A7C">
            <w:pPr>
              <w:jc w:val="center"/>
            </w:pPr>
            <w:r>
              <w:rPr>
                <w:rFonts w:ascii="宋体" w:hAnsi="宋体" w:eastAsia="宋体"/>
                <w:sz w:val="16"/>
              </w:rPr>
              <w:t>分值权重</w:t>
            </w:r>
          </w:p>
        </w:tc>
        <w:tc>
          <w:tcPr>
            <w:tcW w:w="10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B16DD">
            <w:pPr>
              <w:jc w:val="center"/>
            </w:pPr>
            <w:r>
              <w:rPr>
                <w:rFonts w:ascii="宋体" w:hAnsi="宋体" w:eastAsia="宋体"/>
                <w:sz w:val="16"/>
              </w:rPr>
              <w:t>实际完成值</w:t>
            </w:r>
          </w:p>
        </w:tc>
        <w:tc>
          <w:tcPr>
            <w:tcW w:w="747" w:type="dxa"/>
            <w:tcBorders>
              <w:top w:val="single" w:color="auto" w:sz="10" w:space="0"/>
              <w:left w:val="single" w:color="auto" w:sz="10" w:space="0"/>
              <w:bottom w:val="single" w:color="auto" w:sz="10" w:space="0"/>
              <w:right w:val="single" w:color="auto" w:sz="10" w:space="0"/>
              <w:insideV w:val="single" w:sz="10" w:space="0"/>
            </w:tcBorders>
            <w:vAlign w:val="center"/>
          </w:tcPr>
          <w:p w14:paraId="092473B9">
            <w:pPr>
              <w:jc w:val="center"/>
            </w:pPr>
            <w:r>
              <w:rPr>
                <w:rFonts w:ascii="宋体" w:hAnsi="宋体" w:eastAsia="宋体"/>
                <w:sz w:val="16"/>
              </w:rPr>
              <w:t>得分</w:t>
            </w:r>
          </w:p>
        </w:tc>
      </w:tr>
      <w:tr w14:paraId="3A8389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3BE0F">
            <w:pPr>
              <w:jc w:val="center"/>
            </w:pPr>
            <w:r>
              <w:rPr>
                <w:rFonts w:ascii="宋体" w:hAnsi="宋体" w:eastAsia="宋体"/>
                <w:sz w:val="16"/>
              </w:rPr>
              <w:t>履职效能</w:t>
            </w:r>
          </w:p>
        </w:tc>
        <w:tc>
          <w:tcPr>
            <w:tcW w:w="9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3BA4C">
            <w:pPr>
              <w:jc w:val="center"/>
            </w:pPr>
            <w:r>
              <w:rPr>
                <w:rFonts w:ascii="宋体" w:hAnsi="宋体" w:eastAsia="宋体"/>
                <w:sz w:val="16"/>
              </w:rPr>
              <w:t>数量指标</w:t>
            </w:r>
          </w:p>
        </w:tc>
        <w:tc>
          <w:tcPr>
            <w:tcW w:w="16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4E6374">
            <w:pPr>
              <w:jc w:val="center"/>
            </w:pPr>
            <w:r>
              <w:rPr>
                <w:rFonts w:ascii="宋体" w:hAnsi="宋体" w:eastAsia="宋体"/>
                <w:sz w:val="16"/>
              </w:rPr>
              <w:t>开展防灭火演练次数</w:t>
            </w:r>
          </w:p>
        </w:tc>
        <w:tc>
          <w:tcPr>
            <w:tcW w:w="10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C8674F">
            <w:pPr>
              <w:jc w:val="center"/>
            </w:pPr>
            <w:r>
              <w:rPr>
                <w:rFonts w:ascii="宋体" w:hAnsi="宋体" w:eastAsia="宋体"/>
                <w:sz w:val="16"/>
              </w:rPr>
              <w:t>&gt;=2次</w:t>
            </w:r>
          </w:p>
        </w:tc>
        <w:tc>
          <w:tcPr>
            <w:tcW w:w="13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A2F9B">
            <w:pPr>
              <w:jc w:val="center"/>
            </w:pPr>
            <w:r>
              <w:rPr>
                <w:rFonts w:ascii="宋体" w:hAnsi="宋体" w:eastAsia="宋体"/>
                <w:sz w:val="16"/>
              </w:rPr>
              <w:t>2024年重点工作</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05D7">
            <w:pPr>
              <w:jc w:val="center"/>
            </w:pPr>
            <w:r>
              <w:rPr>
                <w:rFonts w:ascii="宋体" w:hAnsi="宋体" w:eastAsia="宋体"/>
                <w:sz w:val="16"/>
              </w:rPr>
              <w:t>15</w:t>
            </w:r>
          </w:p>
        </w:tc>
        <w:tc>
          <w:tcPr>
            <w:tcW w:w="10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03A6A">
            <w:pPr>
              <w:jc w:val="center"/>
            </w:pPr>
            <w:r>
              <w:rPr>
                <w:rFonts w:ascii="宋体" w:hAnsi="宋体" w:eastAsia="宋体"/>
                <w:sz w:val="16"/>
              </w:rPr>
              <w:t>2次</w:t>
            </w:r>
          </w:p>
        </w:tc>
        <w:tc>
          <w:tcPr>
            <w:tcW w:w="747" w:type="dxa"/>
            <w:tcBorders>
              <w:top w:val="single" w:color="auto" w:sz="10" w:space="0"/>
              <w:left w:val="single" w:color="auto" w:sz="10" w:space="0"/>
              <w:bottom w:val="single" w:color="auto" w:sz="10" w:space="0"/>
              <w:right w:val="single" w:color="auto" w:sz="10" w:space="0"/>
              <w:insideV w:val="single" w:sz="10" w:space="0"/>
            </w:tcBorders>
            <w:vAlign w:val="center"/>
          </w:tcPr>
          <w:p w14:paraId="73E5E0E2">
            <w:pPr>
              <w:jc w:val="center"/>
            </w:pPr>
            <w:r>
              <w:rPr>
                <w:rFonts w:ascii="宋体" w:hAnsi="宋体" w:eastAsia="宋体"/>
                <w:sz w:val="16"/>
              </w:rPr>
              <w:t>15</w:t>
            </w:r>
          </w:p>
        </w:tc>
      </w:tr>
      <w:tr w14:paraId="3CF76C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8D328A"/>
        </w:tc>
        <w:tc>
          <w:tcPr>
            <w:tcW w:w="997" w:type="dxa"/>
            <w:vMerge w:val="continue"/>
            <w:tcBorders>
              <w:top w:val="single" w:color="auto" w:sz="10" w:space="0"/>
              <w:left w:val="single" w:color="auto" w:sz="10" w:space="0"/>
              <w:bottom w:val="single" w:color="auto" w:sz="10" w:space="0"/>
              <w:right w:val="single" w:color="auto" w:sz="10" w:space="0"/>
              <w:insideV w:val="single" w:sz="10" w:space="0"/>
            </w:tcBorders>
          </w:tcPr>
          <w:p w14:paraId="6BDE5B0D"/>
        </w:tc>
        <w:tc>
          <w:tcPr>
            <w:tcW w:w="16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F88862">
            <w:pPr>
              <w:jc w:val="center"/>
            </w:pPr>
            <w:r>
              <w:rPr>
                <w:rFonts w:ascii="宋体" w:hAnsi="宋体" w:eastAsia="宋体"/>
                <w:sz w:val="16"/>
              </w:rPr>
              <w:t>枯死树清理面积</w:t>
            </w:r>
          </w:p>
        </w:tc>
        <w:tc>
          <w:tcPr>
            <w:tcW w:w="10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CF763A">
            <w:pPr>
              <w:jc w:val="center"/>
            </w:pPr>
            <w:r>
              <w:rPr>
                <w:rFonts w:ascii="宋体" w:hAnsi="宋体" w:eastAsia="宋体"/>
                <w:sz w:val="16"/>
              </w:rPr>
              <w:t>&gt;=350亩</w:t>
            </w:r>
          </w:p>
        </w:tc>
        <w:tc>
          <w:tcPr>
            <w:tcW w:w="13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606FA">
            <w:pPr>
              <w:jc w:val="center"/>
            </w:pPr>
            <w:r>
              <w:rPr>
                <w:rFonts w:ascii="宋体" w:hAnsi="宋体" w:eastAsia="宋体"/>
                <w:sz w:val="16"/>
              </w:rPr>
              <w:t>2024年重点工作</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DF01E">
            <w:pPr>
              <w:jc w:val="center"/>
            </w:pPr>
            <w:r>
              <w:rPr>
                <w:rFonts w:ascii="宋体" w:hAnsi="宋体" w:eastAsia="宋体"/>
                <w:sz w:val="16"/>
              </w:rPr>
              <w:t>15</w:t>
            </w:r>
          </w:p>
        </w:tc>
        <w:tc>
          <w:tcPr>
            <w:tcW w:w="10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78F3">
            <w:pPr>
              <w:jc w:val="center"/>
            </w:pPr>
            <w:r>
              <w:rPr>
                <w:rFonts w:ascii="宋体" w:hAnsi="宋体" w:eastAsia="宋体"/>
                <w:sz w:val="16"/>
              </w:rPr>
              <w:t>350亩</w:t>
            </w:r>
          </w:p>
        </w:tc>
        <w:tc>
          <w:tcPr>
            <w:tcW w:w="747" w:type="dxa"/>
            <w:tcBorders>
              <w:top w:val="single" w:color="auto" w:sz="10" w:space="0"/>
              <w:left w:val="single" w:color="auto" w:sz="10" w:space="0"/>
              <w:bottom w:val="single" w:color="auto" w:sz="10" w:space="0"/>
              <w:right w:val="single" w:color="auto" w:sz="10" w:space="0"/>
              <w:insideV w:val="single" w:sz="10" w:space="0"/>
            </w:tcBorders>
            <w:vAlign w:val="center"/>
          </w:tcPr>
          <w:p w14:paraId="3A204CCA">
            <w:pPr>
              <w:jc w:val="center"/>
            </w:pPr>
            <w:r>
              <w:rPr>
                <w:rFonts w:ascii="宋体" w:hAnsi="宋体" w:eastAsia="宋体"/>
                <w:sz w:val="16"/>
              </w:rPr>
              <w:t>15</w:t>
            </w:r>
          </w:p>
        </w:tc>
      </w:tr>
      <w:tr w14:paraId="476ED3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57C3A8"/>
        </w:tc>
        <w:tc>
          <w:tcPr>
            <w:tcW w:w="997" w:type="dxa"/>
            <w:vMerge w:val="continue"/>
            <w:tcBorders>
              <w:top w:val="single" w:color="auto" w:sz="10" w:space="0"/>
              <w:left w:val="single" w:color="auto" w:sz="10" w:space="0"/>
              <w:bottom w:val="single" w:color="auto" w:sz="10" w:space="0"/>
              <w:right w:val="single" w:color="auto" w:sz="10" w:space="0"/>
              <w:insideV w:val="single" w:sz="10" w:space="0"/>
            </w:tcBorders>
          </w:tcPr>
          <w:p w14:paraId="331340F6"/>
        </w:tc>
        <w:tc>
          <w:tcPr>
            <w:tcW w:w="16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3DD46D">
            <w:pPr>
              <w:jc w:val="center"/>
            </w:pPr>
            <w:r>
              <w:rPr>
                <w:rFonts w:ascii="宋体" w:hAnsi="宋体" w:eastAsia="宋体"/>
                <w:sz w:val="16"/>
              </w:rPr>
              <w:t>发放防火传单数量</w:t>
            </w:r>
          </w:p>
        </w:tc>
        <w:tc>
          <w:tcPr>
            <w:tcW w:w="10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422ED7">
            <w:pPr>
              <w:jc w:val="center"/>
            </w:pPr>
            <w:r>
              <w:rPr>
                <w:rFonts w:ascii="宋体" w:hAnsi="宋体" w:eastAsia="宋体"/>
                <w:sz w:val="16"/>
              </w:rPr>
              <w:t>&gt;=750次</w:t>
            </w:r>
          </w:p>
        </w:tc>
        <w:tc>
          <w:tcPr>
            <w:tcW w:w="13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43CB9">
            <w:pPr>
              <w:jc w:val="center"/>
            </w:pPr>
            <w:r>
              <w:rPr>
                <w:rFonts w:ascii="宋体" w:hAnsi="宋体" w:eastAsia="宋体"/>
                <w:sz w:val="16"/>
              </w:rPr>
              <w:t>2024年重点工作</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5AE1">
            <w:pPr>
              <w:jc w:val="center"/>
            </w:pPr>
            <w:r>
              <w:rPr>
                <w:rFonts w:ascii="宋体" w:hAnsi="宋体" w:eastAsia="宋体"/>
                <w:sz w:val="16"/>
              </w:rPr>
              <w:t>15</w:t>
            </w:r>
          </w:p>
        </w:tc>
        <w:tc>
          <w:tcPr>
            <w:tcW w:w="10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28C62">
            <w:pPr>
              <w:jc w:val="center"/>
            </w:pPr>
            <w:r>
              <w:rPr>
                <w:rFonts w:ascii="宋体" w:hAnsi="宋体" w:eastAsia="宋体"/>
                <w:sz w:val="16"/>
              </w:rPr>
              <w:t>750次</w:t>
            </w:r>
          </w:p>
        </w:tc>
        <w:tc>
          <w:tcPr>
            <w:tcW w:w="747" w:type="dxa"/>
            <w:tcBorders>
              <w:top w:val="single" w:color="auto" w:sz="10" w:space="0"/>
              <w:left w:val="single" w:color="auto" w:sz="10" w:space="0"/>
              <w:bottom w:val="single" w:color="auto" w:sz="10" w:space="0"/>
              <w:right w:val="single" w:color="auto" w:sz="10" w:space="0"/>
              <w:insideV w:val="single" w:sz="10" w:space="0"/>
            </w:tcBorders>
            <w:vAlign w:val="center"/>
          </w:tcPr>
          <w:p w14:paraId="2A83E5EC">
            <w:pPr>
              <w:jc w:val="center"/>
            </w:pPr>
            <w:r>
              <w:rPr>
                <w:rFonts w:ascii="宋体" w:hAnsi="宋体" w:eastAsia="宋体"/>
                <w:sz w:val="16"/>
              </w:rPr>
              <w:t>15</w:t>
            </w:r>
          </w:p>
        </w:tc>
      </w:tr>
      <w:tr w14:paraId="7D5EF5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B7ADE9"/>
        </w:tc>
        <w:tc>
          <w:tcPr>
            <w:tcW w:w="997" w:type="dxa"/>
            <w:vMerge w:val="continue"/>
            <w:tcBorders>
              <w:top w:val="single" w:color="auto" w:sz="10" w:space="0"/>
              <w:left w:val="single" w:color="auto" w:sz="10" w:space="0"/>
              <w:bottom w:val="single" w:color="auto" w:sz="10" w:space="0"/>
              <w:right w:val="single" w:color="auto" w:sz="10" w:space="0"/>
              <w:insideV w:val="single" w:sz="10" w:space="0"/>
            </w:tcBorders>
          </w:tcPr>
          <w:p w14:paraId="731FF05F"/>
        </w:tc>
        <w:tc>
          <w:tcPr>
            <w:tcW w:w="16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3BBD0E">
            <w:pPr>
              <w:jc w:val="center"/>
            </w:pPr>
            <w:r>
              <w:rPr>
                <w:rFonts w:ascii="宋体" w:hAnsi="宋体" w:eastAsia="宋体"/>
                <w:sz w:val="16"/>
              </w:rPr>
              <w:t>管护机电井数量</w:t>
            </w:r>
          </w:p>
        </w:tc>
        <w:tc>
          <w:tcPr>
            <w:tcW w:w="10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435AAA">
            <w:pPr>
              <w:jc w:val="center"/>
            </w:pPr>
            <w:r>
              <w:rPr>
                <w:rFonts w:ascii="宋体" w:hAnsi="宋体" w:eastAsia="宋体"/>
                <w:sz w:val="16"/>
              </w:rPr>
              <w:t>&gt;=26眼</w:t>
            </w:r>
          </w:p>
        </w:tc>
        <w:tc>
          <w:tcPr>
            <w:tcW w:w="13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8A61F">
            <w:pPr>
              <w:jc w:val="center"/>
            </w:pPr>
            <w:r>
              <w:rPr>
                <w:rFonts w:ascii="宋体" w:hAnsi="宋体" w:eastAsia="宋体"/>
                <w:sz w:val="16"/>
              </w:rPr>
              <w:t>2024年重点工作</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99476">
            <w:pPr>
              <w:jc w:val="center"/>
            </w:pPr>
            <w:r>
              <w:rPr>
                <w:rFonts w:ascii="宋体" w:hAnsi="宋体" w:eastAsia="宋体"/>
                <w:sz w:val="16"/>
              </w:rPr>
              <w:t>15</w:t>
            </w:r>
          </w:p>
        </w:tc>
        <w:tc>
          <w:tcPr>
            <w:tcW w:w="10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4C670">
            <w:pPr>
              <w:jc w:val="center"/>
            </w:pPr>
            <w:r>
              <w:rPr>
                <w:rFonts w:ascii="宋体" w:hAnsi="宋体" w:eastAsia="宋体"/>
                <w:sz w:val="16"/>
              </w:rPr>
              <w:t>26眼</w:t>
            </w:r>
          </w:p>
        </w:tc>
        <w:tc>
          <w:tcPr>
            <w:tcW w:w="747" w:type="dxa"/>
            <w:tcBorders>
              <w:top w:val="single" w:color="auto" w:sz="10" w:space="0"/>
              <w:left w:val="single" w:color="auto" w:sz="10" w:space="0"/>
              <w:bottom w:val="single" w:color="auto" w:sz="10" w:space="0"/>
              <w:right w:val="single" w:color="auto" w:sz="10" w:space="0"/>
              <w:insideV w:val="single" w:sz="10" w:space="0"/>
            </w:tcBorders>
            <w:vAlign w:val="center"/>
          </w:tcPr>
          <w:p w14:paraId="54F85D98">
            <w:pPr>
              <w:jc w:val="center"/>
            </w:pPr>
            <w:r>
              <w:rPr>
                <w:rFonts w:ascii="宋体" w:hAnsi="宋体" w:eastAsia="宋体"/>
                <w:sz w:val="16"/>
              </w:rPr>
              <w:t>15</w:t>
            </w:r>
          </w:p>
        </w:tc>
      </w:tr>
      <w:tr w14:paraId="67E5F8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95F049"/>
        </w:tc>
        <w:tc>
          <w:tcPr>
            <w:tcW w:w="997" w:type="dxa"/>
            <w:vMerge w:val="continue"/>
            <w:tcBorders>
              <w:top w:val="single" w:color="auto" w:sz="10" w:space="0"/>
              <w:left w:val="single" w:color="auto" w:sz="10" w:space="0"/>
              <w:bottom w:val="single" w:color="auto" w:sz="10" w:space="0"/>
              <w:right w:val="single" w:color="auto" w:sz="10" w:space="0"/>
              <w:insideV w:val="single" w:sz="10" w:space="0"/>
            </w:tcBorders>
          </w:tcPr>
          <w:p w14:paraId="031391F8"/>
        </w:tc>
        <w:tc>
          <w:tcPr>
            <w:tcW w:w="16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65C483">
            <w:pPr>
              <w:jc w:val="center"/>
            </w:pPr>
            <w:r>
              <w:rPr>
                <w:rFonts w:ascii="宋体" w:hAnsi="宋体" w:eastAsia="宋体"/>
                <w:sz w:val="16"/>
              </w:rPr>
              <w:t>补植补造面积</w:t>
            </w:r>
          </w:p>
        </w:tc>
        <w:tc>
          <w:tcPr>
            <w:tcW w:w="10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228BF4">
            <w:pPr>
              <w:jc w:val="center"/>
            </w:pPr>
            <w:r>
              <w:rPr>
                <w:rFonts w:ascii="宋体" w:hAnsi="宋体" w:eastAsia="宋体"/>
                <w:sz w:val="16"/>
              </w:rPr>
              <w:t>&gt;=1800亩</w:t>
            </w:r>
          </w:p>
        </w:tc>
        <w:tc>
          <w:tcPr>
            <w:tcW w:w="13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8FB27">
            <w:pPr>
              <w:jc w:val="center"/>
            </w:pPr>
            <w:r>
              <w:rPr>
                <w:rFonts w:ascii="宋体" w:hAnsi="宋体" w:eastAsia="宋体"/>
                <w:sz w:val="16"/>
              </w:rPr>
              <w:t>2024年重点工作</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98765">
            <w:pPr>
              <w:jc w:val="center"/>
            </w:pPr>
            <w:r>
              <w:rPr>
                <w:rFonts w:ascii="宋体" w:hAnsi="宋体" w:eastAsia="宋体"/>
                <w:sz w:val="16"/>
              </w:rPr>
              <w:t>15</w:t>
            </w:r>
          </w:p>
        </w:tc>
        <w:tc>
          <w:tcPr>
            <w:tcW w:w="10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6BCDA">
            <w:pPr>
              <w:jc w:val="center"/>
            </w:pPr>
            <w:r>
              <w:rPr>
                <w:rFonts w:ascii="宋体" w:hAnsi="宋体" w:eastAsia="宋体"/>
                <w:sz w:val="16"/>
              </w:rPr>
              <w:t>1800亩</w:t>
            </w:r>
          </w:p>
        </w:tc>
        <w:tc>
          <w:tcPr>
            <w:tcW w:w="747" w:type="dxa"/>
            <w:tcBorders>
              <w:top w:val="single" w:color="auto" w:sz="10" w:space="0"/>
              <w:left w:val="single" w:color="auto" w:sz="10" w:space="0"/>
              <w:bottom w:val="single" w:color="auto" w:sz="10" w:space="0"/>
              <w:right w:val="single" w:color="auto" w:sz="10" w:space="0"/>
              <w:insideV w:val="single" w:sz="10" w:space="0"/>
            </w:tcBorders>
            <w:vAlign w:val="center"/>
          </w:tcPr>
          <w:p w14:paraId="1746BF1A">
            <w:pPr>
              <w:jc w:val="center"/>
            </w:pPr>
            <w:r>
              <w:rPr>
                <w:rFonts w:ascii="宋体" w:hAnsi="宋体" w:eastAsia="宋体"/>
                <w:sz w:val="16"/>
              </w:rPr>
              <w:t>15</w:t>
            </w:r>
          </w:p>
        </w:tc>
      </w:tr>
      <w:tr w14:paraId="52F63E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EC1FA5"/>
        </w:tc>
        <w:tc>
          <w:tcPr>
            <w:tcW w:w="997" w:type="dxa"/>
            <w:vMerge w:val="continue"/>
            <w:tcBorders>
              <w:top w:val="single" w:color="auto" w:sz="10" w:space="0"/>
              <w:left w:val="single" w:color="auto" w:sz="10" w:space="0"/>
              <w:bottom w:val="single" w:color="auto" w:sz="10" w:space="0"/>
              <w:right w:val="single" w:color="auto" w:sz="10" w:space="0"/>
              <w:insideV w:val="single" w:sz="10" w:space="0"/>
            </w:tcBorders>
          </w:tcPr>
          <w:p w14:paraId="74B6E771"/>
        </w:tc>
        <w:tc>
          <w:tcPr>
            <w:tcW w:w="16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FA8BB3">
            <w:pPr>
              <w:jc w:val="center"/>
            </w:pPr>
            <w:r>
              <w:rPr>
                <w:rFonts w:ascii="宋体" w:hAnsi="宋体" w:eastAsia="宋体"/>
                <w:sz w:val="16"/>
              </w:rPr>
              <w:t>林区打药覆盖率</w:t>
            </w:r>
          </w:p>
        </w:tc>
        <w:tc>
          <w:tcPr>
            <w:tcW w:w="10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1B7955">
            <w:pPr>
              <w:jc w:val="center"/>
            </w:pPr>
            <w:r>
              <w:rPr>
                <w:rFonts w:ascii="宋体" w:hAnsi="宋体" w:eastAsia="宋体"/>
                <w:sz w:val="16"/>
              </w:rPr>
              <w:t>=100%</w:t>
            </w:r>
          </w:p>
        </w:tc>
        <w:tc>
          <w:tcPr>
            <w:tcW w:w="13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763B2">
            <w:pPr>
              <w:jc w:val="center"/>
            </w:pPr>
            <w:r>
              <w:rPr>
                <w:rFonts w:ascii="宋体" w:hAnsi="宋体" w:eastAsia="宋体"/>
                <w:sz w:val="16"/>
              </w:rPr>
              <w:t>2024年重点工作</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CC52C">
            <w:pPr>
              <w:jc w:val="center"/>
            </w:pPr>
            <w:r>
              <w:rPr>
                <w:rFonts w:ascii="宋体" w:hAnsi="宋体" w:eastAsia="宋体"/>
                <w:sz w:val="16"/>
              </w:rPr>
              <w:t>15</w:t>
            </w:r>
          </w:p>
        </w:tc>
        <w:tc>
          <w:tcPr>
            <w:tcW w:w="10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3C568">
            <w:pPr>
              <w:jc w:val="center"/>
            </w:pPr>
            <w:r>
              <w:rPr>
                <w:rFonts w:ascii="宋体" w:hAnsi="宋体" w:eastAsia="宋体"/>
                <w:sz w:val="16"/>
              </w:rPr>
              <w:t>100%</w:t>
            </w:r>
          </w:p>
        </w:tc>
        <w:tc>
          <w:tcPr>
            <w:tcW w:w="747" w:type="dxa"/>
            <w:tcBorders>
              <w:top w:val="single" w:color="auto" w:sz="10" w:space="0"/>
              <w:left w:val="single" w:color="auto" w:sz="10" w:space="0"/>
              <w:bottom w:val="single" w:color="auto" w:sz="10" w:space="0"/>
              <w:right w:val="single" w:color="auto" w:sz="10" w:space="0"/>
              <w:insideV w:val="single" w:sz="10" w:space="0"/>
            </w:tcBorders>
            <w:vAlign w:val="center"/>
          </w:tcPr>
          <w:p w14:paraId="36139A33">
            <w:pPr>
              <w:jc w:val="center"/>
            </w:pPr>
            <w:r>
              <w:rPr>
                <w:rFonts w:ascii="宋体" w:hAnsi="宋体" w:eastAsia="宋体"/>
                <w:sz w:val="16"/>
              </w:rPr>
              <w:t>15</w:t>
            </w:r>
          </w:p>
        </w:tc>
      </w:tr>
    </w:tbl>
    <w:p w14:paraId="6BCAAF79">
      <w:r>
        <w:br w:type="page"/>
      </w:r>
    </w:p>
    <w:p w14:paraId="10DBF05B">
      <w:pPr>
        <w:spacing w:line="640" w:lineRule="exact"/>
        <w:ind w:firstLine="640"/>
        <w:jc w:val="both"/>
        <w:outlineLvl w:val="2"/>
      </w:pPr>
      <w:r>
        <w:rPr>
          <w:rFonts w:ascii="黑体" w:hAnsi="黑体" w:eastAsia="黑体"/>
          <w:sz w:val="32"/>
        </w:rPr>
        <w:t>十二、其他需说明的事项</w:t>
      </w:r>
    </w:p>
    <w:p w14:paraId="772B0B25">
      <w:pPr>
        <w:spacing w:line="580" w:lineRule="exact"/>
        <w:ind w:firstLine="640"/>
        <w:jc w:val="both"/>
      </w:pPr>
      <w:r>
        <w:rPr>
          <w:rFonts w:ascii="仿宋_GB2312" w:hAnsi="仿宋_GB2312" w:eastAsia="仿宋_GB2312"/>
          <w:b w:val="0"/>
          <w:sz w:val="32"/>
        </w:rPr>
        <w:t>本单位无其他需说明的事项。</w:t>
      </w:r>
    </w:p>
    <w:p w14:paraId="58036A45">
      <w:r>
        <w:br w:type="page"/>
      </w:r>
    </w:p>
    <w:p w14:paraId="06CFCCAD">
      <w:pPr>
        <w:spacing w:line="240" w:lineRule="auto"/>
        <w:jc w:val="center"/>
        <w:outlineLvl w:val="1"/>
      </w:pPr>
      <w:r>
        <w:rPr>
          <w:rFonts w:ascii="黑体" w:hAnsi="黑体" w:eastAsia="黑体"/>
          <w:sz w:val="32"/>
        </w:rPr>
        <w:t>第三部分 专业名词解释</w:t>
      </w:r>
    </w:p>
    <w:p w14:paraId="6919787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532BE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2C0A2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DA21D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F75C12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331D2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7F4E1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91147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80D1C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1C373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753BD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2C1D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D7171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9FD1B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46C538">
      <w:r>
        <w:br w:type="page"/>
      </w:r>
    </w:p>
    <w:p w14:paraId="451DC704">
      <w:pPr>
        <w:spacing w:line="240" w:lineRule="auto"/>
        <w:jc w:val="center"/>
        <w:outlineLvl w:val="1"/>
      </w:pPr>
      <w:r>
        <w:rPr>
          <w:rFonts w:ascii="黑体" w:hAnsi="黑体" w:eastAsia="黑体"/>
          <w:sz w:val="32"/>
        </w:rPr>
        <w:t>第四部分 部门决算报表（见附表）</w:t>
      </w:r>
    </w:p>
    <w:p w14:paraId="20E8EBF6">
      <w:pPr>
        <w:spacing w:line="240" w:lineRule="auto"/>
        <w:ind w:firstLine="640"/>
        <w:jc w:val="both"/>
      </w:pPr>
      <w:r>
        <w:rPr>
          <w:rFonts w:ascii="仿宋_GB2312" w:hAnsi="仿宋_GB2312" w:eastAsia="仿宋_GB2312"/>
          <w:b w:val="0"/>
          <w:sz w:val="32"/>
        </w:rPr>
        <w:t>一、《收入支出决算总表》</w:t>
      </w:r>
    </w:p>
    <w:p w14:paraId="09DFD90B">
      <w:pPr>
        <w:spacing w:line="240" w:lineRule="auto"/>
        <w:ind w:firstLine="640"/>
        <w:jc w:val="both"/>
      </w:pPr>
      <w:r>
        <w:rPr>
          <w:rFonts w:ascii="仿宋_GB2312" w:hAnsi="仿宋_GB2312" w:eastAsia="仿宋_GB2312"/>
          <w:b w:val="0"/>
          <w:sz w:val="32"/>
        </w:rPr>
        <w:t>二、《收入决算表》</w:t>
      </w:r>
    </w:p>
    <w:p w14:paraId="14A3EF43">
      <w:pPr>
        <w:spacing w:line="240" w:lineRule="auto"/>
        <w:ind w:firstLine="640"/>
        <w:jc w:val="both"/>
      </w:pPr>
      <w:r>
        <w:rPr>
          <w:rFonts w:ascii="仿宋_GB2312" w:hAnsi="仿宋_GB2312" w:eastAsia="仿宋_GB2312"/>
          <w:b w:val="0"/>
          <w:sz w:val="32"/>
        </w:rPr>
        <w:t>三、《支出决算表》</w:t>
      </w:r>
    </w:p>
    <w:p w14:paraId="39970B2B">
      <w:pPr>
        <w:spacing w:line="240" w:lineRule="auto"/>
        <w:ind w:firstLine="640"/>
        <w:jc w:val="both"/>
      </w:pPr>
      <w:r>
        <w:rPr>
          <w:rFonts w:ascii="仿宋_GB2312" w:hAnsi="仿宋_GB2312" w:eastAsia="仿宋_GB2312"/>
          <w:b w:val="0"/>
          <w:sz w:val="32"/>
        </w:rPr>
        <w:t>四、《财政拨款收入支出决算总表》</w:t>
      </w:r>
    </w:p>
    <w:p w14:paraId="74DE163B">
      <w:pPr>
        <w:spacing w:line="240" w:lineRule="auto"/>
        <w:ind w:firstLine="640"/>
        <w:jc w:val="both"/>
      </w:pPr>
      <w:r>
        <w:rPr>
          <w:rFonts w:ascii="仿宋_GB2312" w:hAnsi="仿宋_GB2312" w:eastAsia="仿宋_GB2312"/>
          <w:b w:val="0"/>
          <w:sz w:val="32"/>
        </w:rPr>
        <w:t>五、《一般公共预算财政拨款支出决算表》</w:t>
      </w:r>
    </w:p>
    <w:p w14:paraId="1EA2B89E">
      <w:pPr>
        <w:spacing w:line="240" w:lineRule="auto"/>
        <w:ind w:firstLine="640"/>
        <w:jc w:val="both"/>
      </w:pPr>
      <w:r>
        <w:rPr>
          <w:rFonts w:ascii="仿宋_GB2312" w:hAnsi="仿宋_GB2312" w:eastAsia="仿宋_GB2312"/>
          <w:b w:val="0"/>
          <w:sz w:val="32"/>
        </w:rPr>
        <w:t>六、《一般公共预算财政拨款基本支出决算表》</w:t>
      </w:r>
    </w:p>
    <w:p w14:paraId="17E74B7F">
      <w:pPr>
        <w:spacing w:line="240" w:lineRule="auto"/>
        <w:ind w:firstLine="640"/>
        <w:jc w:val="both"/>
      </w:pPr>
      <w:r>
        <w:rPr>
          <w:rFonts w:ascii="仿宋_GB2312" w:hAnsi="仿宋_GB2312" w:eastAsia="仿宋_GB2312"/>
          <w:b w:val="0"/>
          <w:sz w:val="32"/>
        </w:rPr>
        <w:t>七、《政府性基金预算财政拨款收入支出决算表》</w:t>
      </w:r>
    </w:p>
    <w:p w14:paraId="09957DDE">
      <w:pPr>
        <w:spacing w:line="240" w:lineRule="auto"/>
        <w:ind w:firstLine="640"/>
        <w:jc w:val="both"/>
      </w:pPr>
      <w:r>
        <w:rPr>
          <w:rFonts w:ascii="仿宋_GB2312" w:hAnsi="仿宋_GB2312" w:eastAsia="仿宋_GB2312"/>
          <w:b w:val="0"/>
          <w:sz w:val="32"/>
        </w:rPr>
        <w:t>八、《国有资本经营预算财政拨款收入支出决算表》</w:t>
      </w:r>
    </w:p>
    <w:p w14:paraId="5B1D42F9">
      <w:pPr>
        <w:spacing w:line="240" w:lineRule="auto"/>
        <w:ind w:firstLine="640"/>
        <w:jc w:val="both"/>
      </w:pPr>
      <w:r>
        <w:rPr>
          <w:rFonts w:ascii="仿宋_GB2312" w:hAnsi="仿宋_GB2312" w:eastAsia="仿宋_GB2312"/>
          <w:b w:val="0"/>
          <w:sz w:val="32"/>
        </w:rPr>
        <w:t>九、《财政拨款“三公”经费支出决算表》</w:t>
      </w:r>
    </w:p>
    <w:p w14:paraId="456919DA">
      <w:pPr>
        <w:spacing w:line="240" w:lineRule="auto"/>
        <w:ind w:firstLine="640"/>
        <w:jc w:val="both"/>
      </w:pPr>
    </w:p>
    <w:p w14:paraId="5658A01E">
      <w:pPr>
        <w:spacing w:line="240" w:lineRule="auto"/>
        <w:ind w:firstLine="640"/>
        <w:jc w:val="both"/>
      </w:pPr>
    </w:p>
    <w:p w14:paraId="031BE5DD">
      <w:pPr>
        <w:spacing w:line="240" w:lineRule="auto"/>
        <w:ind w:firstLine="640"/>
        <w:jc w:val="both"/>
      </w:pPr>
    </w:p>
    <w:p w14:paraId="39734D33">
      <w:pPr>
        <w:spacing w:line="240" w:lineRule="auto"/>
        <w:ind w:firstLine="640"/>
        <w:jc w:val="both"/>
      </w:pPr>
    </w:p>
    <w:p w14:paraId="13AA204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996FD3"/>
    <w:rsid w:val="0EA04331"/>
    <w:rsid w:val="0F9811B3"/>
    <w:rsid w:val="11E15093"/>
    <w:rsid w:val="120E0809"/>
    <w:rsid w:val="18892DC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BC1403"/>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5DD0843"/>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4165</Words>
  <Characters>4823</Characters>
  <Lines>0</Lines>
  <Paragraphs>0</Paragraphs>
  <TotalTime>3</TotalTime>
  <ScaleCrop>false</ScaleCrop>
  <LinksUpToDate>false</LinksUpToDate>
  <CharactersWithSpaces>4831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2025-10-31T11:03:29Z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