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托里县消防救援大队2024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AA17BF0">
      <w:r>
        <w:br w:type="page"/>
      </w:r>
    </w:p>
    <w:p w14:paraId="2E2A7AAC">
      <w:pPr>
        <w:spacing w:line="640" w:lineRule="exact"/>
        <w:jc w:val="center"/>
        <w:outlineLvl w:val="1"/>
      </w:pPr>
      <w:r>
        <w:rPr>
          <w:rFonts w:ascii="黑体" w:hAnsi="黑体" w:eastAsia="黑体"/>
          <w:sz w:val="32"/>
        </w:rPr>
        <w:t>第一部分 单位概况</w:t>
      </w:r>
    </w:p>
    <w:p w14:paraId="5BA54942">
      <w:pPr>
        <w:spacing w:line="640" w:lineRule="exact"/>
        <w:ind w:firstLine="640"/>
        <w:jc w:val="both"/>
        <w:outlineLvl w:val="2"/>
      </w:pPr>
      <w:r>
        <w:rPr>
          <w:rFonts w:ascii="黑体" w:hAnsi="黑体" w:eastAsia="黑体"/>
          <w:sz w:val="32"/>
        </w:rPr>
        <w:t>一、主要职能</w:t>
      </w:r>
    </w:p>
    <w:p w14:paraId="50115238">
      <w:pPr>
        <w:spacing w:line="580" w:lineRule="exact"/>
        <w:ind w:firstLine="640"/>
        <w:jc w:val="both"/>
      </w:pPr>
      <w:r>
        <w:rPr>
          <w:rFonts w:ascii="仿宋_GB2312" w:hAnsi="仿宋_GB2312" w:eastAsia="仿宋_GB2312"/>
          <w:sz w:val="32"/>
        </w:rPr>
        <w:t>托里县消防救援大队成立于2012年。担负着全县城乡市政工程质量安全监督、社会面火灾防控工作、灭火救援工作。抢险救灾、应急处突、社会救助，防火监督、消防安全隐患排查督改，消防教育培训指导，火灾事故原因调查，公众聚集场所在投入使用、营业前的消防安全检查。指导专职消防队和义务消防队的建设和训练，配合当地人民政府开展辖区消防安全形势调研分析并合理建议，对社会单位及行业部门消防宣传、培训、教育指导。</w:t>
      </w:r>
    </w:p>
    <w:p w14:paraId="2BE31F3C">
      <w:pPr>
        <w:spacing w:line="640" w:lineRule="exact"/>
        <w:ind w:firstLine="640"/>
        <w:jc w:val="both"/>
        <w:outlineLvl w:val="2"/>
      </w:pPr>
      <w:r>
        <w:rPr>
          <w:rFonts w:ascii="黑体" w:hAnsi="黑体" w:eastAsia="黑体"/>
          <w:sz w:val="32"/>
        </w:rPr>
        <w:t>二、机构设置及人员情况</w:t>
      </w:r>
    </w:p>
    <w:p w14:paraId="2119C72C">
      <w:pPr>
        <w:spacing w:line="580" w:lineRule="exact"/>
        <w:ind w:firstLine="640"/>
        <w:jc w:val="both"/>
      </w:pPr>
      <w:r>
        <w:rPr>
          <w:rFonts w:ascii="仿宋_GB2312" w:hAnsi="仿宋_GB2312" w:eastAsia="仿宋_GB2312"/>
          <w:sz w:val="32"/>
        </w:rPr>
        <w:t>托里县消防救援大队2024年度，实有人数0人，其中：在职人员0人，增加0人；离休人员0人，增加0人；退休人员0人,增加0人。</w:t>
      </w:r>
    </w:p>
    <w:p w14:paraId="0C1BB9CD">
      <w:pPr>
        <w:spacing w:line="580" w:lineRule="exact"/>
        <w:ind w:firstLine="640"/>
        <w:jc w:val="both"/>
      </w:pPr>
      <w:r>
        <w:rPr>
          <w:rFonts w:ascii="仿宋_GB2312" w:hAnsi="仿宋_GB2312" w:eastAsia="仿宋_GB2312"/>
          <w:sz w:val="32"/>
        </w:rPr>
        <w:t>托里县消防救援大队无下属预算单位，下设4个科室，分别是：防火监督室、灭火救援研讨室、办公室、财务室。</w:t>
      </w:r>
    </w:p>
    <w:p w14:paraId="38BD2F60">
      <w:r>
        <w:br w:type="page"/>
      </w:r>
    </w:p>
    <w:p w14:paraId="333FDBE1">
      <w:pPr>
        <w:spacing w:line="240" w:lineRule="auto"/>
        <w:jc w:val="center"/>
        <w:outlineLvl w:val="1"/>
      </w:pPr>
      <w:r>
        <w:rPr>
          <w:rFonts w:ascii="黑体" w:hAnsi="黑体" w:eastAsia="黑体"/>
          <w:sz w:val="32"/>
        </w:rPr>
        <w:t>第二部分 部门决算情况说明</w:t>
      </w:r>
    </w:p>
    <w:p w14:paraId="1D1A6F16">
      <w:pPr>
        <w:spacing w:line="640" w:lineRule="exact"/>
        <w:ind w:firstLine="640"/>
        <w:jc w:val="both"/>
        <w:outlineLvl w:val="2"/>
      </w:pPr>
      <w:r>
        <w:rPr>
          <w:rFonts w:ascii="黑体" w:hAnsi="黑体" w:eastAsia="黑体"/>
          <w:sz w:val="32"/>
        </w:rPr>
        <w:t>一、收入支出决算总体情况说明</w:t>
      </w:r>
    </w:p>
    <w:p w14:paraId="12739B69">
      <w:pPr>
        <w:spacing w:line="580" w:lineRule="exact"/>
        <w:ind w:firstLine="640"/>
        <w:jc w:val="both"/>
      </w:pPr>
      <w:r>
        <w:rPr>
          <w:rFonts w:ascii="仿宋_GB2312" w:hAnsi="仿宋_GB2312" w:eastAsia="仿宋_GB2312"/>
          <w:b/>
          <w:sz w:val="32"/>
        </w:rPr>
        <w:t>2024年度收入总计857.73万元，</w:t>
      </w:r>
      <w:r>
        <w:rPr>
          <w:rFonts w:ascii="仿宋_GB2312" w:hAnsi="仿宋_GB2312" w:eastAsia="仿宋_GB2312"/>
          <w:b w:val="0"/>
          <w:sz w:val="32"/>
        </w:rPr>
        <w:t>其中：本年收入合计857.73万元，使用非财政拨款结余（含专用结余）0.00万元，年初结转和结余0.00万元。</w:t>
      </w:r>
    </w:p>
    <w:p w14:paraId="052F7DC5">
      <w:pPr>
        <w:spacing w:line="580" w:lineRule="exact"/>
        <w:ind w:firstLine="640"/>
        <w:jc w:val="both"/>
      </w:pPr>
      <w:r>
        <w:rPr>
          <w:rFonts w:ascii="仿宋_GB2312" w:hAnsi="仿宋_GB2312" w:eastAsia="仿宋_GB2312"/>
          <w:b/>
          <w:sz w:val="32"/>
        </w:rPr>
        <w:t>2024年度支出总计857.73万元，</w:t>
      </w:r>
      <w:r>
        <w:rPr>
          <w:rFonts w:ascii="仿宋_GB2312" w:hAnsi="仿宋_GB2312" w:eastAsia="仿宋_GB2312"/>
          <w:b w:val="0"/>
          <w:sz w:val="32"/>
        </w:rPr>
        <w:t>其中：本年支出合计857.73万元，结余分配0.00万元，年末结转和结余0.00万元。</w:t>
      </w:r>
    </w:p>
    <w:p w14:paraId="02FED36D">
      <w:pPr>
        <w:spacing w:line="580" w:lineRule="exact"/>
        <w:ind w:firstLine="640"/>
        <w:jc w:val="both"/>
      </w:pPr>
      <w:r>
        <w:rPr>
          <w:rFonts w:ascii="仿宋_GB2312" w:hAnsi="仿宋_GB2312" w:eastAsia="仿宋_GB2312"/>
          <w:b w:val="0"/>
          <w:sz w:val="32"/>
        </w:rPr>
        <w:t>收入支出总体与上年相比，减少310.92万元，下降26.61%，主要原因是：2024年减少塔城地区托里县综合训练救援技能培训基地建设及装备设备采购项目、托里县公安消防大队综合执勤楼项目、托里县公安消防大队附属设施工程。</w:t>
      </w:r>
    </w:p>
    <w:p w14:paraId="12A9F48D">
      <w:pPr>
        <w:spacing w:line="640" w:lineRule="exact"/>
        <w:ind w:firstLine="640"/>
        <w:jc w:val="both"/>
        <w:outlineLvl w:val="2"/>
      </w:pPr>
      <w:r>
        <w:rPr>
          <w:rFonts w:ascii="黑体" w:hAnsi="黑体" w:eastAsia="黑体"/>
          <w:sz w:val="32"/>
        </w:rPr>
        <w:t>二、收入决算情况说明</w:t>
      </w:r>
    </w:p>
    <w:p w14:paraId="64F84F6E">
      <w:pPr>
        <w:spacing w:line="580" w:lineRule="exact"/>
        <w:ind w:firstLine="640"/>
        <w:jc w:val="both"/>
      </w:pPr>
      <w:r>
        <w:rPr>
          <w:rFonts w:ascii="仿宋_GB2312" w:hAnsi="仿宋_GB2312" w:eastAsia="仿宋_GB2312"/>
          <w:b/>
          <w:sz w:val="32"/>
        </w:rPr>
        <w:t>本年收入857.73万元，</w:t>
      </w:r>
      <w:r>
        <w:rPr>
          <w:rFonts w:ascii="仿宋_GB2312" w:hAnsi="仿宋_GB2312" w:eastAsia="仿宋_GB2312"/>
          <w:b w:val="0"/>
          <w:sz w:val="32"/>
        </w:rPr>
        <w:t>其中：财政拨款收入728.80万元，占84.97%；上级补助收入0.00万元，占0.00%；事业收入0.00万元，占0.00%；经营收入0.00万元，占0.00%；附属单位上缴收入0.00万元，占0.00%；其他收入128.93万元，占15.03%。</w:t>
      </w:r>
    </w:p>
    <w:p w14:paraId="4DDE5E34">
      <w:pPr>
        <w:spacing w:line="640" w:lineRule="exact"/>
        <w:ind w:firstLine="640"/>
        <w:jc w:val="both"/>
        <w:outlineLvl w:val="2"/>
      </w:pPr>
      <w:r>
        <w:rPr>
          <w:rFonts w:ascii="黑体" w:hAnsi="黑体" w:eastAsia="黑体"/>
          <w:sz w:val="32"/>
        </w:rPr>
        <w:t>三、支出决算情况说明</w:t>
      </w:r>
    </w:p>
    <w:p w14:paraId="488F36AE">
      <w:pPr>
        <w:spacing w:line="580" w:lineRule="exact"/>
        <w:ind w:firstLine="640"/>
        <w:jc w:val="both"/>
      </w:pPr>
      <w:r>
        <w:rPr>
          <w:rFonts w:ascii="仿宋_GB2312" w:hAnsi="仿宋_GB2312" w:eastAsia="仿宋_GB2312"/>
          <w:b/>
          <w:sz w:val="32"/>
        </w:rPr>
        <w:t>本年支出857.73万元，</w:t>
      </w:r>
      <w:r>
        <w:rPr>
          <w:rFonts w:ascii="仿宋_GB2312" w:hAnsi="仿宋_GB2312" w:eastAsia="仿宋_GB2312"/>
          <w:b w:val="0"/>
          <w:sz w:val="32"/>
        </w:rPr>
        <w:t>其中：基本支出248.76万元，占29.00%；项目支出608.97万元，占71.00%；上缴上级支出0.00万元，占0.00%；经营支出0.00万元，占0.00%；对附属单位补助支出0.00万元，占0.00%。</w:t>
      </w:r>
    </w:p>
    <w:p w14:paraId="43515138">
      <w:pPr>
        <w:spacing w:line="640" w:lineRule="exact"/>
        <w:ind w:firstLine="640"/>
        <w:jc w:val="both"/>
        <w:outlineLvl w:val="2"/>
      </w:pPr>
      <w:r>
        <w:rPr>
          <w:rFonts w:ascii="黑体" w:hAnsi="黑体" w:eastAsia="黑体"/>
          <w:sz w:val="32"/>
        </w:rPr>
        <w:t>四、财政拨款收入支出决算总体情况说明</w:t>
      </w:r>
    </w:p>
    <w:p w14:paraId="1BBAE817">
      <w:pPr>
        <w:spacing w:line="580" w:lineRule="exact"/>
        <w:ind w:firstLine="640"/>
        <w:jc w:val="both"/>
      </w:pPr>
      <w:r>
        <w:rPr>
          <w:rFonts w:ascii="仿宋_GB2312" w:hAnsi="仿宋_GB2312" w:eastAsia="仿宋_GB2312"/>
          <w:b/>
          <w:sz w:val="32"/>
        </w:rPr>
        <w:t>2024年度财政拨款收入总计728.80万元，</w:t>
      </w:r>
      <w:r>
        <w:rPr>
          <w:rFonts w:ascii="仿宋_GB2312" w:hAnsi="仿宋_GB2312" w:eastAsia="仿宋_GB2312"/>
          <w:b w:val="0"/>
          <w:sz w:val="32"/>
        </w:rPr>
        <w:t>其中：年初财政拨款结转和结余0.00万元，本年财政拨款收入728.80万元。</w:t>
      </w:r>
      <w:r>
        <w:rPr>
          <w:rFonts w:ascii="仿宋_GB2312" w:hAnsi="仿宋_GB2312" w:eastAsia="仿宋_GB2312"/>
          <w:b/>
          <w:sz w:val="32"/>
        </w:rPr>
        <w:t>财政拨款支出总计728.80万元，</w:t>
      </w:r>
      <w:r>
        <w:rPr>
          <w:rFonts w:ascii="仿宋_GB2312" w:hAnsi="仿宋_GB2312" w:eastAsia="仿宋_GB2312"/>
          <w:b w:val="0"/>
          <w:sz w:val="32"/>
        </w:rPr>
        <w:t>其中：年末财政拨款结转和结余0.00万元，本年财政拨款支出728.80万元。</w:t>
      </w:r>
    </w:p>
    <w:p w14:paraId="26E2E80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减少439.85万元，下降37.64%，主要原因是：2024年减少塔城地区托里县综合训练救援技能培训基地建设及装备设备采购项目、托里县公安消防大队综合执勤楼项目、托里县公安消防大队附属设施工程。</w:t>
      </w:r>
      <w:r>
        <w:rPr>
          <w:rFonts w:ascii="仿宋_GB2312" w:hAnsi="仿宋_GB2312" w:eastAsia="仿宋_GB2312"/>
          <w:b/>
          <w:sz w:val="32"/>
        </w:rPr>
        <w:t>与年初预算相比，</w:t>
      </w:r>
      <w:r>
        <w:rPr>
          <w:rFonts w:ascii="仿宋_GB2312" w:hAnsi="仿宋_GB2312" w:eastAsia="仿宋_GB2312"/>
          <w:b w:val="0"/>
          <w:sz w:val="32"/>
        </w:rPr>
        <w:t>年初预算数675.10万元，决算数728.80万元，预决算差异率7.95%，主要原因是：年中追加国家消防救援局采购消防救援车配套资金，导致预决算存在差异。</w:t>
      </w:r>
    </w:p>
    <w:p w14:paraId="0BD5046D">
      <w:pPr>
        <w:spacing w:line="640" w:lineRule="exact"/>
        <w:ind w:firstLine="640"/>
        <w:jc w:val="both"/>
        <w:outlineLvl w:val="2"/>
      </w:pPr>
      <w:r>
        <w:rPr>
          <w:rFonts w:ascii="黑体" w:hAnsi="黑体" w:eastAsia="黑体"/>
          <w:sz w:val="32"/>
        </w:rPr>
        <w:t>五、一般公共预算财政拨款支出决算情况说明</w:t>
      </w:r>
    </w:p>
    <w:p w14:paraId="57955C91">
      <w:pPr>
        <w:spacing w:line="640" w:lineRule="exact"/>
        <w:ind w:firstLine="640"/>
        <w:jc w:val="both"/>
        <w:outlineLvl w:val="3"/>
      </w:pPr>
      <w:r>
        <w:rPr>
          <w:rFonts w:ascii="楷体_GB2312" w:hAnsi="楷体_GB2312" w:eastAsia="楷体_GB2312"/>
          <w:b/>
          <w:sz w:val="32"/>
        </w:rPr>
        <w:t>（一）一般公共预算财政拨款支出决算总体情况</w:t>
      </w:r>
    </w:p>
    <w:p w14:paraId="46A719B9">
      <w:pPr>
        <w:spacing w:line="580" w:lineRule="exact"/>
        <w:ind w:firstLine="640"/>
        <w:jc w:val="both"/>
      </w:pPr>
      <w:r>
        <w:rPr>
          <w:rFonts w:ascii="仿宋_GB2312" w:hAnsi="仿宋_GB2312" w:eastAsia="仿宋_GB2312"/>
          <w:b/>
          <w:sz w:val="32"/>
        </w:rPr>
        <w:t>2024年度一般公共预算财政拨款支出728.80万元，</w:t>
      </w:r>
      <w:r>
        <w:rPr>
          <w:rFonts w:ascii="仿宋_GB2312" w:hAnsi="仿宋_GB2312" w:eastAsia="仿宋_GB2312"/>
          <w:b w:val="0"/>
          <w:sz w:val="32"/>
        </w:rPr>
        <w:t>占本年支出合计的84.97%。</w:t>
      </w:r>
      <w:r>
        <w:rPr>
          <w:rFonts w:ascii="仿宋_GB2312" w:hAnsi="仿宋_GB2312" w:eastAsia="仿宋_GB2312"/>
          <w:b/>
          <w:sz w:val="32"/>
        </w:rPr>
        <w:t>与上年相比，</w:t>
      </w:r>
      <w:r>
        <w:rPr>
          <w:rFonts w:ascii="仿宋_GB2312" w:hAnsi="仿宋_GB2312" w:eastAsia="仿宋_GB2312"/>
          <w:b w:val="0"/>
          <w:sz w:val="32"/>
        </w:rPr>
        <w:t>减少381.52万元，下降34.36%，主要原因是：2024年减少塔城地区托里县综合训练救援技能培训基地建设及装备设备采购项目。</w:t>
      </w:r>
      <w:r>
        <w:rPr>
          <w:rFonts w:ascii="仿宋_GB2312" w:hAnsi="仿宋_GB2312" w:eastAsia="仿宋_GB2312"/>
          <w:b/>
          <w:sz w:val="32"/>
        </w:rPr>
        <w:t>与年初预算相比,</w:t>
      </w:r>
      <w:r>
        <w:rPr>
          <w:rFonts w:ascii="仿宋_GB2312" w:hAnsi="仿宋_GB2312" w:eastAsia="仿宋_GB2312"/>
          <w:b w:val="0"/>
          <w:sz w:val="32"/>
        </w:rPr>
        <w:t>年初预算数670.10万元，决算数728.80万元，预决算差异率8.76%，主要原因是：年中追加国家消防救援局采购消防救援车配套资金，导致预决算存在差异。</w:t>
      </w:r>
    </w:p>
    <w:p w14:paraId="5027F5C6">
      <w:pPr>
        <w:spacing w:line="640" w:lineRule="exact"/>
        <w:ind w:firstLine="640"/>
        <w:jc w:val="both"/>
        <w:outlineLvl w:val="3"/>
      </w:pPr>
      <w:r>
        <w:rPr>
          <w:rFonts w:ascii="楷体_GB2312" w:hAnsi="楷体_GB2312" w:eastAsia="楷体_GB2312"/>
          <w:b/>
          <w:sz w:val="32"/>
        </w:rPr>
        <w:t>（二）一般公共预算财政拨款支出决算结构情况</w:t>
      </w:r>
    </w:p>
    <w:p w14:paraId="10E66EFC">
      <w:pPr>
        <w:spacing w:line="580" w:lineRule="exact"/>
        <w:ind w:firstLine="640"/>
        <w:jc w:val="both"/>
      </w:pPr>
      <w:r>
        <w:rPr>
          <w:rFonts w:ascii="仿宋_GB2312" w:hAnsi="仿宋_GB2312" w:eastAsia="仿宋_GB2312"/>
          <w:b w:val="0"/>
          <w:sz w:val="32"/>
        </w:rPr>
        <w:t>1.科学技术支出(类)70.00万元,占9.60%。</w:t>
      </w:r>
    </w:p>
    <w:p w14:paraId="54546E12">
      <w:pPr>
        <w:spacing w:line="580" w:lineRule="exact"/>
        <w:ind w:firstLine="640"/>
        <w:jc w:val="both"/>
      </w:pPr>
      <w:r>
        <w:rPr>
          <w:rFonts w:ascii="仿宋_GB2312" w:hAnsi="仿宋_GB2312" w:eastAsia="仿宋_GB2312"/>
          <w:b w:val="0"/>
          <w:sz w:val="32"/>
        </w:rPr>
        <w:t>2.灾害防治及应急管理支出(类)658.80万元,占90.40%。</w:t>
      </w:r>
    </w:p>
    <w:p w14:paraId="7DB15537">
      <w:pPr>
        <w:spacing w:line="640" w:lineRule="exact"/>
        <w:ind w:firstLine="640"/>
        <w:jc w:val="both"/>
        <w:outlineLvl w:val="3"/>
      </w:pPr>
      <w:r>
        <w:rPr>
          <w:rFonts w:ascii="楷体_GB2312" w:hAnsi="楷体_GB2312" w:eastAsia="楷体_GB2312"/>
          <w:b/>
          <w:sz w:val="32"/>
        </w:rPr>
        <w:t>（三）一般公共预算财政拨款支出决算具体情况</w:t>
      </w:r>
    </w:p>
    <w:p w14:paraId="56266158">
      <w:pPr>
        <w:spacing w:line="580" w:lineRule="exact"/>
        <w:ind w:firstLine="640"/>
        <w:jc w:val="both"/>
      </w:pPr>
      <w:r>
        <w:rPr>
          <w:rFonts w:ascii="仿宋_GB2312" w:hAnsi="仿宋_GB2312" w:eastAsia="仿宋_GB2312"/>
          <w:b w:val="0"/>
          <w:sz w:val="32"/>
        </w:rPr>
        <w:t>1.科学技术支出(类)技术研究与开发(款)科技成果转化与扩散(项):支出决算数为70.00万元，比上年决算增加70.00万元，增长100.00%,主要原因是：本年增加国家消防救援局采购消防救援车配套资金。</w:t>
      </w:r>
    </w:p>
    <w:p w14:paraId="4B433379">
      <w:pPr>
        <w:spacing w:line="580" w:lineRule="exact"/>
        <w:ind w:firstLine="640"/>
        <w:jc w:val="both"/>
      </w:pPr>
      <w:r>
        <w:rPr>
          <w:rFonts w:ascii="仿宋_GB2312" w:hAnsi="仿宋_GB2312" w:eastAsia="仿宋_GB2312"/>
          <w:b w:val="0"/>
          <w:sz w:val="32"/>
        </w:rPr>
        <w:t>2.住房保障支出(类)住房改革支出(款)住房公积金(项):支出决算数为0.00万元，比上年决算减少2.82万元，下降100.00%,主要原因是：本年功能科目调整，住房公积金上年度单独列支，本年调整至主科目列支，导致经费较上年减少。</w:t>
      </w:r>
    </w:p>
    <w:p w14:paraId="2F0FFAAB">
      <w:pPr>
        <w:spacing w:line="580" w:lineRule="exact"/>
        <w:ind w:firstLine="640"/>
        <w:jc w:val="both"/>
      </w:pPr>
      <w:r>
        <w:rPr>
          <w:rFonts w:ascii="仿宋_GB2312" w:hAnsi="仿宋_GB2312" w:eastAsia="仿宋_GB2312"/>
          <w:b w:val="0"/>
          <w:sz w:val="32"/>
        </w:rPr>
        <w:t>3.灾害防治及应急管理支出(类)消防救援事务(款)行政运行(项):支出决算数为248.76万元，比上年决算增加34.83万元，增长16.28%,主要原因是：本年新增政府专职消防员5名，人员经费增加，导致经费较上年有所增加；功能科目调整，住房公积</w:t>
      </w:r>
      <w:r>
        <w:rPr>
          <w:rFonts w:ascii="仿宋_GB2312" w:hAnsi="仿宋_GB2312" w:eastAsia="仿宋_GB2312"/>
          <w:b w:val="0"/>
          <w:spacing w:val="6"/>
          <w:sz w:val="32"/>
        </w:rPr>
        <w:t>金上年度单独列支，本年调整至主科目列支，导致经费较上年增加。</w:t>
      </w:r>
    </w:p>
    <w:p w14:paraId="23B8F91D">
      <w:pPr>
        <w:spacing w:line="580" w:lineRule="exact"/>
        <w:ind w:firstLine="640"/>
        <w:jc w:val="both"/>
      </w:pPr>
      <w:r>
        <w:rPr>
          <w:rFonts w:ascii="仿宋_GB2312" w:hAnsi="仿宋_GB2312" w:eastAsia="仿宋_GB2312"/>
          <w:b w:val="0"/>
          <w:sz w:val="32"/>
        </w:rPr>
        <w:t>4.灾害防治及应急管理支出(类)消防救援事务(款)消防应急救援(项):支出决算数为410.04万元，比上年决算减少483.53万元，下降54.11%,主要原因是：2024年减少塔城地区托里县综合训练救援技能培训基地建设及装备设备采购项目。</w:t>
      </w:r>
    </w:p>
    <w:p w14:paraId="6BEAA12D">
      <w:pPr>
        <w:spacing w:line="640" w:lineRule="exact"/>
        <w:ind w:firstLine="640"/>
        <w:jc w:val="both"/>
        <w:outlineLvl w:val="2"/>
      </w:pPr>
      <w:r>
        <w:rPr>
          <w:rFonts w:ascii="黑体" w:hAnsi="黑体" w:eastAsia="黑体"/>
          <w:sz w:val="32"/>
        </w:rPr>
        <w:t>六、一般公共预算财政拨款基本支出决算情况说明</w:t>
      </w:r>
    </w:p>
    <w:p w14:paraId="1AC8B16D">
      <w:pPr>
        <w:spacing w:line="580" w:lineRule="exact"/>
        <w:ind w:firstLine="640"/>
        <w:jc w:val="both"/>
      </w:pPr>
      <w:r>
        <w:rPr>
          <w:rFonts w:ascii="仿宋_GB2312" w:hAnsi="仿宋_GB2312" w:eastAsia="仿宋_GB2312"/>
          <w:b w:val="0"/>
          <w:sz w:val="32"/>
        </w:rPr>
        <w:t>2024年度一般公共预算财政拨款基本支出248.76万元，其中：</w:t>
      </w:r>
      <w:r>
        <w:rPr>
          <w:rFonts w:ascii="仿宋_GB2312" w:hAnsi="仿宋_GB2312" w:eastAsia="仿宋_GB2312"/>
          <w:b/>
          <w:sz w:val="32"/>
        </w:rPr>
        <w:t>人员经费248.76万元，</w:t>
      </w:r>
      <w:r>
        <w:rPr>
          <w:rFonts w:ascii="仿宋_GB2312" w:hAnsi="仿宋_GB2312" w:eastAsia="仿宋_GB2312"/>
          <w:b w:val="0"/>
          <w:sz w:val="32"/>
        </w:rPr>
        <w:t>包括：其他工资福利支出。</w:t>
      </w:r>
    </w:p>
    <w:p w14:paraId="6E103CB2">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4740C5B">
      <w:pPr>
        <w:spacing w:line="640" w:lineRule="exact"/>
        <w:ind w:firstLine="640"/>
        <w:jc w:val="both"/>
        <w:outlineLvl w:val="2"/>
      </w:pPr>
      <w:r>
        <w:rPr>
          <w:rFonts w:ascii="黑体" w:hAnsi="黑体" w:eastAsia="黑体"/>
          <w:sz w:val="32"/>
        </w:rPr>
        <w:t>七、政府性基金预算财政拨款收入支出决算情况说明</w:t>
      </w:r>
    </w:p>
    <w:p w14:paraId="767362A9">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01CAB97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减少58.34万元，下降100.00%，主要原因是：本年减少托里县公安消防大队综合执勤楼项目、托里县公安消防大队附属设施工程。</w:t>
      </w:r>
      <w:r>
        <w:rPr>
          <w:rFonts w:ascii="仿宋_GB2312" w:hAnsi="仿宋_GB2312" w:eastAsia="仿宋_GB2312"/>
          <w:b/>
          <w:sz w:val="32"/>
        </w:rPr>
        <w:t>与年初预算相比，</w:t>
      </w:r>
      <w:r>
        <w:rPr>
          <w:rFonts w:ascii="仿宋_GB2312" w:hAnsi="仿宋_GB2312" w:eastAsia="仿宋_GB2312"/>
          <w:b w:val="0"/>
          <w:sz w:val="32"/>
        </w:rPr>
        <w:t>年初预算数5.00万元，决算数0.00万元，预决算差异率-100.00%，主要原因是：年中调减里县公安消防大队附属设施工程项目资金，导致预决算存在差异。</w:t>
      </w:r>
    </w:p>
    <w:p w14:paraId="702052C4">
      <w:pPr>
        <w:spacing w:line="580" w:lineRule="exact"/>
        <w:ind w:firstLine="640"/>
        <w:jc w:val="both"/>
      </w:pPr>
      <w:r>
        <w:rPr>
          <w:rFonts w:ascii="仿宋_GB2312" w:hAnsi="仿宋_GB2312" w:eastAsia="仿宋_GB2312"/>
          <w:b w:val="0"/>
          <w:sz w:val="32"/>
        </w:rPr>
        <w:t>政府性基金预算财政拨款支出0.00万元。</w:t>
      </w:r>
    </w:p>
    <w:p w14:paraId="13410CA5">
      <w:pPr>
        <w:spacing w:line="580" w:lineRule="exact"/>
        <w:ind w:firstLine="640"/>
        <w:jc w:val="both"/>
      </w:pPr>
      <w:r>
        <w:rPr>
          <w:rFonts w:ascii="仿宋_GB2312" w:hAnsi="仿宋_GB2312" w:eastAsia="仿宋_GB2312"/>
          <w:b w:val="0"/>
          <w:sz w:val="32"/>
        </w:rPr>
        <w:t>1.城乡社区支出(类)国有土地使用权出让收入安排的支出(款)其他国有土地使用权出让收入安排的支出(项):支出决算数为0.00万元，比上年决算减少58.34万元，下降100.00%,主要原因是：本年减少托里县公安消防大队综合执勤楼项目、托里县公安消防大队附属设施工程。</w:t>
      </w:r>
    </w:p>
    <w:p w14:paraId="29D71D10">
      <w:pPr>
        <w:spacing w:line="640" w:lineRule="exact"/>
        <w:ind w:firstLine="640"/>
        <w:jc w:val="both"/>
        <w:outlineLvl w:val="2"/>
      </w:pPr>
      <w:r>
        <w:rPr>
          <w:rFonts w:ascii="黑体" w:hAnsi="黑体" w:eastAsia="黑体"/>
          <w:sz w:val="32"/>
        </w:rPr>
        <w:t>八、国有资本经营预算财政拨款收入支出决算情况说明</w:t>
      </w:r>
    </w:p>
    <w:p w14:paraId="4545F13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5229860">
      <w:pPr>
        <w:spacing w:line="640" w:lineRule="exact"/>
        <w:ind w:firstLine="640"/>
        <w:jc w:val="both"/>
        <w:outlineLvl w:val="2"/>
      </w:pPr>
      <w:r>
        <w:rPr>
          <w:rFonts w:ascii="黑体" w:hAnsi="黑体" w:eastAsia="黑体"/>
          <w:sz w:val="32"/>
        </w:rPr>
        <w:t>九、财政拨款“三公”经费支出决算情况说明</w:t>
      </w:r>
    </w:p>
    <w:p w14:paraId="66F5C9A3">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E537D02">
      <w:pPr>
        <w:spacing w:line="580" w:lineRule="exact"/>
        <w:ind w:firstLine="640"/>
        <w:jc w:val="both"/>
      </w:pPr>
      <w:r>
        <w:rPr>
          <w:rFonts w:ascii="仿宋_GB2312" w:hAnsi="仿宋_GB2312" w:eastAsia="仿宋_GB2312"/>
          <w:b/>
          <w:sz w:val="32"/>
        </w:rPr>
        <w:t>具体情况如下：</w:t>
      </w:r>
    </w:p>
    <w:p w14:paraId="76DFB9A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B15AEE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w:t>
      </w:r>
      <w:r>
        <w:rPr>
          <w:rFonts w:ascii="仿宋_GB2312" w:hAnsi="仿宋_GB2312" w:eastAsia="仿宋_GB2312"/>
          <w:b w:val="0"/>
          <w:spacing w:val="6"/>
          <w:sz w:val="32"/>
        </w:rPr>
        <w:t>车辆0辆，与公务用车保有量差异原因是：本单位无固定资产车辆。</w:t>
      </w:r>
    </w:p>
    <w:p w14:paraId="34D7B50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223FD5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0B1DE53">
      <w:pPr>
        <w:spacing w:line="640" w:lineRule="exact"/>
        <w:ind w:firstLine="640"/>
        <w:jc w:val="both"/>
        <w:outlineLvl w:val="2"/>
      </w:pPr>
      <w:r>
        <w:rPr>
          <w:rFonts w:ascii="黑体" w:hAnsi="黑体" w:eastAsia="黑体"/>
          <w:sz w:val="32"/>
        </w:rPr>
        <w:t>十、其他重要事项的情况说明</w:t>
      </w:r>
    </w:p>
    <w:p w14:paraId="38BDDF58">
      <w:pPr>
        <w:spacing w:line="640" w:lineRule="exact"/>
        <w:ind w:firstLine="640"/>
        <w:jc w:val="both"/>
        <w:outlineLvl w:val="3"/>
      </w:pPr>
      <w:r>
        <w:rPr>
          <w:rFonts w:ascii="楷体_GB2312" w:hAnsi="楷体_GB2312" w:eastAsia="楷体_GB2312"/>
          <w:b/>
          <w:sz w:val="32"/>
        </w:rPr>
        <w:t>（一）机关运行经费及公用经费支出情况</w:t>
      </w:r>
    </w:p>
    <w:p w14:paraId="55F8547A">
      <w:pPr>
        <w:spacing w:line="580" w:lineRule="exact"/>
        <w:ind w:firstLine="640"/>
        <w:jc w:val="both"/>
      </w:pPr>
      <w:r>
        <w:rPr>
          <w:rFonts w:ascii="仿宋_GB2312" w:hAnsi="仿宋_GB2312" w:eastAsia="仿宋_GB2312"/>
          <w:b w:val="0"/>
          <w:sz w:val="32"/>
        </w:rPr>
        <w:t>2024年度托里县消防救援大队（行政单位和参照公务员法管理事业单位）机关运行经费支出0.00万元，比上年增加0.00万元，增长0.00%，主要原因是：2023年与2024年均未安排机关运行经费支出。</w:t>
      </w:r>
    </w:p>
    <w:p w14:paraId="0503D10A">
      <w:pPr>
        <w:spacing w:line="640" w:lineRule="exact"/>
        <w:ind w:firstLine="640"/>
        <w:jc w:val="both"/>
        <w:outlineLvl w:val="3"/>
      </w:pPr>
      <w:r>
        <w:rPr>
          <w:rFonts w:ascii="楷体_GB2312" w:hAnsi="楷体_GB2312" w:eastAsia="楷体_GB2312"/>
          <w:b/>
          <w:sz w:val="32"/>
        </w:rPr>
        <w:t>（二）政府采购情况</w:t>
      </w:r>
    </w:p>
    <w:p w14:paraId="48AFF610">
      <w:pPr>
        <w:spacing w:line="580" w:lineRule="exact"/>
        <w:ind w:firstLine="640"/>
        <w:jc w:val="both"/>
      </w:pPr>
      <w:r>
        <w:rPr>
          <w:rFonts w:ascii="仿宋_GB2312" w:hAnsi="仿宋_GB2312" w:eastAsia="仿宋_GB2312"/>
          <w:b w:val="0"/>
          <w:sz w:val="32"/>
        </w:rPr>
        <w:t>2024年度政府采购支出总额38.78万元，其中：政府采购货物支出15.32万元、政府采购工程支出0.00万元、政府采购服务支出23.46万元。</w:t>
      </w:r>
    </w:p>
    <w:p w14:paraId="35AF9FA0">
      <w:pPr>
        <w:spacing w:line="580" w:lineRule="exact"/>
        <w:ind w:firstLine="640"/>
        <w:jc w:val="both"/>
      </w:pPr>
      <w:r>
        <w:rPr>
          <w:rFonts w:ascii="仿宋_GB2312" w:hAnsi="仿宋_GB2312" w:eastAsia="仿宋_GB2312"/>
          <w:b w:val="0"/>
          <w:sz w:val="32"/>
        </w:rPr>
        <w:t>授予中小企业合同金额34.64万元，占政府采购支出总额的89.32%，其中：授予小微企业合同金额34.64万元，占政府采购支出总额的89.32%。</w:t>
      </w:r>
    </w:p>
    <w:p w14:paraId="4F2984AF">
      <w:pPr>
        <w:spacing w:line="640" w:lineRule="exact"/>
        <w:ind w:firstLine="640"/>
        <w:jc w:val="both"/>
        <w:outlineLvl w:val="3"/>
      </w:pPr>
      <w:r>
        <w:rPr>
          <w:rFonts w:ascii="楷体_GB2312" w:hAnsi="楷体_GB2312" w:eastAsia="楷体_GB2312"/>
          <w:b/>
          <w:sz w:val="32"/>
        </w:rPr>
        <w:t>（三）国有资产占用情况说明</w:t>
      </w:r>
    </w:p>
    <w:p w14:paraId="754F04B8">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CCB3ACB">
      <w:pPr>
        <w:spacing w:line="640" w:lineRule="exact"/>
        <w:ind w:firstLine="640"/>
        <w:jc w:val="both"/>
        <w:outlineLvl w:val="2"/>
      </w:pPr>
      <w:r>
        <w:rPr>
          <w:rFonts w:ascii="黑体" w:hAnsi="黑体" w:eastAsia="黑体"/>
          <w:sz w:val="32"/>
        </w:rPr>
        <w:t>十一、预算绩效的情况说明</w:t>
      </w:r>
    </w:p>
    <w:p w14:paraId="586DEBD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根据预算绩效管理要求，本单位2024年度预算绩效管理形成整体支出绩效自评表1个，全年预算总额919.73万元，实际执行总额867.73万元；预算绩效评价项目6个，全年预算数</w:t>
      </w:r>
      <w:r>
        <w:rPr>
          <w:rFonts w:hint="eastAsia" w:ascii="仿宋_GB2312" w:hAnsi="仿宋_GB2312" w:eastAsia="仿宋_GB2312"/>
          <w:b w:val="0"/>
          <w:sz w:val="32"/>
          <w:lang w:val="en-US" w:eastAsia="zh-CN"/>
        </w:rPr>
        <w:t>670</w:t>
      </w:r>
      <w:r>
        <w:rPr>
          <w:rFonts w:ascii="仿宋_GB2312" w:hAnsi="仿宋_GB2312" w:eastAsia="仿宋_GB2312"/>
          <w:b w:val="0"/>
          <w:sz w:val="32"/>
        </w:rPr>
        <w:t>.</w:t>
      </w:r>
      <w:r>
        <w:rPr>
          <w:rFonts w:hint="eastAsia" w:ascii="仿宋_GB2312" w:hAnsi="仿宋_GB2312" w:eastAsia="仿宋_GB2312"/>
          <w:b w:val="0"/>
          <w:sz w:val="32"/>
          <w:lang w:val="en-US" w:eastAsia="zh-CN"/>
        </w:rPr>
        <w:t>97</w:t>
      </w:r>
      <w:r>
        <w:rPr>
          <w:rFonts w:ascii="仿宋_GB2312" w:hAnsi="仿宋_GB2312" w:eastAsia="仿宋_GB2312"/>
          <w:b w:val="0"/>
          <w:sz w:val="32"/>
        </w:rPr>
        <w:t>万元，全年执行数</w:t>
      </w:r>
      <w:r>
        <w:rPr>
          <w:rFonts w:hint="eastAsia" w:ascii="仿宋_GB2312" w:hAnsi="仿宋_GB2312" w:eastAsia="仿宋_GB2312"/>
          <w:b w:val="0"/>
          <w:sz w:val="32"/>
          <w:lang w:val="en-US" w:eastAsia="zh-CN"/>
        </w:rPr>
        <w:t>618</w:t>
      </w:r>
      <w:r>
        <w:rPr>
          <w:rFonts w:ascii="仿宋_GB2312" w:hAnsi="仿宋_GB2312" w:eastAsia="仿宋_GB2312"/>
          <w:b w:val="0"/>
          <w:sz w:val="32"/>
        </w:rPr>
        <w:t>.</w:t>
      </w:r>
      <w:r>
        <w:rPr>
          <w:rFonts w:hint="eastAsia" w:ascii="仿宋_GB2312" w:hAnsi="仿宋_GB2312" w:eastAsia="仿宋_GB2312"/>
          <w:b w:val="0"/>
          <w:sz w:val="32"/>
          <w:lang w:val="en-US" w:eastAsia="zh-CN"/>
        </w:rPr>
        <w:t>97</w:t>
      </w:r>
      <w:r>
        <w:rPr>
          <w:rFonts w:ascii="仿宋_GB2312" w:hAnsi="仿宋_GB2312" w:eastAsia="仿宋_GB2312"/>
          <w:b w:val="0"/>
          <w:sz w:val="32"/>
        </w:rPr>
        <w:t>万元。预算绩效管理取得的成效：本单位项目绩效自评表不予公开。发现的问题及原因：本单位项目绩效自评表不予公开。下一步改进措施：本单位项目绩效自评表不予公开。具体附整体支出绩效自评表。</w:t>
      </w:r>
    </w:p>
    <w:p w14:paraId="53FCA242">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331"/>
        <w:gridCol w:w="1085"/>
        <w:gridCol w:w="899"/>
        <w:gridCol w:w="1105"/>
        <w:gridCol w:w="1105"/>
      </w:tblGrid>
      <w:tr w14:paraId="56BAF1AC">
        <w:tblPrEx>
          <w:tblCellMar>
            <w:top w:w="0" w:type="dxa"/>
            <w:left w:w="108" w:type="dxa"/>
            <w:bottom w:w="0" w:type="dxa"/>
            <w:right w:w="108" w:type="dxa"/>
          </w:tblCellMar>
        </w:tblPrEx>
        <w:tc>
          <w:tcPr>
            <w:tcW w:w="8840" w:type="dxa"/>
            <w:gridSpan w:val="8"/>
            <w:vAlign w:val="center"/>
          </w:tcPr>
          <w:p w14:paraId="3B8781E6">
            <w:pPr>
              <w:jc w:val="center"/>
            </w:pPr>
            <w:r>
              <w:rPr>
                <w:rFonts w:ascii="宋体" w:hAnsi="宋体" w:eastAsia="宋体"/>
                <w:sz w:val="24"/>
              </w:rPr>
              <w:t>单位整体支出绩效自评表</w:t>
            </w:r>
          </w:p>
        </w:tc>
      </w:tr>
      <w:tr w14:paraId="6190D953">
        <w:tblPrEx>
          <w:tblCellMar>
            <w:top w:w="0" w:type="dxa"/>
            <w:left w:w="108" w:type="dxa"/>
            <w:bottom w:w="0" w:type="dxa"/>
            <w:right w:w="108" w:type="dxa"/>
          </w:tblCellMar>
        </w:tblPrEx>
        <w:tc>
          <w:tcPr>
            <w:tcW w:w="8840" w:type="dxa"/>
            <w:gridSpan w:val="8"/>
            <w:vAlign w:val="center"/>
          </w:tcPr>
          <w:p w14:paraId="76C581D2">
            <w:pPr>
              <w:jc w:val="center"/>
            </w:pPr>
            <w:r>
              <w:rPr>
                <w:rFonts w:ascii="宋体" w:hAnsi="宋体" w:eastAsia="宋体"/>
                <w:sz w:val="24"/>
              </w:rPr>
              <w:t>（2024年度）</w:t>
            </w:r>
          </w:p>
        </w:tc>
      </w:tr>
      <w:tr w14:paraId="5036D7B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6742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BAF58A">
            <w:pPr>
              <w:jc w:val="center"/>
            </w:pPr>
            <w:r>
              <w:rPr>
                <w:rFonts w:ascii="宋体" w:hAnsi="宋体" w:eastAsia="宋体"/>
                <w:sz w:val="16"/>
              </w:rPr>
              <w:t>托里县消防救援大队</w:t>
            </w:r>
          </w:p>
        </w:tc>
      </w:tr>
      <w:tr w14:paraId="61BD924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007761">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79E9A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2AC33E">
            <w:pPr>
              <w:jc w:val="center"/>
            </w:pPr>
            <w:r>
              <w:rPr>
                <w:rFonts w:ascii="宋体" w:hAnsi="宋体" w:eastAsia="宋体"/>
                <w:sz w:val="16"/>
              </w:rPr>
              <w:t>年初预算数</w:t>
            </w:r>
          </w:p>
        </w:tc>
        <w:tc>
          <w:tcPr>
            <w:tcW w:w="1331" w:type="dxa"/>
            <w:tcBorders>
              <w:top w:val="single" w:color="auto" w:sz="10" w:space="0"/>
              <w:left w:val="single" w:color="auto" w:sz="10" w:space="0"/>
              <w:bottom w:val="single" w:color="auto" w:sz="10" w:space="0"/>
              <w:right w:val="single" w:color="auto" w:sz="10" w:space="0"/>
              <w:insideV w:val="single" w:sz="10" w:space="0"/>
            </w:tcBorders>
            <w:vAlign w:val="center"/>
          </w:tcPr>
          <w:p w14:paraId="3903013E">
            <w:pPr>
              <w:jc w:val="center"/>
            </w:pPr>
            <w:r>
              <w:rPr>
                <w:rFonts w:ascii="宋体" w:hAnsi="宋体" w:eastAsia="宋体"/>
                <w:sz w:val="16"/>
              </w:rPr>
              <w:t>预算数</w:t>
            </w:r>
          </w:p>
        </w:tc>
        <w:tc>
          <w:tcPr>
            <w:tcW w:w="1085" w:type="dxa"/>
            <w:tcBorders>
              <w:top w:val="single" w:color="auto" w:sz="10" w:space="0"/>
              <w:left w:val="single" w:color="auto" w:sz="10" w:space="0"/>
              <w:bottom w:val="single" w:color="auto" w:sz="10" w:space="0"/>
              <w:right w:val="single" w:color="auto" w:sz="10" w:space="0"/>
              <w:insideV w:val="single" w:sz="10" w:space="0"/>
            </w:tcBorders>
            <w:vAlign w:val="center"/>
          </w:tcPr>
          <w:p w14:paraId="36E283BA">
            <w:pPr>
              <w:jc w:val="center"/>
            </w:pPr>
            <w:r>
              <w:rPr>
                <w:rFonts w:ascii="宋体" w:hAnsi="宋体" w:eastAsia="宋体"/>
                <w:sz w:val="16"/>
              </w:rPr>
              <w:t>执行数</w:t>
            </w:r>
          </w:p>
        </w:tc>
        <w:tc>
          <w:tcPr>
            <w:tcW w:w="899" w:type="dxa"/>
            <w:tcBorders>
              <w:top w:val="single" w:color="auto" w:sz="10" w:space="0"/>
              <w:left w:val="single" w:color="auto" w:sz="10" w:space="0"/>
              <w:bottom w:val="single" w:color="auto" w:sz="10" w:space="0"/>
              <w:right w:val="single" w:color="auto" w:sz="10" w:space="0"/>
              <w:insideV w:val="single" w:sz="10" w:space="0"/>
            </w:tcBorders>
            <w:vAlign w:val="center"/>
          </w:tcPr>
          <w:p w14:paraId="2FA87EB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8BA47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D329FB">
            <w:pPr>
              <w:jc w:val="center"/>
            </w:pPr>
            <w:r>
              <w:rPr>
                <w:rFonts w:ascii="宋体" w:hAnsi="宋体" w:eastAsia="宋体"/>
                <w:sz w:val="16"/>
              </w:rPr>
              <w:t>得分</w:t>
            </w:r>
          </w:p>
        </w:tc>
      </w:tr>
      <w:tr w14:paraId="0A3A996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53B43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9C9D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E4C8F">
            <w:pPr>
              <w:jc w:val="center"/>
            </w:pPr>
            <w:r>
              <w:rPr>
                <w:rFonts w:ascii="宋体" w:hAnsi="宋体" w:eastAsia="宋体"/>
                <w:sz w:val="16"/>
              </w:rPr>
              <w:t>875.10</w:t>
            </w:r>
          </w:p>
        </w:tc>
        <w:tc>
          <w:tcPr>
            <w:tcW w:w="1331" w:type="dxa"/>
            <w:tcBorders>
              <w:top w:val="single" w:color="auto" w:sz="10" w:space="0"/>
              <w:left w:val="single" w:color="auto" w:sz="10" w:space="0"/>
              <w:bottom w:val="single" w:color="auto" w:sz="10" w:space="0"/>
              <w:right w:val="single" w:color="auto" w:sz="10" w:space="0"/>
              <w:insideV w:val="single" w:sz="10" w:space="0"/>
            </w:tcBorders>
            <w:vAlign w:val="center"/>
          </w:tcPr>
          <w:p w14:paraId="3C95A5B8">
            <w:pPr>
              <w:jc w:val="center"/>
            </w:pPr>
            <w:r>
              <w:rPr>
                <w:rFonts w:ascii="宋体" w:hAnsi="宋体" w:eastAsia="宋体"/>
                <w:sz w:val="16"/>
              </w:rPr>
              <w:t>919.73</w:t>
            </w:r>
          </w:p>
        </w:tc>
        <w:tc>
          <w:tcPr>
            <w:tcW w:w="1085" w:type="dxa"/>
            <w:tcBorders>
              <w:top w:val="single" w:color="auto" w:sz="10" w:space="0"/>
              <w:left w:val="single" w:color="auto" w:sz="10" w:space="0"/>
              <w:bottom w:val="single" w:color="auto" w:sz="10" w:space="0"/>
              <w:right w:val="single" w:color="auto" w:sz="10" w:space="0"/>
              <w:insideV w:val="single" w:sz="10" w:space="0"/>
            </w:tcBorders>
            <w:vAlign w:val="center"/>
          </w:tcPr>
          <w:p w14:paraId="41699020">
            <w:pPr>
              <w:jc w:val="center"/>
            </w:pPr>
            <w:r>
              <w:rPr>
                <w:rFonts w:ascii="宋体" w:hAnsi="宋体" w:eastAsia="宋体"/>
                <w:sz w:val="16"/>
              </w:rPr>
              <w:t>867.73</w:t>
            </w:r>
          </w:p>
        </w:tc>
        <w:tc>
          <w:tcPr>
            <w:tcW w:w="899" w:type="dxa"/>
            <w:tcBorders>
              <w:top w:val="single" w:color="auto" w:sz="10" w:space="0"/>
              <w:left w:val="single" w:color="auto" w:sz="10" w:space="0"/>
              <w:bottom w:val="single" w:color="auto" w:sz="10" w:space="0"/>
              <w:right w:val="single" w:color="auto" w:sz="10" w:space="0"/>
              <w:insideV w:val="single" w:sz="10" w:space="0"/>
            </w:tcBorders>
            <w:vAlign w:val="center"/>
          </w:tcPr>
          <w:p w14:paraId="19712F3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B2A1E">
            <w:pPr>
              <w:jc w:val="center"/>
            </w:pPr>
            <w:r>
              <w:rPr>
                <w:rFonts w:ascii="宋体" w:hAnsi="宋体" w:eastAsia="宋体"/>
                <w:sz w:val="16"/>
              </w:rPr>
              <w:t>94.35%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44E373">
            <w:pPr>
              <w:jc w:val="center"/>
            </w:pPr>
            <w:r>
              <w:rPr>
                <w:rFonts w:ascii="宋体" w:hAnsi="宋体" w:eastAsia="宋体"/>
                <w:sz w:val="16"/>
              </w:rPr>
              <w:t>9.44</w:t>
            </w:r>
          </w:p>
        </w:tc>
      </w:tr>
      <w:tr w14:paraId="46C6C4F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19B0B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13C258">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8F9FE8">
            <w:pPr>
              <w:jc w:val="center"/>
            </w:pPr>
            <w:r>
              <w:rPr>
                <w:rFonts w:ascii="宋体" w:hAnsi="宋体" w:eastAsia="宋体"/>
                <w:sz w:val="16"/>
              </w:rPr>
              <w:t>300.00</w:t>
            </w:r>
          </w:p>
        </w:tc>
        <w:tc>
          <w:tcPr>
            <w:tcW w:w="1331" w:type="dxa"/>
            <w:tcBorders>
              <w:top w:val="single" w:color="auto" w:sz="10" w:space="0"/>
              <w:left w:val="single" w:color="auto" w:sz="10" w:space="0"/>
              <w:bottom w:val="single" w:color="auto" w:sz="10" w:space="0"/>
              <w:right w:val="single" w:color="auto" w:sz="10" w:space="0"/>
              <w:insideV w:val="single" w:sz="10" w:space="0"/>
            </w:tcBorders>
            <w:vAlign w:val="center"/>
          </w:tcPr>
          <w:p w14:paraId="4BA507FD">
            <w:pPr>
              <w:jc w:val="center"/>
            </w:pPr>
            <w:r>
              <w:rPr>
                <w:rFonts w:ascii="宋体" w:hAnsi="宋体" w:eastAsia="宋体"/>
                <w:sz w:val="16"/>
              </w:rPr>
              <w:t>300.00</w:t>
            </w:r>
          </w:p>
        </w:tc>
        <w:tc>
          <w:tcPr>
            <w:tcW w:w="1085" w:type="dxa"/>
            <w:tcBorders>
              <w:top w:val="single" w:color="auto" w:sz="10" w:space="0"/>
              <w:left w:val="single" w:color="auto" w:sz="10" w:space="0"/>
              <w:bottom w:val="single" w:color="auto" w:sz="10" w:space="0"/>
              <w:right w:val="single" w:color="auto" w:sz="10" w:space="0"/>
              <w:insideV w:val="single" w:sz="10" w:space="0"/>
            </w:tcBorders>
            <w:vAlign w:val="center"/>
          </w:tcPr>
          <w:p w14:paraId="44BA8051">
            <w:pPr>
              <w:jc w:val="center"/>
            </w:pPr>
            <w:r>
              <w:rPr>
                <w:rFonts w:ascii="宋体" w:hAnsi="宋体" w:eastAsia="宋体"/>
                <w:sz w:val="16"/>
              </w:rPr>
              <w:t>248.00</w:t>
            </w:r>
          </w:p>
        </w:tc>
        <w:tc>
          <w:tcPr>
            <w:tcW w:w="899" w:type="dxa"/>
            <w:tcBorders>
              <w:top w:val="single" w:color="auto" w:sz="10" w:space="0"/>
              <w:left w:val="single" w:color="auto" w:sz="10" w:space="0"/>
              <w:bottom w:val="single" w:color="auto" w:sz="10" w:space="0"/>
              <w:right w:val="single" w:color="auto" w:sz="10" w:space="0"/>
              <w:insideV w:val="single" w:sz="10" w:space="0"/>
            </w:tcBorders>
            <w:vAlign w:val="center"/>
          </w:tcPr>
          <w:p w14:paraId="1D45565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AEAE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E8CE97">
            <w:pPr>
              <w:jc w:val="center"/>
            </w:pPr>
            <w:r>
              <w:rPr>
                <w:rFonts w:ascii="宋体" w:hAnsi="宋体" w:eastAsia="宋体"/>
                <w:sz w:val="16"/>
              </w:rPr>
              <w:t>-</w:t>
            </w:r>
          </w:p>
        </w:tc>
      </w:tr>
      <w:tr w14:paraId="5CD494D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F0D9C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81D16A">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A106D4">
            <w:pPr>
              <w:jc w:val="center"/>
            </w:pPr>
            <w:r>
              <w:rPr>
                <w:rFonts w:ascii="宋体" w:hAnsi="宋体" w:eastAsia="宋体"/>
                <w:sz w:val="16"/>
              </w:rPr>
              <w:t>375.10</w:t>
            </w:r>
          </w:p>
        </w:tc>
        <w:tc>
          <w:tcPr>
            <w:tcW w:w="1331" w:type="dxa"/>
            <w:tcBorders>
              <w:top w:val="single" w:color="auto" w:sz="10" w:space="0"/>
              <w:left w:val="single" w:color="auto" w:sz="10" w:space="0"/>
              <w:bottom w:val="single" w:color="auto" w:sz="10" w:space="0"/>
              <w:right w:val="single" w:color="auto" w:sz="10" w:space="0"/>
              <w:insideV w:val="single" w:sz="10" w:space="0"/>
            </w:tcBorders>
            <w:vAlign w:val="center"/>
          </w:tcPr>
          <w:p w14:paraId="66F7B8CE">
            <w:pPr>
              <w:jc w:val="center"/>
            </w:pPr>
            <w:r>
              <w:rPr>
                <w:rFonts w:ascii="宋体" w:hAnsi="宋体" w:eastAsia="宋体"/>
                <w:sz w:val="16"/>
              </w:rPr>
              <w:t>419.73</w:t>
            </w:r>
          </w:p>
        </w:tc>
        <w:tc>
          <w:tcPr>
            <w:tcW w:w="1085" w:type="dxa"/>
            <w:tcBorders>
              <w:top w:val="single" w:color="auto" w:sz="10" w:space="0"/>
              <w:left w:val="single" w:color="auto" w:sz="10" w:space="0"/>
              <w:bottom w:val="single" w:color="auto" w:sz="10" w:space="0"/>
              <w:right w:val="single" w:color="auto" w:sz="10" w:space="0"/>
              <w:insideV w:val="single" w:sz="10" w:space="0"/>
            </w:tcBorders>
            <w:vAlign w:val="center"/>
          </w:tcPr>
          <w:p w14:paraId="6EB7DD05">
            <w:pPr>
              <w:jc w:val="center"/>
            </w:pPr>
            <w:r>
              <w:rPr>
                <w:rFonts w:ascii="宋体" w:hAnsi="宋体" w:eastAsia="宋体"/>
                <w:sz w:val="16"/>
              </w:rPr>
              <w:t>490.80</w:t>
            </w:r>
          </w:p>
        </w:tc>
        <w:tc>
          <w:tcPr>
            <w:tcW w:w="899" w:type="dxa"/>
            <w:tcBorders>
              <w:top w:val="single" w:color="auto" w:sz="10" w:space="0"/>
              <w:left w:val="single" w:color="auto" w:sz="10" w:space="0"/>
              <w:bottom w:val="single" w:color="auto" w:sz="10" w:space="0"/>
              <w:right w:val="single" w:color="auto" w:sz="10" w:space="0"/>
              <w:insideV w:val="single" w:sz="10" w:space="0"/>
            </w:tcBorders>
            <w:vAlign w:val="center"/>
          </w:tcPr>
          <w:p w14:paraId="00FD0D0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7C2DF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F6A60">
            <w:pPr>
              <w:jc w:val="center"/>
            </w:pPr>
            <w:r>
              <w:rPr>
                <w:rFonts w:ascii="宋体" w:hAnsi="宋体" w:eastAsia="宋体"/>
                <w:sz w:val="16"/>
              </w:rPr>
              <w:t>-</w:t>
            </w:r>
          </w:p>
        </w:tc>
      </w:tr>
      <w:tr w14:paraId="1267ACB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5F75B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E1D30">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874170">
            <w:pPr>
              <w:jc w:val="center"/>
            </w:pPr>
            <w:r>
              <w:rPr>
                <w:rFonts w:ascii="宋体" w:hAnsi="宋体" w:eastAsia="宋体"/>
                <w:sz w:val="16"/>
              </w:rPr>
              <w:t>200.00</w:t>
            </w:r>
          </w:p>
        </w:tc>
        <w:tc>
          <w:tcPr>
            <w:tcW w:w="1331" w:type="dxa"/>
            <w:tcBorders>
              <w:top w:val="single" w:color="auto" w:sz="10" w:space="0"/>
              <w:left w:val="single" w:color="auto" w:sz="10" w:space="0"/>
              <w:bottom w:val="single" w:color="auto" w:sz="10" w:space="0"/>
              <w:right w:val="single" w:color="auto" w:sz="10" w:space="0"/>
              <w:insideV w:val="single" w:sz="10" w:space="0"/>
            </w:tcBorders>
            <w:vAlign w:val="center"/>
          </w:tcPr>
          <w:p w14:paraId="2E77322A">
            <w:pPr>
              <w:jc w:val="center"/>
            </w:pPr>
            <w:r>
              <w:rPr>
                <w:rFonts w:ascii="宋体" w:hAnsi="宋体" w:eastAsia="宋体"/>
                <w:sz w:val="16"/>
              </w:rPr>
              <w:t>200.00</w:t>
            </w:r>
          </w:p>
        </w:tc>
        <w:tc>
          <w:tcPr>
            <w:tcW w:w="1085" w:type="dxa"/>
            <w:tcBorders>
              <w:top w:val="single" w:color="auto" w:sz="10" w:space="0"/>
              <w:left w:val="single" w:color="auto" w:sz="10" w:space="0"/>
              <w:bottom w:val="single" w:color="auto" w:sz="10" w:space="0"/>
              <w:right w:val="single" w:color="auto" w:sz="10" w:space="0"/>
              <w:insideV w:val="single" w:sz="10" w:space="0"/>
            </w:tcBorders>
            <w:vAlign w:val="center"/>
          </w:tcPr>
          <w:p w14:paraId="289065FC">
            <w:pPr>
              <w:jc w:val="center"/>
            </w:pPr>
            <w:r>
              <w:rPr>
                <w:rFonts w:ascii="宋体" w:hAnsi="宋体" w:eastAsia="宋体"/>
                <w:sz w:val="16"/>
              </w:rPr>
              <w:t>128.93</w:t>
            </w:r>
          </w:p>
        </w:tc>
        <w:tc>
          <w:tcPr>
            <w:tcW w:w="899" w:type="dxa"/>
            <w:tcBorders>
              <w:top w:val="single" w:color="auto" w:sz="10" w:space="0"/>
              <w:left w:val="single" w:color="auto" w:sz="10" w:space="0"/>
              <w:bottom w:val="single" w:color="auto" w:sz="10" w:space="0"/>
              <w:right w:val="single" w:color="auto" w:sz="10" w:space="0"/>
              <w:insideV w:val="single" w:sz="10" w:space="0"/>
            </w:tcBorders>
            <w:vAlign w:val="center"/>
          </w:tcPr>
          <w:p w14:paraId="086BC57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F83A3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3DD05D">
            <w:pPr>
              <w:jc w:val="center"/>
            </w:pPr>
            <w:r>
              <w:rPr>
                <w:rFonts w:ascii="宋体" w:hAnsi="宋体" w:eastAsia="宋体"/>
                <w:sz w:val="16"/>
              </w:rPr>
              <w:t>-</w:t>
            </w:r>
          </w:p>
        </w:tc>
      </w:tr>
      <w:tr w14:paraId="3A6A888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07691">
            <w:pPr>
              <w:jc w:val="center"/>
            </w:pPr>
            <w:r>
              <w:rPr>
                <w:rFonts w:ascii="宋体" w:hAnsi="宋体" w:eastAsia="宋体"/>
                <w:sz w:val="16"/>
              </w:rPr>
              <w:t>年度总目标</w:t>
            </w:r>
          </w:p>
        </w:tc>
        <w:tc>
          <w:tcPr>
            <w:tcW w:w="354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25CD8F">
            <w:pPr>
              <w:jc w:val="center"/>
            </w:pPr>
            <w:r>
              <w:rPr>
                <w:rFonts w:ascii="宋体" w:hAnsi="宋体" w:eastAsia="宋体"/>
                <w:sz w:val="16"/>
              </w:rPr>
              <w:t>预期目标</w:t>
            </w:r>
          </w:p>
        </w:tc>
        <w:tc>
          <w:tcPr>
            <w:tcW w:w="419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8AB093">
            <w:pPr>
              <w:jc w:val="center"/>
            </w:pPr>
            <w:r>
              <w:rPr>
                <w:rFonts w:ascii="宋体" w:hAnsi="宋体" w:eastAsia="宋体"/>
                <w:sz w:val="16"/>
              </w:rPr>
              <w:t>实际完成情况</w:t>
            </w:r>
          </w:p>
        </w:tc>
      </w:tr>
      <w:tr w14:paraId="65EAA99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37F678"/>
        </w:tc>
        <w:tc>
          <w:tcPr>
            <w:tcW w:w="354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E831BF">
            <w:pPr>
              <w:jc w:val="both"/>
            </w:pPr>
            <w:r>
              <w:rPr>
                <w:rFonts w:hint="eastAsia" w:ascii="宋体" w:hAnsi="宋体"/>
                <w:sz w:val="16"/>
                <w:lang w:eastAsia="zh-CN"/>
              </w:rPr>
              <w:t>1.</w:t>
            </w:r>
            <w:r>
              <w:rPr>
                <w:rFonts w:ascii="宋体" w:hAnsi="宋体" w:eastAsia="宋体"/>
                <w:sz w:val="16"/>
              </w:rPr>
              <w:t>保障消防指战员20人基础绩效工资及单位部分养老、职业年及住房，地方财政政府专职消防员18人工资及社保、公积金及取暖费的正常发放及缴纳；发放4个季度高危补助。2、确保消防各项工作运行顺畅，大力开展日常监督执法和消防产品专项检查，强化消防宣传教育,每年不少于8次。3、全力推广全民消防学习平台，积极发动行业部门、企事业单位注册答题，鼓励群众参与在线学习消防知识，截至目前，注册人数10420人达到80%注册率。</w:t>
            </w:r>
          </w:p>
        </w:tc>
        <w:tc>
          <w:tcPr>
            <w:tcW w:w="419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791D1A">
            <w:pPr>
              <w:jc w:val="both"/>
            </w:pPr>
            <w:r>
              <w:rPr>
                <w:rFonts w:hint="eastAsia" w:ascii="宋体" w:hAnsi="宋体"/>
                <w:sz w:val="16"/>
                <w:lang w:eastAsia="zh-CN"/>
              </w:rPr>
              <w:t>1.</w:t>
            </w:r>
            <w:r>
              <w:rPr>
                <w:rFonts w:ascii="宋体" w:hAnsi="宋体" w:eastAsia="宋体"/>
                <w:sz w:val="16"/>
              </w:rPr>
              <w:t>大力开展日常监督执法和消防产品专项检查，强化消防宣传教育,每年不少于8次，有效提升了社会各阶层的消防安全意识和自防自救能力，达到了减少火灾事故的效果2、保障消防指战员消防设施使用人数&gt;=45人，达到在火灾初期起到关键作用，快速控制火势并保障人员的生命安全3、完成全民消防学习平台注册，注册人数10420人达到80%注册率，让用户深入了解消防安全知识，更好</w:t>
            </w:r>
            <w:r>
              <w:rPr>
                <w:rFonts w:hint="eastAsia" w:ascii="宋体" w:hAnsi="宋体"/>
                <w:sz w:val="16"/>
                <w:lang w:eastAsia="zh-CN"/>
              </w:rPr>
              <w:t>地</w:t>
            </w:r>
            <w:r>
              <w:rPr>
                <w:rFonts w:ascii="宋体" w:hAnsi="宋体" w:eastAsia="宋体"/>
                <w:sz w:val="16"/>
              </w:rPr>
              <w:t>参与到消防安全事务中来4、大队各级党组织健全率&gt;=100%，5、干部基础体能科目100%达标，达到了在各项应急救援任务中能够圆满完成的标准6、保障人民生命财产安全，有效</w:t>
            </w:r>
            <w:r>
              <w:rPr>
                <w:rFonts w:hint="eastAsia" w:ascii="宋体" w:hAnsi="宋体"/>
                <w:sz w:val="16"/>
                <w:lang w:eastAsia="zh-CN"/>
              </w:rPr>
              <w:t>地</w:t>
            </w:r>
            <w:r>
              <w:rPr>
                <w:rFonts w:ascii="宋体" w:hAnsi="宋体" w:eastAsia="宋体"/>
                <w:sz w:val="16"/>
              </w:rPr>
              <w:t>维护人民基本权利，促进社会和谐稳定，推动经济发展。</w:t>
            </w:r>
          </w:p>
        </w:tc>
      </w:tr>
      <w:tr w14:paraId="279FCC5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C7CDD">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31E3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90E28A">
            <w:pPr>
              <w:jc w:val="center"/>
            </w:pPr>
            <w:r>
              <w:rPr>
                <w:rFonts w:ascii="宋体" w:hAnsi="宋体" w:eastAsia="宋体"/>
                <w:sz w:val="16"/>
              </w:rPr>
              <w:t>三级指标</w:t>
            </w:r>
          </w:p>
        </w:tc>
        <w:tc>
          <w:tcPr>
            <w:tcW w:w="1331" w:type="dxa"/>
            <w:tcBorders>
              <w:top w:val="single" w:color="auto" w:sz="10" w:space="0"/>
              <w:left w:val="single" w:color="auto" w:sz="10" w:space="0"/>
              <w:bottom w:val="single" w:color="auto" w:sz="10" w:space="0"/>
              <w:right w:val="single" w:color="auto" w:sz="10" w:space="0"/>
              <w:insideV w:val="single" w:sz="10" w:space="0"/>
            </w:tcBorders>
            <w:vAlign w:val="center"/>
          </w:tcPr>
          <w:p w14:paraId="0DA150A8">
            <w:pPr>
              <w:jc w:val="center"/>
            </w:pPr>
            <w:r>
              <w:rPr>
                <w:rFonts w:ascii="宋体" w:hAnsi="宋体" w:eastAsia="宋体"/>
                <w:sz w:val="16"/>
              </w:rPr>
              <w:t>指标值</w:t>
            </w:r>
          </w:p>
        </w:tc>
        <w:tc>
          <w:tcPr>
            <w:tcW w:w="1085" w:type="dxa"/>
            <w:tcBorders>
              <w:top w:val="single" w:color="auto" w:sz="10" w:space="0"/>
              <w:left w:val="single" w:color="auto" w:sz="10" w:space="0"/>
              <w:bottom w:val="single" w:color="auto" w:sz="10" w:space="0"/>
              <w:right w:val="single" w:color="auto" w:sz="10" w:space="0"/>
              <w:insideV w:val="single" w:sz="10" w:space="0"/>
            </w:tcBorders>
            <w:vAlign w:val="center"/>
          </w:tcPr>
          <w:p w14:paraId="2370A6E0">
            <w:pPr>
              <w:jc w:val="center"/>
            </w:pPr>
            <w:r>
              <w:rPr>
                <w:rFonts w:ascii="宋体" w:hAnsi="宋体" w:eastAsia="宋体"/>
                <w:sz w:val="16"/>
              </w:rPr>
              <w:t>指标设定依据</w:t>
            </w:r>
          </w:p>
        </w:tc>
        <w:tc>
          <w:tcPr>
            <w:tcW w:w="899" w:type="dxa"/>
            <w:tcBorders>
              <w:top w:val="single" w:color="auto" w:sz="10" w:space="0"/>
              <w:left w:val="single" w:color="auto" w:sz="10" w:space="0"/>
              <w:bottom w:val="single" w:color="auto" w:sz="10" w:space="0"/>
              <w:right w:val="single" w:color="auto" w:sz="10" w:space="0"/>
              <w:insideV w:val="single" w:sz="10" w:space="0"/>
            </w:tcBorders>
            <w:vAlign w:val="center"/>
          </w:tcPr>
          <w:p w14:paraId="0B7E0CC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8E530A">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3B54A1">
            <w:pPr>
              <w:jc w:val="center"/>
            </w:pPr>
            <w:r>
              <w:rPr>
                <w:rFonts w:ascii="宋体" w:hAnsi="宋体" w:eastAsia="宋体"/>
                <w:sz w:val="16"/>
              </w:rPr>
              <w:t>得分</w:t>
            </w:r>
          </w:p>
        </w:tc>
      </w:tr>
      <w:tr w14:paraId="0FDA183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1C5AF9">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5726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8EBEE">
            <w:pPr>
              <w:jc w:val="center"/>
            </w:pPr>
            <w:r>
              <w:rPr>
                <w:rFonts w:ascii="宋体" w:hAnsi="宋体" w:eastAsia="宋体"/>
                <w:sz w:val="16"/>
              </w:rPr>
              <w:t>消防车开展流动宣传次数</w:t>
            </w:r>
          </w:p>
        </w:tc>
        <w:tc>
          <w:tcPr>
            <w:tcW w:w="1331" w:type="dxa"/>
            <w:tcBorders>
              <w:top w:val="single" w:color="auto" w:sz="10" w:space="0"/>
              <w:left w:val="single" w:color="auto" w:sz="10" w:space="0"/>
              <w:bottom w:val="single" w:color="auto" w:sz="10" w:space="0"/>
              <w:right w:val="single" w:color="auto" w:sz="10" w:space="0"/>
              <w:insideV w:val="single" w:sz="10" w:space="0"/>
            </w:tcBorders>
            <w:vAlign w:val="center"/>
          </w:tcPr>
          <w:p w14:paraId="0F5BCEBB">
            <w:pPr>
              <w:jc w:val="center"/>
            </w:pPr>
            <w:r>
              <w:rPr>
                <w:rFonts w:ascii="宋体" w:hAnsi="宋体" w:eastAsia="宋体"/>
                <w:sz w:val="16"/>
              </w:rPr>
              <w:t>&gt;=8次</w:t>
            </w:r>
          </w:p>
        </w:tc>
        <w:tc>
          <w:tcPr>
            <w:tcW w:w="1085" w:type="dxa"/>
            <w:tcBorders>
              <w:top w:val="single" w:color="auto" w:sz="10" w:space="0"/>
              <w:left w:val="single" w:color="auto" w:sz="10" w:space="0"/>
              <w:bottom w:val="single" w:color="auto" w:sz="10" w:space="0"/>
              <w:right w:val="single" w:color="auto" w:sz="10" w:space="0"/>
              <w:insideV w:val="single" w:sz="10" w:space="0"/>
            </w:tcBorders>
            <w:vAlign w:val="center"/>
          </w:tcPr>
          <w:p w14:paraId="7AD796D2">
            <w:pPr>
              <w:jc w:val="center"/>
            </w:pPr>
            <w:r>
              <w:rPr>
                <w:rFonts w:hint="eastAsia" w:ascii="宋体" w:hAnsi="宋体"/>
                <w:sz w:val="16"/>
                <w:lang w:val="en-US" w:eastAsia="zh-CN"/>
              </w:rPr>
              <w:t>不予公开</w:t>
            </w:r>
            <w:r>
              <w:rPr>
                <w:rFonts w:ascii="宋体" w:hAnsi="宋体" w:eastAsia="宋体"/>
                <w:sz w:val="16"/>
              </w:rPr>
              <w:t>说明</w:t>
            </w:r>
          </w:p>
        </w:tc>
        <w:tc>
          <w:tcPr>
            <w:tcW w:w="899" w:type="dxa"/>
            <w:tcBorders>
              <w:top w:val="single" w:color="auto" w:sz="10" w:space="0"/>
              <w:left w:val="single" w:color="auto" w:sz="10" w:space="0"/>
              <w:bottom w:val="single" w:color="auto" w:sz="10" w:space="0"/>
              <w:right w:val="single" w:color="auto" w:sz="10" w:space="0"/>
              <w:insideV w:val="single" w:sz="10" w:space="0"/>
            </w:tcBorders>
            <w:vAlign w:val="center"/>
          </w:tcPr>
          <w:p w14:paraId="5293A2B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12B5A4">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5BEAAD">
            <w:pPr>
              <w:jc w:val="center"/>
            </w:pPr>
            <w:r>
              <w:rPr>
                <w:rFonts w:ascii="宋体" w:hAnsi="宋体" w:eastAsia="宋体"/>
                <w:sz w:val="16"/>
              </w:rPr>
              <w:t>10</w:t>
            </w:r>
          </w:p>
        </w:tc>
      </w:tr>
      <w:tr w14:paraId="7918674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E3B3B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1C90D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DF33DB">
            <w:pPr>
              <w:jc w:val="center"/>
            </w:pPr>
            <w:r>
              <w:rPr>
                <w:rFonts w:ascii="宋体" w:hAnsi="宋体" w:eastAsia="宋体"/>
                <w:sz w:val="16"/>
              </w:rPr>
              <w:t>消防设施使用人数</w:t>
            </w:r>
          </w:p>
        </w:tc>
        <w:tc>
          <w:tcPr>
            <w:tcW w:w="1331" w:type="dxa"/>
            <w:tcBorders>
              <w:top w:val="single" w:color="auto" w:sz="10" w:space="0"/>
              <w:left w:val="single" w:color="auto" w:sz="10" w:space="0"/>
              <w:bottom w:val="single" w:color="auto" w:sz="10" w:space="0"/>
              <w:right w:val="single" w:color="auto" w:sz="10" w:space="0"/>
              <w:insideV w:val="single" w:sz="10" w:space="0"/>
            </w:tcBorders>
            <w:vAlign w:val="center"/>
          </w:tcPr>
          <w:p w14:paraId="49B78795">
            <w:pPr>
              <w:jc w:val="center"/>
            </w:pPr>
            <w:r>
              <w:rPr>
                <w:rFonts w:ascii="宋体" w:hAnsi="宋体" w:eastAsia="宋体"/>
                <w:sz w:val="16"/>
              </w:rPr>
              <w:t>&gt;=45人</w:t>
            </w:r>
          </w:p>
        </w:tc>
        <w:tc>
          <w:tcPr>
            <w:tcW w:w="1085" w:type="dxa"/>
            <w:tcBorders>
              <w:top w:val="single" w:color="auto" w:sz="10" w:space="0"/>
              <w:left w:val="single" w:color="auto" w:sz="10" w:space="0"/>
              <w:bottom w:val="single" w:color="auto" w:sz="10" w:space="0"/>
              <w:right w:val="single" w:color="auto" w:sz="10" w:space="0"/>
              <w:insideV w:val="single" w:sz="10" w:space="0"/>
            </w:tcBorders>
            <w:vAlign w:val="center"/>
          </w:tcPr>
          <w:p w14:paraId="33C72CA8">
            <w:pPr>
              <w:jc w:val="center"/>
            </w:pPr>
            <w:r>
              <w:rPr>
                <w:rFonts w:hint="eastAsia" w:ascii="宋体" w:hAnsi="宋体"/>
                <w:sz w:val="16"/>
                <w:lang w:eastAsia="zh-CN"/>
              </w:rPr>
              <w:t>不予公开</w:t>
            </w:r>
            <w:r>
              <w:rPr>
                <w:rFonts w:ascii="宋体" w:hAnsi="宋体" w:eastAsia="宋体"/>
                <w:sz w:val="16"/>
              </w:rPr>
              <w:t>说明</w:t>
            </w:r>
          </w:p>
        </w:tc>
        <w:tc>
          <w:tcPr>
            <w:tcW w:w="899" w:type="dxa"/>
            <w:tcBorders>
              <w:top w:val="single" w:color="auto" w:sz="10" w:space="0"/>
              <w:left w:val="single" w:color="auto" w:sz="10" w:space="0"/>
              <w:bottom w:val="single" w:color="auto" w:sz="10" w:space="0"/>
              <w:right w:val="single" w:color="auto" w:sz="10" w:space="0"/>
              <w:insideV w:val="single" w:sz="10" w:space="0"/>
            </w:tcBorders>
            <w:vAlign w:val="center"/>
          </w:tcPr>
          <w:p w14:paraId="77CB27B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47C36F">
            <w:pPr>
              <w:jc w:val="center"/>
            </w:pPr>
            <w:r>
              <w:rPr>
                <w:rFonts w:ascii="宋体" w:hAnsi="宋体" w:eastAsia="宋体"/>
                <w:sz w:val="16"/>
              </w:rPr>
              <w:t>45人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29BCA2">
            <w:pPr>
              <w:jc w:val="center"/>
            </w:pPr>
            <w:r>
              <w:rPr>
                <w:rFonts w:ascii="宋体" w:hAnsi="宋体" w:eastAsia="宋体"/>
                <w:sz w:val="16"/>
              </w:rPr>
              <w:t>15</w:t>
            </w:r>
          </w:p>
        </w:tc>
      </w:tr>
      <w:tr w14:paraId="7AFBEF2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47BD08"/>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5986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B81554">
            <w:pPr>
              <w:jc w:val="center"/>
            </w:pPr>
            <w:r>
              <w:rPr>
                <w:rFonts w:ascii="宋体" w:hAnsi="宋体" w:eastAsia="宋体"/>
                <w:sz w:val="16"/>
              </w:rPr>
              <w:t>完成全民消防学习平台注册</w:t>
            </w:r>
          </w:p>
        </w:tc>
        <w:tc>
          <w:tcPr>
            <w:tcW w:w="1331" w:type="dxa"/>
            <w:tcBorders>
              <w:top w:val="single" w:color="auto" w:sz="10" w:space="0"/>
              <w:left w:val="single" w:color="auto" w:sz="10" w:space="0"/>
              <w:bottom w:val="single" w:color="auto" w:sz="10" w:space="0"/>
              <w:right w:val="single" w:color="auto" w:sz="10" w:space="0"/>
              <w:insideV w:val="single" w:sz="10" w:space="0"/>
            </w:tcBorders>
            <w:vAlign w:val="center"/>
          </w:tcPr>
          <w:p w14:paraId="4F32B946">
            <w:pPr>
              <w:jc w:val="center"/>
            </w:pPr>
            <w:r>
              <w:rPr>
                <w:rFonts w:ascii="宋体" w:hAnsi="宋体" w:eastAsia="宋体"/>
                <w:sz w:val="16"/>
              </w:rPr>
              <w:t>&gt;=80%</w:t>
            </w:r>
          </w:p>
        </w:tc>
        <w:tc>
          <w:tcPr>
            <w:tcW w:w="1085" w:type="dxa"/>
            <w:tcBorders>
              <w:top w:val="single" w:color="auto" w:sz="10" w:space="0"/>
              <w:left w:val="single" w:color="auto" w:sz="10" w:space="0"/>
              <w:bottom w:val="single" w:color="auto" w:sz="10" w:space="0"/>
              <w:right w:val="single" w:color="auto" w:sz="10" w:space="0"/>
              <w:insideV w:val="single" w:sz="10" w:space="0"/>
            </w:tcBorders>
            <w:vAlign w:val="center"/>
          </w:tcPr>
          <w:p w14:paraId="3F49CA6A">
            <w:pPr>
              <w:jc w:val="center"/>
            </w:pPr>
            <w:r>
              <w:rPr>
                <w:rFonts w:hint="eastAsia" w:ascii="宋体" w:hAnsi="宋体"/>
                <w:sz w:val="16"/>
                <w:lang w:eastAsia="zh-CN"/>
              </w:rPr>
              <w:t>不予公开</w:t>
            </w:r>
            <w:r>
              <w:rPr>
                <w:rFonts w:ascii="宋体" w:hAnsi="宋体" w:eastAsia="宋体"/>
                <w:sz w:val="16"/>
              </w:rPr>
              <w:t>说明</w:t>
            </w:r>
          </w:p>
        </w:tc>
        <w:tc>
          <w:tcPr>
            <w:tcW w:w="899" w:type="dxa"/>
            <w:tcBorders>
              <w:top w:val="single" w:color="auto" w:sz="10" w:space="0"/>
              <w:left w:val="single" w:color="auto" w:sz="10" w:space="0"/>
              <w:bottom w:val="single" w:color="auto" w:sz="10" w:space="0"/>
              <w:right w:val="single" w:color="auto" w:sz="10" w:space="0"/>
              <w:insideV w:val="single" w:sz="10" w:space="0"/>
            </w:tcBorders>
            <w:vAlign w:val="center"/>
          </w:tcPr>
          <w:p w14:paraId="2E0916E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A2B41B">
            <w:pPr>
              <w:jc w:val="center"/>
            </w:pPr>
            <w:r>
              <w:rPr>
                <w:rFonts w:ascii="宋体" w:hAnsi="宋体" w:eastAsia="宋体"/>
                <w:sz w:val="16"/>
              </w:rPr>
              <w: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3A1D58">
            <w:pPr>
              <w:jc w:val="center"/>
            </w:pPr>
            <w:r>
              <w:rPr>
                <w:rFonts w:ascii="宋体" w:hAnsi="宋体" w:eastAsia="宋体"/>
                <w:sz w:val="16"/>
              </w:rPr>
              <w:t>15</w:t>
            </w:r>
          </w:p>
        </w:tc>
      </w:tr>
      <w:tr w14:paraId="0FA2C37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A73D2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C4E45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C842E1">
            <w:pPr>
              <w:jc w:val="center"/>
            </w:pPr>
            <w:r>
              <w:rPr>
                <w:rFonts w:ascii="宋体" w:hAnsi="宋体" w:eastAsia="宋体"/>
                <w:sz w:val="16"/>
              </w:rPr>
              <w:t>大队各级党组织健全率</w:t>
            </w:r>
          </w:p>
        </w:tc>
        <w:tc>
          <w:tcPr>
            <w:tcW w:w="1331" w:type="dxa"/>
            <w:tcBorders>
              <w:top w:val="single" w:color="auto" w:sz="10" w:space="0"/>
              <w:left w:val="single" w:color="auto" w:sz="10" w:space="0"/>
              <w:bottom w:val="single" w:color="auto" w:sz="10" w:space="0"/>
              <w:right w:val="single" w:color="auto" w:sz="10" w:space="0"/>
              <w:insideV w:val="single" w:sz="10" w:space="0"/>
            </w:tcBorders>
            <w:vAlign w:val="center"/>
          </w:tcPr>
          <w:p w14:paraId="5E7F67F6">
            <w:pPr>
              <w:jc w:val="center"/>
            </w:pPr>
            <w:r>
              <w:rPr>
                <w:rFonts w:ascii="宋体" w:hAnsi="宋体" w:eastAsia="宋体"/>
                <w:sz w:val="16"/>
              </w:rPr>
              <w:t>&gt;=100%</w:t>
            </w:r>
          </w:p>
        </w:tc>
        <w:tc>
          <w:tcPr>
            <w:tcW w:w="1085" w:type="dxa"/>
            <w:tcBorders>
              <w:top w:val="single" w:color="auto" w:sz="10" w:space="0"/>
              <w:left w:val="single" w:color="auto" w:sz="10" w:space="0"/>
              <w:bottom w:val="single" w:color="auto" w:sz="10" w:space="0"/>
              <w:right w:val="single" w:color="auto" w:sz="10" w:space="0"/>
              <w:insideV w:val="single" w:sz="10" w:space="0"/>
            </w:tcBorders>
            <w:vAlign w:val="center"/>
          </w:tcPr>
          <w:p w14:paraId="427B2E49">
            <w:pPr>
              <w:jc w:val="center"/>
            </w:pPr>
            <w:r>
              <w:rPr>
                <w:rFonts w:hint="eastAsia" w:ascii="宋体" w:hAnsi="宋体"/>
                <w:sz w:val="16"/>
                <w:lang w:eastAsia="zh-CN"/>
              </w:rPr>
              <w:t>不予公开</w:t>
            </w:r>
            <w:r>
              <w:rPr>
                <w:rFonts w:ascii="宋体" w:hAnsi="宋体" w:eastAsia="宋体"/>
                <w:sz w:val="16"/>
              </w:rPr>
              <w:t>说明</w:t>
            </w:r>
          </w:p>
        </w:tc>
        <w:tc>
          <w:tcPr>
            <w:tcW w:w="899" w:type="dxa"/>
            <w:tcBorders>
              <w:top w:val="single" w:color="auto" w:sz="10" w:space="0"/>
              <w:left w:val="single" w:color="auto" w:sz="10" w:space="0"/>
              <w:bottom w:val="single" w:color="auto" w:sz="10" w:space="0"/>
              <w:right w:val="single" w:color="auto" w:sz="10" w:space="0"/>
              <w:insideV w:val="single" w:sz="10" w:space="0"/>
            </w:tcBorders>
            <w:vAlign w:val="center"/>
          </w:tcPr>
          <w:p w14:paraId="3C36098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E090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7A5D19">
            <w:pPr>
              <w:jc w:val="center"/>
            </w:pPr>
            <w:r>
              <w:rPr>
                <w:rFonts w:ascii="宋体" w:hAnsi="宋体" w:eastAsia="宋体"/>
                <w:sz w:val="16"/>
              </w:rPr>
              <w:t>10</w:t>
            </w:r>
          </w:p>
        </w:tc>
      </w:tr>
      <w:tr w14:paraId="538E20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D4B83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ED748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B695F2">
            <w:pPr>
              <w:jc w:val="center"/>
            </w:pPr>
            <w:r>
              <w:rPr>
                <w:rFonts w:ascii="宋体" w:hAnsi="宋体" w:eastAsia="宋体"/>
                <w:sz w:val="16"/>
              </w:rPr>
              <w:t>干部基础体能课目达标率</w:t>
            </w:r>
          </w:p>
        </w:tc>
        <w:tc>
          <w:tcPr>
            <w:tcW w:w="1331" w:type="dxa"/>
            <w:tcBorders>
              <w:top w:val="single" w:color="auto" w:sz="10" w:space="0"/>
              <w:left w:val="single" w:color="auto" w:sz="10" w:space="0"/>
              <w:bottom w:val="single" w:color="auto" w:sz="10" w:space="0"/>
              <w:right w:val="single" w:color="auto" w:sz="10" w:space="0"/>
              <w:insideV w:val="single" w:sz="10" w:space="0"/>
            </w:tcBorders>
            <w:vAlign w:val="center"/>
          </w:tcPr>
          <w:p w14:paraId="45BE0051">
            <w:pPr>
              <w:jc w:val="center"/>
            </w:pPr>
            <w:r>
              <w:rPr>
                <w:rFonts w:ascii="宋体" w:hAnsi="宋体" w:eastAsia="宋体"/>
                <w:sz w:val="16"/>
              </w:rPr>
              <w:t>&gt;=100%</w:t>
            </w:r>
          </w:p>
        </w:tc>
        <w:tc>
          <w:tcPr>
            <w:tcW w:w="1085" w:type="dxa"/>
            <w:tcBorders>
              <w:top w:val="single" w:color="auto" w:sz="10" w:space="0"/>
              <w:left w:val="single" w:color="auto" w:sz="10" w:space="0"/>
              <w:bottom w:val="single" w:color="auto" w:sz="10" w:space="0"/>
              <w:right w:val="single" w:color="auto" w:sz="10" w:space="0"/>
              <w:insideV w:val="single" w:sz="10" w:space="0"/>
            </w:tcBorders>
            <w:vAlign w:val="center"/>
          </w:tcPr>
          <w:p w14:paraId="1AFE2280">
            <w:pPr>
              <w:jc w:val="center"/>
            </w:pPr>
            <w:r>
              <w:rPr>
                <w:rFonts w:hint="eastAsia" w:ascii="宋体" w:hAnsi="宋体"/>
                <w:sz w:val="16"/>
                <w:lang w:eastAsia="zh-CN"/>
              </w:rPr>
              <w:t>不予公开</w:t>
            </w:r>
            <w:r>
              <w:rPr>
                <w:rFonts w:ascii="宋体" w:hAnsi="宋体" w:eastAsia="宋体"/>
                <w:sz w:val="16"/>
              </w:rPr>
              <w:t>说明</w:t>
            </w:r>
          </w:p>
        </w:tc>
        <w:tc>
          <w:tcPr>
            <w:tcW w:w="899" w:type="dxa"/>
            <w:tcBorders>
              <w:top w:val="single" w:color="auto" w:sz="10" w:space="0"/>
              <w:left w:val="single" w:color="auto" w:sz="10" w:space="0"/>
              <w:bottom w:val="single" w:color="auto" w:sz="10" w:space="0"/>
              <w:right w:val="single" w:color="auto" w:sz="10" w:space="0"/>
              <w:insideV w:val="single" w:sz="10" w:space="0"/>
            </w:tcBorders>
            <w:vAlign w:val="center"/>
          </w:tcPr>
          <w:p w14:paraId="556535DF">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D362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D7C81">
            <w:pPr>
              <w:jc w:val="center"/>
            </w:pPr>
            <w:r>
              <w:rPr>
                <w:rFonts w:ascii="宋体" w:hAnsi="宋体" w:eastAsia="宋体"/>
                <w:sz w:val="16"/>
              </w:rPr>
              <w:t>20</w:t>
            </w:r>
          </w:p>
        </w:tc>
      </w:tr>
      <w:tr w14:paraId="4373628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6113D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FC716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70C01">
            <w:pPr>
              <w:jc w:val="center"/>
            </w:pPr>
            <w:r>
              <w:rPr>
                <w:rFonts w:ascii="宋体" w:hAnsi="宋体" w:eastAsia="宋体"/>
                <w:sz w:val="16"/>
              </w:rPr>
              <w:t>保障人民生命财产安全率</w:t>
            </w:r>
          </w:p>
        </w:tc>
        <w:tc>
          <w:tcPr>
            <w:tcW w:w="1331" w:type="dxa"/>
            <w:tcBorders>
              <w:top w:val="single" w:color="auto" w:sz="10" w:space="0"/>
              <w:left w:val="single" w:color="auto" w:sz="10" w:space="0"/>
              <w:bottom w:val="single" w:color="auto" w:sz="10" w:space="0"/>
              <w:right w:val="single" w:color="auto" w:sz="10" w:space="0"/>
              <w:insideV w:val="single" w:sz="10" w:space="0"/>
            </w:tcBorders>
            <w:vAlign w:val="center"/>
          </w:tcPr>
          <w:p w14:paraId="41146220">
            <w:pPr>
              <w:jc w:val="center"/>
            </w:pPr>
            <w:r>
              <w:rPr>
                <w:rFonts w:ascii="宋体" w:hAnsi="宋体" w:eastAsia="宋体"/>
                <w:sz w:val="16"/>
              </w:rPr>
              <w:t>&gt;=98%</w:t>
            </w:r>
          </w:p>
        </w:tc>
        <w:tc>
          <w:tcPr>
            <w:tcW w:w="1085" w:type="dxa"/>
            <w:tcBorders>
              <w:top w:val="single" w:color="auto" w:sz="10" w:space="0"/>
              <w:left w:val="single" w:color="auto" w:sz="10" w:space="0"/>
              <w:bottom w:val="single" w:color="auto" w:sz="10" w:space="0"/>
              <w:right w:val="single" w:color="auto" w:sz="10" w:space="0"/>
              <w:insideV w:val="single" w:sz="10" w:space="0"/>
            </w:tcBorders>
            <w:vAlign w:val="center"/>
          </w:tcPr>
          <w:p w14:paraId="1CA21DDC">
            <w:pPr>
              <w:jc w:val="center"/>
            </w:pPr>
            <w:r>
              <w:rPr>
                <w:rFonts w:hint="eastAsia" w:ascii="宋体" w:hAnsi="宋体"/>
                <w:sz w:val="16"/>
                <w:lang w:eastAsia="zh-CN"/>
              </w:rPr>
              <w:t>不予公开</w:t>
            </w:r>
            <w:r>
              <w:rPr>
                <w:rFonts w:ascii="宋体" w:hAnsi="宋体" w:eastAsia="宋体"/>
                <w:sz w:val="16"/>
              </w:rPr>
              <w:t>说明</w:t>
            </w:r>
          </w:p>
        </w:tc>
        <w:tc>
          <w:tcPr>
            <w:tcW w:w="899" w:type="dxa"/>
            <w:tcBorders>
              <w:top w:val="single" w:color="auto" w:sz="10" w:space="0"/>
              <w:left w:val="single" w:color="auto" w:sz="10" w:space="0"/>
              <w:bottom w:val="single" w:color="auto" w:sz="10" w:space="0"/>
              <w:right w:val="single" w:color="auto" w:sz="10" w:space="0"/>
              <w:insideV w:val="single" w:sz="10" w:space="0"/>
            </w:tcBorders>
            <w:vAlign w:val="center"/>
          </w:tcPr>
          <w:p w14:paraId="101F63CF">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D38EFA">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45B5F">
            <w:pPr>
              <w:jc w:val="center"/>
            </w:pPr>
            <w:r>
              <w:rPr>
                <w:rFonts w:ascii="宋体" w:hAnsi="宋体" w:eastAsia="宋体"/>
                <w:sz w:val="16"/>
              </w:rPr>
              <w:t>20</w:t>
            </w:r>
          </w:p>
        </w:tc>
      </w:tr>
    </w:tbl>
    <w:p w14:paraId="25E32FF6">
      <w:r>
        <w:br w:type="page"/>
      </w:r>
    </w:p>
    <w:p w14:paraId="0EA328C1">
      <w:pPr>
        <w:spacing w:line="640" w:lineRule="exact"/>
        <w:ind w:firstLine="640"/>
        <w:jc w:val="both"/>
        <w:outlineLvl w:val="2"/>
      </w:pPr>
      <w:r>
        <w:rPr>
          <w:rFonts w:ascii="黑体" w:hAnsi="黑体" w:eastAsia="黑体"/>
          <w:sz w:val="32"/>
        </w:rPr>
        <w:t>十二、其他需说明的事项</w:t>
      </w:r>
    </w:p>
    <w:p w14:paraId="5D5FDEFD">
      <w:pPr>
        <w:spacing w:line="580" w:lineRule="exact"/>
        <w:ind w:firstLine="640"/>
        <w:jc w:val="both"/>
      </w:pPr>
      <w:r>
        <w:rPr>
          <w:rFonts w:ascii="仿宋_GB2312" w:hAnsi="仿宋_GB2312" w:eastAsia="仿宋_GB2312"/>
          <w:b w:val="0"/>
          <w:sz w:val="32"/>
        </w:rPr>
        <w:t>本年本单位不予公开项目6个，全年预算数</w:t>
      </w:r>
      <w:r>
        <w:rPr>
          <w:rFonts w:hint="eastAsia" w:ascii="仿宋_GB2312" w:hAnsi="仿宋_GB2312" w:eastAsia="仿宋_GB2312"/>
          <w:b w:val="0"/>
          <w:sz w:val="32"/>
          <w:lang w:val="en-US" w:eastAsia="zh-CN"/>
        </w:rPr>
        <w:t>670</w:t>
      </w:r>
      <w:r>
        <w:rPr>
          <w:rFonts w:ascii="仿宋_GB2312" w:hAnsi="仿宋_GB2312" w:eastAsia="仿宋_GB2312"/>
          <w:b w:val="0"/>
          <w:sz w:val="32"/>
        </w:rPr>
        <w:t>.</w:t>
      </w:r>
      <w:r>
        <w:rPr>
          <w:rFonts w:hint="eastAsia" w:ascii="仿宋_GB2312" w:hAnsi="仿宋_GB2312" w:eastAsia="仿宋_GB2312"/>
          <w:b w:val="0"/>
          <w:sz w:val="32"/>
          <w:lang w:val="en-US" w:eastAsia="zh-CN"/>
        </w:rPr>
        <w:t>97</w:t>
      </w:r>
      <w:r>
        <w:rPr>
          <w:rFonts w:ascii="仿宋_GB2312" w:hAnsi="仿宋_GB2312" w:eastAsia="仿宋_GB2312"/>
          <w:b w:val="0"/>
          <w:sz w:val="32"/>
        </w:rPr>
        <w:t>万元，全年执行数</w:t>
      </w:r>
      <w:r>
        <w:rPr>
          <w:rFonts w:hint="eastAsia" w:ascii="仿宋_GB2312" w:hAnsi="仿宋_GB2312" w:eastAsia="仿宋_GB2312"/>
          <w:b w:val="0"/>
          <w:sz w:val="32"/>
          <w:lang w:val="en-US" w:eastAsia="zh-CN"/>
        </w:rPr>
        <w:t>618</w:t>
      </w:r>
      <w:r>
        <w:rPr>
          <w:rFonts w:ascii="仿宋_GB2312" w:hAnsi="仿宋_GB2312" w:eastAsia="仿宋_GB2312"/>
          <w:b w:val="0"/>
          <w:sz w:val="32"/>
        </w:rPr>
        <w:t>.</w:t>
      </w:r>
      <w:r>
        <w:rPr>
          <w:rFonts w:hint="eastAsia" w:ascii="仿宋_GB2312" w:hAnsi="仿宋_GB2312" w:eastAsia="仿宋_GB2312"/>
          <w:b w:val="0"/>
          <w:sz w:val="32"/>
          <w:lang w:val="en-US" w:eastAsia="zh-CN"/>
        </w:rPr>
        <w:t>97</w:t>
      </w:r>
      <w:r>
        <w:rPr>
          <w:rFonts w:ascii="仿宋_GB2312" w:hAnsi="仿宋_GB2312" w:eastAsia="仿宋_GB2312"/>
          <w:b w:val="0"/>
          <w:sz w:val="32"/>
        </w:rPr>
        <w:t>万元。</w:t>
      </w:r>
    </w:p>
    <w:p w14:paraId="2F8A3D23">
      <w:r>
        <w:br w:type="page"/>
      </w:r>
      <w:bookmarkStart w:id="0" w:name="_GoBack"/>
      <w:bookmarkEnd w:id="0"/>
    </w:p>
    <w:p w14:paraId="3C3766FE">
      <w:pPr>
        <w:spacing w:line="240" w:lineRule="auto"/>
        <w:jc w:val="center"/>
        <w:outlineLvl w:val="1"/>
      </w:pPr>
      <w:r>
        <w:rPr>
          <w:rFonts w:ascii="黑体" w:hAnsi="黑体" w:eastAsia="黑体"/>
          <w:sz w:val="32"/>
        </w:rPr>
        <w:t>第三部分 专业名词解释</w:t>
      </w:r>
    </w:p>
    <w:p w14:paraId="6C6564A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E0356F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268830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0F9D13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E75A82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C394D7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36BCBF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D688C5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A268B5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F15435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52CAB1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3F66FD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9D030A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9F1297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9DDCF72">
      <w:r>
        <w:br w:type="page"/>
      </w:r>
    </w:p>
    <w:p w14:paraId="4300139A">
      <w:pPr>
        <w:spacing w:line="240" w:lineRule="auto"/>
        <w:jc w:val="center"/>
        <w:outlineLvl w:val="1"/>
      </w:pPr>
      <w:r>
        <w:rPr>
          <w:rFonts w:ascii="黑体" w:hAnsi="黑体" w:eastAsia="黑体"/>
          <w:sz w:val="32"/>
        </w:rPr>
        <w:t>第四部分 部门决算报表（见附表）</w:t>
      </w:r>
    </w:p>
    <w:p w14:paraId="0793A230">
      <w:pPr>
        <w:spacing w:line="240" w:lineRule="auto"/>
        <w:ind w:firstLine="640"/>
        <w:jc w:val="both"/>
      </w:pPr>
      <w:r>
        <w:rPr>
          <w:rFonts w:ascii="仿宋_GB2312" w:hAnsi="仿宋_GB2312" w:eastAsia="仿宋_GB2312"/>
          <w:b w:val="0"/>
          <w:sz w:val="32"/>
        </w:rPr>
        <w:t>一、《收入支出决算总表》</w:t>
      </w:r>
    </w:p>
    <w:p w14:paraId="5C94603D">
      <w:pPr>
        <w:spacing w:line="240" w:lineRule="auto"/>
        <w:ind w:firstLine="640"/>
        <w:jc w:val="both"/>
      </w:pPr>
      <w:r>
        <w:rPr>
          <w:rFonts w:ascii="仿宋_GB2312" w:hAnsi="仿宋_GB2312" w:eastAsia="仿宋_GB2312"/>
          <w:b w:val="0"/>
          <w:sz w:val="32"/>
        </w:rPr>
        <w:t>二、《收入决算表》</w:t>
      </w:r>
    </w:p>
    <w:p w14:paraId="5A6DCCB5">
      <w:pPr>
        <w:spacing w:line="240" w:lineRule="auto"/>
        <w:ind w:firstLine="640"/>
        <w:jc w:val="both"/>
      </w:pPr>
      <w:r>
        <w:rPr>
          <w:rFonts w:ascii="仿宋_GB2312" w:hAnsi="仿宋_GB2312" w:eastAsia="仿宋_GB2312"/>
          <w:b w:val="0"/>
          <w:sz w:val="32"/>
        </w:rPr>
        <w:t>三、《支出决算表》</w:t>
      </w:r>
    </w:p>
    <w:p w14:paraId="480DC2E6">
      <w:pPr>
        <w:spacing w:line="240" w:lineRule="auto"/>
        <w:ind w:firstLine="640"/>
        <w:jc w:val="both"/>
      </w:pPr>
      <w:r>
        <w:rPr>
          <w:rFonts w:ascii="仿宋_GB2312" w:hAnsi="仿宋_GB2312" w:eastAsia="仿宋_GB2312"/>
          <w:b w:val="0"/>
          <w:sz w:val="32"/>
        </w:rPr>
        <w:t>四、《财政拨款收入支出决算总表》</w:t>
      </w:r>
    </w:p>
    <w:p w14:paraId="592223C7">
      <w:pPr>
        <w:spacing w:line="240" w:lineRule="auto"/>
        <w:ind w:firstLine="640"/>
        <w:jc w:val="both"/>
      </w:pPr>
      <w:r>
        <w:rPr>
          <w:rFonts w:ascii="仿宋_GB2312" w:hAnsi="仿宋_GB2312" w:eastAsia="仿宋_GB2312"/>
          <w:b w:val="0"/>
          <w:sz w:val="32"/>
        </w:rPr>
        <w:t>五、《一般公共预算财政拨款支出决算表》</w:t>
      </w:r>
    </w:p>
    <w:p w14:paraId="2D51A7A4">
      <w:pPr>
        <w:spacing w:line="240" w:lineRule="auto"/>
        <w:ind w:firstLine="640"/>
        <w:jc w:val="both"/>
      </w:pPr>
      <w:r>
        <w:rPr>
          <w:rFonts w:ascii="仿宋_GB2312" w:hAnsi="仿宋_GB2312" w:eastAsia="仿宋_GB2312"/>
          <w:b w:val="0"/>
          <w:sz w:val="32"/>
        </w:rPr>
        <w:t>六、《一般公共预算财政拨款基本支出决算表》</w:t>
      </w:r>
    </w:p>
    <w:p w14:paraId="10598565">
      <w:pPr>
        <w:spacing w:line="240" w:lineRule="auto"/>
        <w:ind w:firstLine="640"/>
        <w:jc w:val="both"/>
      </w:pPr>
      <w:r>
        <w:rPr>
          <w:rFonts w:ascii="仿宋_GB2312" w:hAnsi="仿宋_GB2312" w:eastAsia="仿宋_GB2312"/>
          <w:b w:val="0"/>
          <w:sz w:val="32"/>
        </w:rPr>
        <w:t>七、《政府性基金预算财政拨款收入支出决算表》</w:t>
      </w:r>
    </w:p>
    <w:p w14:paraId="1BA39403">
      <w:pPr>
        <w:spacing w:line="240" w:lineRule="auto"/>
        <w:ind w:firstLine="640"/>
        <w:jc w:val="both"/>
      </w:pPr>
      <w:r>
        <w:rPr>
          <w:rFonts w:ascii="仿宋_GB2312" w:hAnsi="仿宋_GB2312" w:eastAsia="仿宋_GB2312"/>
          <w:b w:val="0"/>
          <w:sz w:val="32"/>
        </w:rPr>
        <w:t>八、《国有资本经营预算财政拨款收入支出决算表》</w:t>
      </w:r>
    </w:p>
    <w:p w14:paraId="3B827865">
      <w:pPr>
        <w:spacing w:line="240" w:lineRule="auto"/>
        <w:ind w:firstLine="640"/>
        <w:jc w:val="both"/>
      </w:pPr>
      <w:r>
        <w:rPr>
          <w:rFonts w:ascii="仿宋_GB2312" w:hAnsi="仿宋_GB2312" w:eastAsia="仿宋_GB2312"/>
          <w:b w:val="0"/>
          <w:sz w:val="32"/>
        </w:rPr>
        <w:t>九、《财政拨款“三公”经费支出决算表》</w:t>
      </w:r>
    </w:p>
    <w:p w14:paraId="69FEFD8A">
      <w:pPr>
        <w:spacing w:line="240" w:lineRule="auto"/>
        <w:ind w:firstLine="640"/>
        <w:jc w:val="both"/>
      </w:pPr>
    </w:p>
    <w:p w14:paraId="2BF74D14">
      <w:pPr>
        <w:spacing w:line="240" w:lineRule="auto"/>
        <w:ind w:firstLine="640"/>
        <w:jc w:val="both"/>
      </w:pPr>
    </w:p>
    <w:p w14:paraId="340798E6">
      <w:pPr>
        <w:spacing w:line="240" w:lineRule="auto"/>
        <w:ind w:firstLine="640"/>
        <w:jc w:val="both"/>
      </w:pPr>
    </w:p>
    <w:p w14:paraId="3B3D85CE">
      <w:pPr>
        <w:spacing w:line="240" w:lineRule="auto"/>
        <w:ind w:firstLine="640"/>
        <w:jc w:val="both"/>
      </w:pPr>
    </w:p>
    <w:p w14:paraId="5056A5F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69BB02A-02DD-4E0F-A983-1B98377E031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121875A-01CE-4D60-9663-326A6EF1203E}"/>
  </w:font>
  <w:font w:name="仿宋_GB2312">
    <w:panose1 w:val="02010609030101010101"/>
    <w:charset w:val="86"/>
    <w:family w:val="modern"/>
    <w:pitch w:val="default"/>
    <w:sig w:usb0="00000001" w:usb1="080E0000" w:usb2="00000000" w:usb3="00000000" w:csb0="00040000" w:csb1="00000000"/>
    <w:embedRegular r:id="rId3" w:fontKey="{9580481E-4743-45D1-BDB3-16A6A8178E22}"/>
  </w:font>
  <w:font w:name="楷体_GB2312">
    <w:panose1 w:val="02010609030101010101"/>
    <w:charset w:val="86"/>
    <w:family w:val="auto"/>
    <w:pitch w:val="default"/>
    <w:sig w:usb0="00000001" w:usb1="080E0000" w:usb2="00000000" w:usb3="00000000" w:csb0="00040000" w:csb1="00000000"/>
    <w:embedRegular r:id="rId4" w:fontKey="{22F2AD3B-48CC-4CCC-8DD0-91C3EA5E5EB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3951B0A"/>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5C95F0F"/>
    <w:rsid w:val="36EF084F"/>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fc5ab56c-f5bb-41ba-aec4-67d49c93b4a0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76E831BF</paraID>
      <start>0</start>
      <end>2</end>
      <status>modified</status>
      <modifiedWord>1.</modifiedWord>
      <trackRevisions>false</trackRevisions>
    </reviewItem>
    <reviewItem>
      <errorID>edb9a092-1b3d-40a9-8c1f-55d7d8c2de74</errorID>
      <errorWord>习平</errorWord>
      <group>L1_Other</group>
      <groupName>其他问题</groupName>
      <ability>L2_UserTypo</ability>
      <abilityName>自定义错误</abilityName>
      <candidateList>
        <item>习近平</item>
      </candidateList>
      <explain>来自自定义错词库。</explain>
      <paraID>76E831BF</paraID>
      <start>143</start>
      <end>145</end>
      <status>ignored</status>
      <modifiedWord/>
      <trackRevisions>false</trackRevisions>
    </reviewItem>
    <reviewItem>
      <errorID>804e49f1-7661-4109-bf27-2f62b2e7ee26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27791D1A</paraID>
      <start>0</start>
      <end>2</end>
      <status>modified</status>
      <modifiedWord>1.</modifiedWord>
      <trackRevisions>false</trackRevisions>
    </reviewItem>
    <reviewItem>
      <errorID>9ca770e3-328d-483c-a6d6-3f80c830ec9f</errorID>
      <errorWord>习平</errorWord>
      <group>L1_Other</group>
      <groupName>其他问题</groupName>
      <ability>L2_UserTypo</ability>
      <abilityName>自定义错误</abilityName>
      <candidateList>
        <item>习近平</item>
      </candidateList>
      <explain>来自自定义错词库。</explain>
      <paraID>27791D1A</paraID>
      <start>138</start>
      <end>140</end>
      <status>ignored</status>
      <modifiedWord/>
      <trackRevisions>false</trackRevisions>
    </reviewItem>
    <reviewItem>
      <errorID>ac9dfd1a-1677-4e14-8dee-1d60bb6c9bf4</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27791D1A</paraID>
      <start>179</start>
      <end>180</end>
      <status>modified</status>
      <modifiedWord>地</modifiedWord>
      <trackRevisions>false</trackRevisions>
    </reviewItem>
    <reviewItem>
      <errorID>99e146ba-79f5-414a-92b1-4cb164f1bd84</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27791D1A</paraID>
      <start>264</start>
      <end>265</end>
      <status>modified</status>
      <modifiedWord>地</modifiedWord>
      <trackRevisions>false</trackRevisions>
    </reviewItem>
    <reviewItem>
      <errorID>d8d93a83-b45d-43f3-8fcb-477ce28fae04</errorID>
      <errorWord>涉密</errorWord>
      <group>L1_Sensitive</group>
      <groupName>敏感问题</groupName>
      <ability>L2_UserSensitive</ability>
      <abilityName>自定义敏感词</abilityName>
      <candidateList/>
      <explain>来自自定义敏感词库。</explain>
      <paraID>33C72CA8</paraID>
      <start>0</start>
      <end>4</end>
      <status>modified</status>
      <modifiedWord>不予公开</modifiedWord>
      <trackRevisions>false</trackRevisions>
    </reviewItem>
    <reviewItem>
      <errorID>5ae8bf2f-6f3d-4715-9255-d50e560347db</errorID>
      <errorWord>习平</errorWord>
      <group>L1_Other</group>
      <groupName>其他问题</groupName>
      <ability>L2_UserTypo</ability>
      <abilityName>自定义错误</abilityName>
      <candidateList>
        <item>习近平</item>
      </candidateList>
      <explain>来自自定义错词库。</explain>
      <paraID>47B81554</paraID>
      <start>7</start>
      <end>9</end>
      <status>ignored</status>
      <modifiedWord/>
      <trackRevisions>false</trackRevisions>
    </reviewItem>
    <reviewItem>
      <errorID>4d7a2443-d067-4602-8100-5bcb428bed52</errorID>
      <errorWord>涉密</errorWord>
      <group>L1_Sensitive</group>
      <groupName>敏感问题</groupName>
      <ability>L2_UserSensitive</ability>
      <abilityName>自定义敏感词</abilityName>
      <candidateList/>
      <explain>来自自定义敏感词库。</explain>
      <paraID>3F49CA6A</paraID>
      <start>0</start>
      <end>4</end>
      <status>modified</status>
      <modifiedWord>不予公开</modifiedWord>
      <trackRevisions>false</trackRevisions>
    </reviewItem>
    <reviewItem>
      <errorID>df19c82a-2c15-41cc-86e5-c550abd88bf0</errorID>
      <errorWord>涉密</errorWord>
      <group>L1_Sensitive</group>
      <groupName>敏感问题</groupName>
      <ability>L2_UserSensitive</ability>
      <abilityName>自定义敏感词</abilityName>
      <candidateList/>
      <explain>来自自定义敏感词库。</explain>
      <paraID>427B2E49</paraID>
      <start>0</start>
      <end>4</end>
      <status>modified</status>
      <modifiedWord>不予公开</modifiedWord>
      <trackRevisions>false</trackRevisions>
    </reviewItem>
    <reviewItem>
      <errorID>948e3fd7-4efa-44d0-a6f3-3fd5022e4714</errorID>
      <errorWord>涉密</errorWord>
      <group>L1_Sensitive</group>
      <groupName>敏感问题</groupName>
      <ability>L2_UserSensitive</ability>
      <abilityName>自定义敏感词</abilityName>
      <candidateList/>
      <explain>来自自定义敏感词库。</explain>
      <paraID>1AFE2280</paraID>
      <start>0</start>
      <end>4</end>
      <status>modified</status>
      <modifiedWord>不予公开</modifiedWord>
      <trackRevisions>false</trackRevisions>
    </reviewItem>
    <reviewItem>
      <errorID>5aea65ef-13d3-41ee-9650-0b652287a852</errorID>
      <errorWord>涉密</errorWord>
      <group>L1_Sensitive</group>
      <groupName>敏感问题</groupName>
      <ability>L2_UserSensitive</ability>
      <abilityName>自定义敏感词</abilityName>
      <candidateList/>
      <explain>来自自定义敏感词库。</explain>
      <paraID>1CA21DDC</paraID>
      <start>0</start>
      <end>4</end>
      <status>modified</status>
      <modifiedWord>不予公开</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bfd465-25aa-4a7d-905d-e4b3255379a8}">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5960</Words>
  <Characters>6779</Characters>
  <Lines>0</Lines>
  <Paragraphs>0</Paragraphs>
  <TotalTime>1</TotalTime>
  <ScaleCrop>false</ScaleCrop>
  <LinksUpToDate>false</LinksUpToDate>
  <CharactersWithSpaces>6789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2025-11-27T04:46:21Z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