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托里县林业总站2024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CDB97D">
      <w:r>
        <w:br w:type="page"/>
      </w:r>
    </w:p>
    <w:p w14:paraId="24A5ED2B">
      <w:pPr>
        <w:spacing w:line="640" w:lineRule="exact"/>
        <w:jc w:val="center"/>
        <w:outlineLvl w:val="1"/>
      </w:pPr>
      <w:r>
        <w:rPr>
          <w:rFonts w:ascii="黑体" w:hAnsi="黑体" w:eastAsia="黑体"/>
          <w:sz w:val="32"/>
        </w:rPr>
        <w:t>第一部分 单位概况</w:t>
      </w:r>
    </w:p>
    <w:p w14:paraId="0DA9302D">
      <w:pPr>
        <w:spacing w:line="640" w:lineRule="exact"/>
        <w:ind w:firstLine="640"/>
        <w:jc w:val="both"/>
        <w:outlineLvl w:val="2"/>
      </w:pPr>
      <w:r>
        <w:rPr>
          <w:rFonts w:ascii="黑体" w:hAnsi="黑体" w:eastAsia="黑体"/>
          <w:sz w:val="32"/>
        </w:rPr>
        <w:t>一、主要职能</w:t>
      </w:r>
    </w:p>
    <w:p w14:paraId="2F155817">
      <w:pPr>
        <w:spacing w:line="580" w:lineRule="exact"/>
        <w:ind w:firstLine="640"/>
        <w:jc w:val="both"/>
      </w:pPr>
      <w:r>
        <w:rPr>
          <w:rFonts w:ascii="仿宋_GB2312" w:hAnsi="仿宋_GB2312" w:eastAsia="仿宋_GB2312"/>
          <w:sz w:val="32"/>
        </w:rPr>
        <w:t>1.宣传与贯彻执行森林和野生动植物资源保护等</w:t>
      </w:r>
      <w:r>
        <w:rPr>
          <w:rFonts w:hint="eastAsia" w:ascii="仿宋_GB2312" w:hAnsi="仿宋_GB2312" w:eastAsia="仿宋_GB2312"/>
          <w:sz w:val="32"/>
          <w:lang w:eastAsia="zh-CN"/>
        </w:rPr>
        <w:t>法律法规</w:t>
      </w:r>
      <w:r>
        <w:rPr>
          <w:rFonts w:ascii="仿宋_GB2312" w:hAnsi="仿宋_GB2312" w:eastAsia="仿宋_GB2312"/>
          <w:sz w:val="32"/>
        </w:rPr>
        <w:t>和各项林业方针、政策。</w:t>
      </w:r>
    </w:p>
    <w:p w14:paraId="07945010">
      <w:pPr>
        <w:spacing w:line="580" w:lineRule="exact"/>
        <w:ind w:firstLine="640"/>
        <w:jc w:val="both"/>
      </w:pPr>
      <w:r>
        <w:rPr>
          <w:rFonts w:ascii="仿宋_GB2312" w:hAnsi="仿宋_GB2312" w:eastAsia="仿宋_GB2312"/>
          <w:sz w:val="32"/>
        </w:rPr>
        <w:t>2.协助乡镇人民政府制定林业发展规划和年度计划、组织和指导农村集体、个人开展林业生产经营活动。</w:t>
      </w:r>
    </w:p>
    <w:p w14:paraId="093EB231">
      <w:pPr>
        <w:spacing w:line="580" w:lineRule="exact"/>
        <w:ind w:firstLine="640"/>
        <w:jc w:val="both"/>
      </w:pPr>
      <w:r>
        <w:rPr>
          <w:rFonts w:ascii="仿宋_GB2312" w:hAnsi="仿宋_GB2312" w:eastAsia="仿宋_GB2312"/>
          <w:sz w:val="32"/>
        </w:rPr>
        <w:t>3.负责林业科技、教育、外事和宣传工作。</w:t>
      </w:r>
    </w:p>
    <w:p w14:paraId="4D413DD7">
      <w:pPr>
        <w:spacing w:line="580" w:lineRule="exact"/>
        <w:ind w:firstLine="640"/>
        <w:jc w:val="both"/>
      </w:pPr>
      <w:r>
        <w:rPr>
          <w:rFonts w:ascii="仿宋_GB2312" w:hAnsi="仿宋_GB2312" w:eastAsia="仿宋_GB2312"/>
          <w:sz w:val="32"/>
        </w:rPr>
        <w:t>4.配合林业行政主管部门开展资源调查、造林检查验收、林业统计和森林资源档案管理工作，掌握辖区内森林资源消长和野生动植物物种变化情况。</w:t>
      </w:r>
    </w:p>
    <w:p w14:paraId="6358ADB4">
      <w:pPr>
        <w:spacing w:line="580" w:lineRule="exact"/>
        <w:ind w:firstLine="640"/>
        <w:jc w:val="both"/>
      </w:pPr>
      <w:r>
        <w:rPr>
          <w:rFonts w:ascii="仿宋_GB2312" w:hAnsi="仿宋_GB2312" w:eastAsia="仿宋_GB2312"/>
          <w:sz w:val="32"/>
        </w:rPr>
        <w:t>5.组织开展荒山造林，封山育林工作；组织、指导以植树种草等生物措施防治水土流失和防沙、治沙工作。</w:t>
      </w:r>
    </w:p>
    <w:p w14:paraId="693296C4">
      <w:pPr>
        <w:spacing w:line="580" w:lineRule="exact"/>
        <w:ind w:firstLine="640"/>
        <w:jc w:val="both"/>
      </w:pPr>
      <w:r>
        <w:rPr>
          <w:rFonts w:ascii="仿宋_GB2312" w:hAnsi="仿宋_GB2312" w:eastAsia="仿宋_GB2312"/>
          <w:sz w:val="32"/>
        </w:rPr>
        <w:t>6.负责全县的退耕还林、三北四期、绿化、低质产林改造，中幼龄林抚育、经济林、零星植树及义务植树工作。</w:t>
      </w:r>
    </w:p>
    <w:p w14:paraId="21673EC1">
      <w:pPr>
        <w:spacing w:line="580" w:lineRule="exact"/>
        <w:ind w:firstLine="640"/>
        <w:jc w:val="both"/>
      </w:pPr>
      <w:r>
        <w:rPr>
          <w:rFonts w:ascii="仿宋_GB2312" w:hAnsi="仿宋_GB2312" w:eastAsia="仿宋_GB2312"/>
          <w:sz w:val="32"/>
        </w:rPr>
        <w:t>7.协助林业行政主管部门管理采伐工作，配合做好林业采伐的伐区调查设计，并参与监督伐区作业和伐区验收工作。</w:t>
      </w:r>
    </w:p>
    <w:p w14:paraId="78AA7D5A">
      <w:pPr>
        <w:spacing w:line="580" w:lineRule="exact"/>
        <w:ind w:firstLine="640"/>
        <w:jc w:val="both"/>
      </w:pPr>
      <w:r>
        <w:rPr>
          <w:rFonts w:ascii="仿宋_GB2312" w:hAnsi="仿宋_GB2312" w:eastAsia="仿宋_GB2312"/>
          <w:sz w:val="32"/>
        </w:rPr>
        <w:t>8.配合林业行政主管部门和乡镇人民政府做好森林防火、森林病虫害防治工作。</w:t>
      </w:r>
    </w:p>
    <w:p w14:paraId="1C64DC77">
      <w:pPr>
        <w:spacing w:line="580" w:lineRule="exact"/>
        <w:ind w:firstLine="640"/>
        <w:jc w:val="both"/>
        <w:rPr>
          <w:spacing w:val="6"/>
          <w:sz w:val="32"/>
        </w:rPr>
      </w:pPr>
      <w:r>
        <w:rPr>
          <w:rFonts w:ascii="仿宋_GB2312" w:hAnsi="仿宋_GB2312" w:eastAsia="仿宋_GB2312"/>
          <w:spacing w:val="6"/>
          <w:sz w:val="32"/>
        </w:rPr>
        <w:t>9.依法保护、管理森林和野生动植物资源，依法保护湿地资源。</w:t>
      </w:r>
    </w:p>
    <w:p w14:paraId="5022565C">
      <w:pPr>
        <w:spacing w:line="580" w:lineRule="exact"/>
        <w:ind w:firstLine="640"/>
        <w:jc w:val="both"/>
      </w:pPr>
      <w:r>
        <w:rPr>
          <w:rFonts w:ascii="仿宋_GB2312" w:hAnsi="仿宋_GB2312" w:eastAsia="仿宋_GB2312"/>
          <w:sz w:val="32"/>
        </w:rPr>
        <w:t>10.协助有关部门处理森林、林木和林地所有权或使用权争议，查处破坏森林和野生动物资源案件。</w:t>
      </w:r>
    </w:p>
    <w:p w14:paraId="17EE2EAA">
      <w:pPr>
        <w:spacing w:line="580" w:lineRule="exact"/>
        <w:ind w:firstLine="640"/>
        <w:jc w:val="both"/>
      </w:pPr>
      <w:r>
        <w:rPr>
          <w:rFonts w:ascii="仿宋_GB2312" w:hAnsi="仿宋_GB2312" w:eastAsia="仿宋_GB2312"/>
          <w:sz w:val="32"/>
        </w:rPr>
        <w:t>11.组织、指导陆生野生动物类型资源保护区的建设和管理。</w:t>
      </w:r>
    </w:p>
    <w:p w14:paraId="3D1EB6BB">
      <w:pPr>
        <w:spacing w:line="580" w:lineRule="exact"/>
        <w:ind w:firstLine="640"/>
        <w:jc w:val="both"/>
      </w:pPr>
      <w:r>
        <w:rPr>
          <w:rFonts w:ascii="仿宋_GB2312" w:hAnsi="仿宋_GB2312" w:eastAsia="仿宋_GB2312"/>
          <w:sz w:val="32"/>
        </w:rPr>
        <w:t>12.配合乡镇人民政府建立健全乡村护林网络，为林农提供产前、产中、产后服务。</w:t>
      </w:r>
    </w:p>
    <w:p w14:paraId="06F8A2C3">
      <w:pPr>
        <w:spacing w:line="580" w:lineRule="exact"/>
        <w:ind w:firstLine="640"/>
        <w:jc w:val="both"/>
      </w:pPr>
      <w:r>
        <w:rPr>
          <w:rFonts w:ascii="仿宋_GB2312" w:hAnsi="仿宋_GB2312" w:eastAsia="仿宋_GB2312"/>
          <w:sz w:val="32"/>
        </w:rPr>
        <w:t>13.根据国家有关规定代收和协助管理各项林业行政事业性收费，办理林权证等。</w:t>
      </w:r>
    </w:p>
    <w:p w14:paraId="58FE69ED">
      <w:pPr>
        <w:spacing w:line="580" w:lineRule="exact"/>
        <w:ind w:firstLine="640"/>
        <w:jc w:val="both"/>
      </w:pPr>
      <w:r>
        <w:rPr>
          <w:rFonts w:ascii="仿宋_GB2312" w:hAnsi="仿宋_GB2312" w:eastAsia="仿宋_GB2312"/>
          <w:sz w:val="32"/>
        </w:rPr>
        <w:t>14.承担县级林业行政主管部门委托的其他事项。</w:t>
      </w:r>
    </w:p>
    <w:p w14:paraId="0C0C02F1">
      <w:pPr>
        <w:spacing w:line="640" w:lineRule="exact"/>
        <w:ind w:firstLine="640"/>
        <w:jc w:val="both"/>
        <w:outlineLvl w:val="2"/>
      </w:pPr>
      <w:r>
        <w:rPr>
          <w:rFonts w:ascii="黑体" w:hAnsi="黑体" w:eastAsia="黑体"/>
          <w:sz w:val="32"/>
        </w:rPr>
        <w:t>二、机构设置及人员情况</w:t>
      </w:r>
    </w:p>
    <w:p w14:paraId="5EFC1958">
      <w:pPr>
        <w:spacing w:line="580" w:lineRule="exact"/>
        <w:ind w:firstLine="640"/>
        <w:jc w:val="both"/>
      </w:pPr>
      <w:r>
        <w:rPr>
          <w:rFonts w:ascii="仿宋_GB2312" w:hAnsi="仿宋_GB2312" w:eastAsia="仿宋_GB2312"/>
          <w:sz w:val="32"/>
        </w:rPr>
        <w:t>托里县林业总站2024年度，实有人数22人，其中：在职人员9人，减少1人；离休人员0人，增加0人；退休人员13人,增加1人。</w:t>
      </w:r>
    </w:p>
    <w:p w14:paraId="3E8D8B17">
      <w:pPr>
        <w:spacing w:line="580" w:lineRule="exact"/>
        <w:ind w:firstLine="640"/>
        <w:jc w:val="both"/>
      </w:pPr>
      <w:r>
        <w:rPr>
          <w:rFonts w:ascii="仿宋_GB2312" w:hAnsi="仿宋_GB2312" w:eastAsia="仿宋_GB2312"/>
          <w:sz w:val="32"/>
        </w:rPr>
        <w:t>托里县林业总站无下属预算单位，下设3个科室，分别是：综合业务室、办公室、财务室。</w:t>
      </w:r>
    </w:p>
    <w:p w14:paraId="4292F0EF">
      <w:r>
        <w:br w:type="page"/>
      </w:r>
    </w:p>
    <w:p w14:paraId="3C6A7E07">
      <w:pPr>
        <w:spacing w:line="240" w:lineRule="auto"/>
        <w:jc w:val="center"/>
        <w:outlineLvl w:val="1"/>
      </w:pPr>
      <w:r>
        <w:rPr>
          <w:rFonts w:ascii="黑体" w:hAnsi="黑体" w:eastAsia="黑体"/>
          <w:sz w:val="32"/>
        </w:rPr>
        <w:t>第二部分 部门决算情况说明</w:t>
      </w:r>
    </w:p>
    <w:p w14:paraId="1519AB09">
      <w:pPr>
        <w:spacing w:line="640" w:lineRule="exact"/>
        <w:ind w:firstLine="640"/>
        <w:jc w:val="both"/>
        <w:outlineLvl w:val="2"/>
      </w:pPr>
      <w:r>
        <w:rPr>
          <w:rFonts w:ascii="黑体" w:hAnsi="黑体" w:eastAsia="黑体"/>
          <w:sz w:val="32"/>
        </w:rPr>
        <w:t>一、收入支出决算总体情况说明</w:t>
      </w:r>
    </w:p>
    <w:p w14:paraId="256E55D8">
      <w:pPr>
        <w:spacing w:line="580" w:lineRule="exact"/>
        <w:ind w:firstLine="640"/>
        <w:jc w:val="both"/>
      </w:pPr>
      <w:r>
        <w:rPr>
          <w:rFonts w:ascii="仿宋_GB2312" w:hAnsi="仿宋_GB2312" w:eastAsia="仿宋_GB2312"/>
          <w:b/>
          <w:sz w:val="32"/>
        </w:rPr>
        <w:t>2024年度收入总计264.53万元，</w:t>
      </w:r>
      <w:r>
        <w:rPr>
          <w:rFonts w:ascii="仿宋_GB2312" w:hAnsi="仿宋_GB2312" w:eastAsia="仿宋_GB2312"/>
          <w:b w:val="0"/>
          <w:sz w:val="32"/>
        </w:rPr>
        <w:t>其中：本年收入合计264.53万元，使用非财政拨款结余（含专用结余）0.00万元，年初结转和结余0.00万元。</w:t>
      </w:r>
    </w:p>
    <w:p w14:paraId="11393195">
      <w:pPr>
        <w:spacing w:line="580" w:lineRule="exact"/>
        <w:ind w:firstLine="640"/>
        <w:jc w:val="both"/>
      </w:pPr>
      <w:r>
        <w:rPr>
          <w:rFonts w:ascii="仿宋_GB2312" w:hAnsi="仿宋_GB2312" w:eastAsia="仿宋_GB2312"/>
          <w:b/>
          <w:sz w:val="32"/>
        </w:rPr>
        <w:t>2024年度支出总计264.53万元，</w:t>
      </w:r>
      <w:r>
        <w:rPr>
          <w:rFonts w:ascii="仿宋_GB2312" w:hAnsi="仿宋_GB2312" w:eastAsia="仿宋_GB2312"/>
          <w:b w:val="0"/>
          <w:sz w:val="32"/>
        </w:rPr>
        <w:t>其中：本年支出合计264.53万元，结余分配0.00万元，年末结转和结余0.00万元。</w:t>
      </w:r>
    </w:p>
    <w:p w14:paraId="24EEF3CB">
      <w:pPr>
        <w:spacing w:line="580" w:lineRule="exact"/>
        <w:ind w:firstLine="640"/>
        <w:jc w:val="both"/>
      </w:pPr>
      <w:r>
        <w:rPr>
          <w:rFonts w:ascii="仿宋_GB2312" w:hAnsi="仿宋_GB2312" w:eastAsia="仿宋_GB2312"/>
          <w:b w:val="0"/>
          <w:sz w:val="32"/>
        </w:rPr>
        <w:t>收入支出总体与上年相比，增加32.46万元，增长13.99%，主要原因是：1.本年在职人员工资调增，人员经费增加。2.本年补发了2017年绩效、2020年半年绩效、2023年年度考核奖；补发了2024年7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调整差额、13月工资差额；发放退休人员基础绩效奖、调增规范性津贴补贴。3.本年增加完善退耕还林补助项目、中央林业改革发展资金完善退耕还生态林项目。4.本年购置办公设备、支出植树造林广告宣传印刷费、办公楼取暖费和水电暖维修（护）费，所以收入支出总体与上年相比增加。</w:t>
      </w:r>
    </w:p>
    <w:p w14:paraId="46912AC3">
      <w:pPr>
        <w:spacing w:line="640" w:lineRule="exact"/>
        <w:ind w:firstLine="640"/>
        <w:jc w:val="both"/>
        <w:outlineLvl w:val="2"/>
      </w:pPr>
      <w:r>
        <w:rPr>
          <w:rFonts w:ascii="黑体" w:hAnsi="黑体" w:eastAsia="黑体"/>
          <w:sz w:val="32"/>
        </w:rPr>
        <w:t>二、收入决算情况说明</w:t>
      </w:r>
    </w:p>
    <w:p w14:paraId="672E0B1E">
      <w:pPr>
        <w:spacing w:line="580" w:lineRule="exact"/>
        <w:ind w:firstLine="640"/>
        <w:jc w:val="both"/>
      </w:pPr>
      <w:r>
        <w:rPr>
          <w:rFonts w:ascii="仿宋_GB2312" w:hAnsi="仿宋_GB2312" w:eastAsia="仿宋_GB2312"/>
          <w:b/>
          <w:sz w:val="32"/>
        </w:rPr>
        <w:t>本年收入264.53万元，</w:t>
      </w:r>
      <w:r>
        <w:rPr>
          <w:rFonts w:ascii="仿宋_GB2312" w:hAnsi="仿宋_GB2312" w:eastAsia="仿宋_GB2312"/>
          <w:b w:val="0"/>
          <w:sz w:val="32"/>
        </w:rPr>
        <w:t>其中：财政拨款收入264.53万元，占100.00%；上级补助收入0.00万元，占0.00%；事业收入0.00万元，占0.00%；经营收入0.00万元，占0.00%；附属单位上缴收入0.00万元，占0.00%；其他收入0.00万元，占0.00%。</w:t>
      </w:r>
    </w:p>
    <w:p w14:paraId="55AED201">
      <w:pPr>
        <w:spacing w:line="640" w:lineRule="exact"/>
        <w:ind w:firstLine="640"/>
        <w:jc w:val="both"/>
        <w:outlineLvl w:val="2"/>
      </w:pPr>
      <w:r>
        <w:rPr>
          <w:rFonts w:ascii="黑体" w:hAnsi="黑体" w:eastAsia="黑体"/>
          <w:sz w:val="32"/>
        </w:rPr>
        <w:t>三、支出决算情况说明</w:t>
      </w:r>
    </w:p>
    <w:p w14:paraId="1D9D6633">
      <w:pPr>
        <w:spacing w:line="580" w:lineRule="exact"/>
        <w:ind w:firstLine="640"/>
        <w:jc w:val="both"/>
      </w:pPr>
      <w:r>
        <w:rPr>
          <w:rFonts w:ascii="仿宋_GB2312" w:hAnsi="仿宋_GB2312" w:eastAsia="仿宋_GB2312"/>
          <w:b/>
          <w:sz w:val="32"/>
        </w:rPr>
        <w:t>本年支出264.53万元，</w:t>
      </w:r>
      <w:r>
        <w:rPr>
          <w:rFonts w:ascii="仿宋_GB2312" w:hAnsi="仿宋_GB2312" w:eastAsia="仿宋_GB2312"/>
          <w:b w:val="0"/>
          <w:sz w:val="32"/>
        </w:rPr>
        <w:t>其中：基本支出211.09万元，占79.80%；项目支出53.44万元，占20.20%；上缴上级支出0.00万元，占0.00%；经营支出0.00万元，占0.00%；对附属单位补助支出0.00万元，占0.00%。</w:t>
      </w:r>
    </w:p>
    <w:p w14:paraId="135E432D">
      <w:pPr>
        <w:spacing w:line="640" w:lineRule="exact"/>
        <w:ind w:firstLine="640"/>
        <w:jc w:val="both"/>
        <w:outlineLvl w:val="2"/>
      </w:pPr>
      <w:r>
        <w:rPr>
          <w:rFonts w:ascii="黑体" w:hAnsi="黑体" w:eastAsia="黑体"/>
          <w:sz w:val="32"/>
        </w:rPr>
        <w:t>四、财政拨款收入支出决算总体情况说明</w:t>
      </w:r>
    </w:p>
    <w:p w14:paraId="69D1F8BB">
      <w:pPr>
        <w:spacing w:line="580" w:lineRule="exact"/>
        <w:ind w:firstLine="640"/>
        <w:jc w:val="both"/>
      </w:pPr>
      <w:r>
        <w:rPr>
          <w:rFonts w:ascii="仿宋_GB2312" w:hAnsi="仿宋_GB2312" w:eastAsia="仿宋_GB2312"/>
          <w:b/>
          <w:sz w:val="32"/>
        </w:rPr>
        <w:t>2024年度财政拨款收入总计264.53万元，</w:t>
      </w:r>
      <w:r>
        <w:rPr>
          <w:rFonts w:ascii="仿宋_GB2312" w:hAnsi="仿宋_GB2312" w:eastAsia="仿宋_GB2312"/>
          <w:b w:val="0"/>
          <w:sz w:val="32"/>
        </w:rPr>
        <w:t>其中：年初财政拨款结转和结余0.00万元，本年财政拨款收入264.53万元。</w:t>
      </w:r>
      <w:r>
        <w:rPr>
          <w:rFonts w:ascii="仿宋_GB2312" w:hAnsi="仿宋_GB2312" w:eastAsia="仿宋_GB2312"/>
          <w:b/>
          <w:sz w:val="32"/>
        </w:rPr>
        <w:t>财政拨款支出总计264.53万元，</w:t>
      </w:r>
      <w:r>
        <w:rPr>
          <w:rFonts w:ascii="仿宋_GB2312" w:hAnsi="仿宋_GB2312" w:eastAsia="仿宋_GB2312"/>
          <w:b w:val="0"/>
          <w:sz w:val="32"/>
        </w:rPr>
        <w:t>其中：年末财政拨款结转和结余0.00万元，本年财政拨款支出264.53万元。</w:t>
      </w:r>
    </w:p>
    <w:p w14:paraId="759EE23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增加32.46万元，增长13.99%，主要原因是：1.本年在职人员工资调增，人员经费增加。2.本年补发了2017年绩效、2020年半年绩效、2023年年度考核奖；2024年7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调整差额、13月工资差额；发放退休人员基础绩效奖、调增规范性津贴补贴。3.本年增加完善退耕还林补助项目、中央林业改革发展资金完善退耕还生态林项目。4.本年购置办公设备、支出植树造林广告宣传印刷费、办公楼取暖费和水电暖维修（护）费，所以财政拨款收入支出总体与上年相比增加。</w:t>
      </w:r>
      <w:r>
        <w:rPr>
          <w:rFonts w:ascii="仿宋_GB2312" w:hAnsi="仿宋_GB2312" w:eastAsia="仿宋_GB2312"/>
          <w:b/>
          <w:sz w:val="32"/>
        </w:rPr>
        <w:t>与年初预算相比，</w:t>
      </w:r>
      <w:r>
        <w:rPr>
          <w:rFonts w:ascii="仿宋_GB2312" w:hAnsi="仿宋_GB2312" w:eastAsia="仿宋_GB2312"/>
          <w:b w:val="0"/>
          <w:sz w:val="32"/>
        </w:rPr>
        <w:t>年初预算数213.52万元，决算数264.53万元，预决算差异率23.89%，主要原因是：年中追加完善退耕还林补助项目、中央林业改革发展资金完善退耕还生态林项目，导致预决算存在差异。</w:t>
      </w:r>
    </w:p>
    <w:p w14:paraId="6387C755">
      <w:pPr>
        <w:spacing w:line="640" w:lineRule="exact"/>
        <w:ind w:firstLine="640"/>
        <w:jc w:val="both"/>
        <w:outlineLvl w:val="2"/>
      </w:pPr>
      <w:r>
        <w:rPr>
          <w:rFonts w:ascii="黑体" w:hAnsi="黑体" w:eastAsia="黑体"/>
          <w:sz w:val="32"/>
        </w:rPr>
        <w:t>五、一般公共预算财政拨款支出决算情况说明</w:t>
      </w:r>
    </w:p>
    <w:p w14:paraId="7FC7EF0F">
      <w:pPr>
        <w:spacing w:line="640" w:lineRule="exact"/>
        <w:ind w:firstLine="640"/>
        <w:jc w:val="both"/>
        <w:outlineLvl w:val="3"/>
      </w:pPr>
      <w:r>
        <w:rPr>
          <w:rFonts w:ascii="楷体_GB2312" w:hAnsi="楷体_GB2312" w:eastAsia="楷体_GB2312"/>
          <w:b/>
          <w:sz w:val="32"/>
        </w:rPr>
        <w:t>（一）一般公共预算财政拨款支出决算总体情况</w:t>
      </w:r>
    </w:p>
    <w:p w14:paraId="63974D2C">
      <w:pPr>
        <w:spacing w:line="580" w:lineRule="exact"/>
        <w:ind w:firstLine="640"/>
        <w:jc w:val="both"/>
      </w:pPr>
      <w:r>
        <w:rPr>
          <w:rFonts w:ascii="仿宋_GB2312" w:hAnsi="仿宋_GB2312" w:eastAsia="仿宋_GB2312"/>
          <w:b/>
          <w:sz w:val="32"/>
        </w:rPr>
        <w:t>2024年度一般公共预算财政拨款支出264.53万元，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增加32.46万元，增长13.99%，主要原因是：1.本年在职人员工资调增，人员经费增加。2.本年补发了2017年绩效、2020年半年绩效、2023年年度考核奖；2024年7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调整差额、13月工资差额；发放退休人员基础绩效奖、调增规范性津贴补贴。3.本年增加完善退耕还林补助项目、中央林业改革发展资金完善退耕还生态林项目。4.本年购置办公设备、支出植树造林广告宣传印刷费、办公楼取暖费和水电暖维修（护）费，所以一般公共预算财政拨款支出与上年相比增加。</w:t>
      </w:r>
      <w:r>
        <w:rPr>
          <w:rFonts w:ascii="仿宋_GB2312" w:hAnsi="仿宋_GB2312" w:eastAsia="仿宋_GB2312"/>
          <w:b/>
          <w:sz w:val="32"/>
        </w:rPr>
        <w:t>与年初预算相比,</w:t>
      </w:r>
      <w:r>
        <w:rPr>
          <w:rFonts w:ascii="仿宋_GB2312" w:hAnsi="仿宋_GB2312" w:eastAsia="仿宋_GB2312"/>
          <w:b w:val="0"/>
          <w:sz w:val="32"/>
        </w:rPr>
        <w:t>年初预算数213.52万元，决算数264.53万元，预决算差异率23.89%，主要原因是：年中追加完善退耕还林补助项目、中央林业改革发展资金完善退耕还生态林项目，导致预决算存在差异。</w:t>
      </w:r>
    </w:p>
    <w:p w14:paraId="46DA359F">
      <w:pPr>
        <w:spacing w:line="640" w:lineRule="exact"/>
        <w:ind w:firstLine="640"/>
        <w:jc w:val="both"/>
        <w:outlineLvl w:val="3"/>
      </w:pPr>
      <w:r>
        <w:rPr>
          <w:rFonts w:ascii="楷体_GB2312" w:hAnsi="楷体_GB2312" w:eastAsia="楷体_GB2312"/>
          <w:b/>
          <w:sz w:val="32"/>
        </w:rPr>
        <w:t>（二）一般公共预算财政拨款支出决算结构情况</w:t>
      </w:r>
    </w:p>
    <w:p w14:paraId="3AA7F52B">
      <w:pPr>
        <w:spacing w:line="580" w:lineRule="exact"/>
        <w:ind w:firstLine="640"/>
        <w:jc w:val="both"/>
      </w:pPr>
      <w:r>
        <w:rPr>
          <w:rFonts w:ascii="仿宋_GB2312" w:hAnsi="仿宋_GB2312" w:eastAsia="仿宋_GB2312"/>
          <w:b w:val="0"/>
          <w:sz w:val="32"/>
        </w:rPr>
        <w:t>1.社会保障和就业支出(类)33.65万元,占12.72%。</w:t>
      </w:r>
    </w:p>
    <w:p w14:paraId="36D94F85">
      <w:pPr>
        <w:spacing w:line="580" w:lineRule="exact"/>
        <w:ind w:firstLine="640"/>
        <w:jc w:val="both"/>
      </w:pPr>
      <w:r>
        <w:rPr>
          <w:rFonts w:ascii="仿宋_GB2312" w:hAnsi="仿宋_GB2312" w:eastAsia="仿宋_GB2312"/>
          <w:b w:val="0"/>
          <w:sz w:val="32"/>
        </w:rPr>
        <w:t>2.卫生健康支出(类)10.60万元,占4.01%。</w:t>
      </w:r>
    </w:p>
    <w:p w14:paraId="0530F419">
      <w:pPr>
        <w:spacing w:line="580" w:lineRule="exact"/>
        <w:ind w:firstLine="640"/>
        <w:jc w:val="both"/>
      </w:pPr>
      <w:r>
        <w:rPr>
          <w:rFonts w:ascii="仿宋_GB2312" w:hAnsi="仿宋_GB2312" w:eastAsia="仿宋_GB2312"/>
          <w:b w:val="0"/>
          <w:sz w:val="32"/>
        </w:rPr>
        <w:t>3.农林水支出(类)206.35万元,占78.01%。</w:t>
      </w:r>
    </w:p>
    <w:p w14:paraId="71F161C6">
      <w:pPr>
        <w:spacing w:line="580" w:lineRule="exact"/>
        <w:ind w:firstLine="640"/>
        <w:jc w:val="both"/>
      </w:pPr>
      <w:r>
        <w:rPr>
          <w:rFonts w:ascii="仿宋_GB2312" w:hAnsi="仿宋_GB2312" w:eastAsia="仿宋_GB2312"/>
          <w:b w:val="0"/>
          <w:sz w:val="32"/>
        </w:rPr>
        <w:t>4.住房保障支出(类)13.94万元,占5.27%。</w:t>
      </w:r>
    </w:p>
    <w:p w14:paraId="0619E5A7">
      <w:pPr>
        <w:spacing w:line="640" w:lineRule="exact"/>
        <w:ind w:firstLine="640"/>
        <w:jc w:val="both"/>
        <w:outlineLvl w:val="3"/>
      </w:pPr>
      <w:r>
        <w:rPr>
          <w:rFonts w:ascii="楷体_GB2312" w:hAnsi="楷体_GB2312" w:eastAsia="楷体_GB2312"/>
          <w:b/>
          <w:sz w:val="32"/>
        </w:rPr>
        <w:t>（三）一般公共预算财政拨款支出决算具体情况</w:t>
      </w:r>
    </w:p>
    <w:p w14:paraId="38F20CFC">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8.94万元，比上年决算增加2.07万元，增长30.13%,主要原因是：本年增加退休人员基础绩效奖，退休人员增加、退休费支出增加，所以支出决算数比上年决算增加。</w:t>
      </w:r>
    </w:p>
    <w:p w14:paraId="57C5D16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17.46万元，比上年决算增加0.33万元，增长1.93%,主要原因是：本年在职人员工资基数调增，养老缴费基数上涨，相应支出增加，所以支出决算数比上年决算增加。</w:t>
      </w:r>
    </w:p>
    <w:p w14:paraId="593569D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3.社会保障和就业支出(类)行政事业单位养老支出(款)机关事业单位职业年金缴费支出(项):支出决算数为7.24万元，比上年决算增加0.57万元，增长8.55%,主要原因是：本年新增退</w:t>
      </w:r>
      <w:r>
        <w:rPr>
          <w:rFonts w:ascii="仿宋_GB2312" w:hAnsi="仿宋_GB2312" w:eastAsia="仿宋_GB2312"/>
          <w:b w:val="0"/>
          <w:spacing w:val="6"/>
          <w:sz w:val="32"/>
        </w:rPr>
        <w:t>休人员，职业年金缴费支出增加，所以支出决算数比上年决算增加</w:t>
      </w:r>
      <w:r>
        <w:rPr>
          <w:rFonts w:ascii="仿宋_GB2312" w:hAnsi="仿宋_GB2312" w:eastAsia="仿宋_GB2312"/>
          <w:b w:val="0"/>
          <w:sz w:val="32"/>
        </w:rPr>
        <w:t>。</w:t>
      </w:r>
    </w:p>
    <w:p w14:paraId="7DF2ECB2">
      <w:pPr>
        <w:spacing w:line="580" w:lineRule="exact"/>
        <w:ind w:firstLine="640"/>
        <w:jc w:val="both"/>
      </w:pPr>
      <w:r>
        <w:rPr>
          <w:rFonts w:ascii="仿宋_GB2312" w:hAnsi="仿宋_GB2312" w:eastAsia="仿宋_GB2312"/>
          <w:b w:val="0"/>
          <w:sz w:val="32"/>
        </w:rPr>
        <w:t>4.卫生健康支出(类)行政事业单位医疗(款)行政单位医疗(项):支出决算数为7.27万元，比上年决算减少0.47万元，下降6.07%,主要原因是：本年在职人员减少，行政单位医疗支出较上年减少，所以支出决算数比上年决算减少。</w:t>
      </w:r>
    </w:p>
    <w:p w14:paraId="6848072A">
      <w:pPr>
        <w:spacing w:line="580" w:lineRule="exact"/>
        <w:ind w:firstLine="640"/>
        <w:jc w:val="both"/>
      </w:pPr>
      <w:r>
        <w:rPr>
          <w:rFonts w:ascii="仿宋_GB2312" w:hAnsi="仿宋_GB2312" w:eastAsia="仿宋_GB2312"/>
          <w:b w:val="0"/>
          <w:sz w:val="32"/>
        </w:rPr>
        <w:t>5.卫生健康支出(类)行政事业单位医疗(款)公务员医疗补助(项):支出决算数为3.33万元，比上年决算减少0.25万元，下降6.98%,主要原因是：本年在职人员减少，公务员医疗补助较上年减少，所以支出决算数比上年决算减少。</w:t>
      </w:r>
    </w:p>
    <w:p w14:paraId="0F2E9D81">
      <w:pPr>
        <w:spacing w:line="580" w:lineRule="exact"/>
        <w:ind w:firstLine="640"/>
        <w:jc w:val="both"/>
      </w:pPr>
      <w:r>
        <w:rPr>
          <w:rFonts w:ascii="仿宋_GB2312" w:hAnsi="仿宋_GB2312" w:eastAsia="仿宋_GB2312"/>
          <w:b w:val="0"/>
          <w:sz w:val="32"/>
        </w:rPr>
        <w:t>6.节能环保支出(类)退耕还林还草(款)其他退耕还林还草支出(项):支出决算数为0.00万元，比上年决算减少39.50万元，下降100.00%,主要原因是：本年功能科目调整，中央完善退耕还林项目用于多拉特乡、乌雪特乡、阿克别里斗乡、库普乡农户一卡通发放退耕还林补贴由本科目调整至退耕还林还草科目列支，导致经费支出减少。</w:t>
      </w:r>
    </w:p>
    <w:p w14:paraId="731B1229">
      <w:pPr>
        <w:spacing w:line="580" w:lineRule="exact"/>
        <w:ind w:firstLine="640"/>
        <w:jc w:val="both"/>
      </w:pPr>
      <w:r>
        <w:rPr>
          <w:rFonts w:ascii="仿宋_GB2312" w:hAnsi="仿宋_GB2312" w:eastAsia="仿宋_GB2312"/>
          <w:b w:val="0"/>
          <w:sz w:val="32"/>
        </w:rPr>
        <w:t>7.农林水支出(类)林业和草原(款)行政运行(项):支出决算数为152.90万元，比上年决算增加15.99万元，增长11.68%,主要原因是：本年在职人员工资调增，导致相关人员经费增加。本年购置办公设备、支出植树造林广告宣传印刷费、办公楼取暖费和水电暖维修（护）费等经费增加，导致行政运行支出决算数比上年决算增加。</w:t>
      </w:r>
    </w:p>
    <w:p w14:paraId="5AA9FEEF">
      <w:pPr>
        <w:spacing w:line="580" w:lineRule="exact"/>
        <w:ind w:firstLine="640"/>
        <w:jc w:val="both"/>
      </w:pPr>
      <w:r>
        <w:rPr>
          <w:rFonts w:ascii="仿宋_GB2312" w:hAnsi="仿宋_GB2312" w:eastAsia="仿宋_GB2312"/>
          <w:b w:val="0"/>
          <w:sz w:val="32"/>
        </w:rPr>
        <w:t>8.农林水支出(类)林业和草原(款)退耕还林还草(项):支出决算数为53.44万元，比上年决算增加53.44万元，增长100.00%,主要原因是：本年功能科目调整，中央完善退耕还林项目用于多拉特乡、乌雪特乡、阿克别里斗乡、库普乡农户一卡通发放退耕还林补贴由其他退耕还林还草支出科目调整至本科目列支，导致经费支出增加。</w:t>
      </w:r>
    </w:p>
    <w:p w14:paraId="363488AA">
      <w:pPr>
        <w:spacing w:line="580" w:lineRule="exact"/>
        <w:ind w:firstLine="640"/>
        <w:jc w:val="both"/>
      </w:pPr>
      <w:r>
        <w:rPr>
          <w:rFonts w:ascii="仿宋_GB2312" w:hAnsi="仿宋_GB2312" w:eastAsia="仿宋_GB2312"/>
          <w:b w:val="0"/>
          <w:sz w:val="32"/>
        </w:rPr>
        <w:t>9.住房保障支出(类)住房改革支出(款)住房公积金(项):支出决算数为13.94万元，比上年决算增加0.27万元，增长1.98%,主要原因是：本年在职人员工资基数调增，公积金缴费基数上涨，相应支出增加。</w:t>
      </w:r>
    </w:p>
    <w:p w14:paraId="4E6336C6">
      <w:pPr>
        <w:spacing w:line="640" w:lineRule="exact"/>
        <w:ind w:firstLine="640"/>
        <w:jc w:val="both"/>
        <w:outlineLvl w:val="2"/>
      </w:pPr>
      <w:r>
        <w:rPr>
          <w:rFonts w:ascii="黑体" w:hAnsi="黑体" w:eastAsia="黑体"/>
          <w:sz w:val="32"/>
        </w:rPr>
        <w:t>六、一般公共预算财政拨款基本支出决算情况说明</w:t>
      </w:r>
    </w:p>
    <w:p w14:paraId="0194F4C8">
      <w:pPr>
        <w:spacing w:line="580" w:lineRule="exact"/>
        <w:ind w:firstLine="640"/>
        <w:jc w:val="both"/>
      </w:pPr>
      <w:r>
        <w:rPr>
          <w:rFonts w:ascii="仿宋_GB2312" w:hAnsi="仿宋_GB2312" w:eastAsia="仿宋_GB2312"/>
          <w:b w:val="0"/>
          <w:sz w:val="32"/>
        </w:rPr>
        <w:t>2024年度一般公共预算财政拨款基本支出211.09万元，其中：</w:t>
      </w:r>
      <w:r>
        <w:rPr>
          <w:rFonts w:ascii="仿宋_GB2312" w:hAnsi="仿宋_GB2312" w:eastAsia="仿宋_GB2312"/>
          <w:b/>
          <w:sz w:val="32"/>
        </w:rPr>
        <w:t>人员经费203.39万元，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医疗费补助、奖励金。</w:t>
      </w:r>
    </w:p>
    <w:p w14:paraId="34662B82">
      <w:pPr>
        <w:spacing w:line="580" w:lineRule="exact"/>
        <w:ind w:firstLine="640"/>
        <w:jc w:val="both"/>
      </w:pPr>
      <w:r>
        <w:rPr>
          <w:rFonts w:ascii="仿宋_GB2312" w:hAnsi="仿宋_GB2312" w:eastAsia="仿宋_GB2312"/>
          <w:b/>
          <w:sz w:val="32"/>
        </w:rPr>
        <w:t>公用经费7.70万元，</w:t>
      </w:r>
      <w:r>
        <w:rPr>
          <w:rFonts w:ascii="仿宋_GB2312" w:hAnsi="仿宋_GB2312" w:eastAsia="仿宋_GB2312"/>
          <w:b w:val="0"/>
          <w:sz w:val="32"/>
        </w:rPr>
        <w:t>包括：办公费、印刷费、手续费、邮电费、取暖费、维修（护）费、培训费、工会经费、公务用车运行维护费。</w:t>
      </w:r>
    </w:p>
    <w:p w14:paraId="5F9B625D">
      <w:pPr>
        <w:spacing w:line="640" w:lineRule="exact"/>
        <w:ind w:firstLine="640"/>
        <w:jc w:val="both"/>
        <w:outlineLvl w:val="2"/>
      </w:pPr>
      <w:r>
        <w:rPr>
          <w:rFonts w:ascii="黑体" w:hAnsi="黑体" w:eastAsia="黑体"/>
          <w:sz w:val="32"/>
        </w:rPr>
        <w:t>七、政府性基金预算财政拨款收入支出决算情况说明</w:t>
      </w:r>
    </w:p>
    <w:p w14:paraId="39FFD52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3065A7D">
      <w:pPr>
        <w:spacing w:line="640" w:lineRule="exact"/>
        <w:ind w:firstLine="640"/>
        <w:jc w:val="both"/>
        <w:outlineLvl w:val="2"/>
      </w:pPr>
      <w:r>
        <w:rPr>
          <w:rFonts w:ascii="黑体" w:hAnsi="黑体" w:eastAsia="黑体"/>
          <w:sz w:val="32"/>
        </w:rPr>
        <w:t>八、国有资本经营预算财政拨款收入支出决算情况说明</w:t>
      </w:r>
    </w:p>
    <w:p w14:paraId="05547F2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AE1BCF">
      <w:pPr>
        <w:spacing w:line="640" w:lineRule="exact"/>
        <w:ind w:firstLine="640"/>
        <w:jc w:val="both"/>
        <w:outlineLvl w:val="2"/>
      </w:pPr>
      <w:r>
        <w:rPr>
          <w:rFonts w:ascii="黑体" w:hAnsi="黑体" w:eastAsia="黑体"/>
          <w:sz w:val="32"/>
        </w:rPr>
        <w:t>九、财政拨款“三公”经费支出决算情况说明</w:t>
      </w:r>
    </w:p>
    <w:p w14:paraId="117BE109">
      <w:pPr>
        <w:spacing w:line="580" w:lineRule="exact"/>
        <w:ind w:firstLine="640"/>
        <w:jc w:val="both"/>
      </w:pPr>
      <w:r>
        <w:rPr>
          <w:rFonts w:ascii="仿宋_GB2312" w:hAnsi="仿宋_GB2312" w:eastAsia="仿宋_GB2312"/>
          <w:b/>
          <w:sz w:val="32"/>
        </w:rPr>
        <w:t>2024年度财政拨款“三公”经费支出0.20万元，</w:t>
      </w:r>
      <w:r>
        <w:rPr>
          <w:rFonts w:ascii="仿宋_GB2312" w:hAnsi="仿宋_GB2312" w:eastAsia="仿宋_GB2312"/>
          <w:b w:val="0"/>
          <w:sz w:val="32"/>
        </w:rPr>
        <w:t>比上年增加0.20万元，增长100.00%，主要原因是：本年因业务需求，借用主管单位托里县自然资源局一辆车，支付车辆加油费、维修费，导致公务用车运行维护费较上年增加。其中：因公出国（境）费支出0.00万元，占0.00%，比上年增加0.00万元，增长0.00%，主要原因是：2023年与2024年均未安排因公出国（境）费支出。公务用车购置及运行维护费支出0.20万元，占100.00%，比上年增加0.20万元，增长100.00%，主要原因是：本年因业务需求，借用主管单位托里县自然资源局一辆车，支付车辆加油费、维修费，导致公务用车运行维护费较上年增加。公务接待费支出0.00万元，占0.00%，比上年增加0.00万元，增长0.00%，主要原因是：2023年与2024年均未安排公务接待费支出。</w:t>
      </w:r>
    </w:p>
    <w:p w14:paraId="0D679485">
      <w:pPr>
        <w:spacing w:line="580" w:lineRule="exact"/>
        <w:ind w:firstLine="640"/>
        <w:jc w:val="both"/>
      </w:pPr>
      <w:r>
        <w:rPr>
          <w:rFonts w:ascii="仿宋_GB2312" w:hAnsi="仿宋_GB2312" w:eastAsia="仿宋_GB2312"/>
          <w:b/>
          <w:sz w:val="32"/>
        </w:rPr>
        <w:t>具体情况如下：</w:t>
      </w:r>
    </w:p>
    <w:p w14:paraId="178F82B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569983">
      <w:pPr>
        <w:spacing w:line="580" w:lineRule="exact"/>
        <w:ind w:firstLine="640"/>
        <w:jc w:val="both"/>
      </w:pPr>
      <w:r>
        <w:rPr>
          <w:rFonts w:ascii="仿宋_GB2312" w:hAnsi="仿宋_GB2312" w:eastAsia="仿宋_GB2312"/>
          <w:b w:val="0"/>
          <w:sz w:val="32"/>
        </w:rPr>
        <w:t>公务用车购置及运行维护费0.20万元，其中：公务用车购置费0.00万元，公务用车运行维护费0.20万元。公务用车运行维护费开支内容包括车辆加油费、维修费。公务用车购置数0辆，公务用车保有量1辆。国有资产占用情况中固定资产车辆0辆，与公务用车保有量</w:t>
      </w:r>
      <w:bookmarkStart w:id="0" w:name="_GoBack"/>
      <w:bookmarkEnd w:id="0"/>
      <w:r>
        <w:rPr>
          <w:rFonts w:ascii="仿宋_GB2312" w:hAnsi="仿宋_GB2312" w:eastAsia="仿宋_GB2312"/>
          <w:b w:val="0"/>
          <w:sz w:val="32"/>
        </w:rPr>
        <w:t>差异原因是：借用其他单位车辆，车辆费用由本单位支付。</w:t>
      </w:r>
    </w:p>
    <w:p w14:paraId="1333090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1FF6FE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0.20万元，决算数0.20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0.20万元，决算数0.20万元，预决算差异率0.00%，主要原因是：严格按照预算执行，预决算无差异。公务接待费全年预算数0.00万元，决算数0.00万元，预决算差异率0.00%，主要原因是：本单位无公务接待费。</w:t>
      </w:r>
    </w:p>
    <w:p w14:paraId="16FE3930">
      <w:pPr>
        <w:spacing w:line="640" w:lineRule="exact"/>
        <w:ind w:firstLine="640"/>
        <w:jc w:val="both"/>
        <w:outlineLvl w:val="2"/>
      </w:pPr>
      <w:r>
        <w:rPr>
          <w:rFonts w:ascii="黑体" w:hAnsi="黑体" w:eastAsia="黑体"/>
          <w:sz w:val="32"/>
        </w:rPr>
        <w:t>十、其他重要事项的情况说明</w:t>
      </w:r>
    </w:p>
    <w:p w14:paraId="3F05F7BD">
      <w:pPr>
        <w:spacing w:line="640" w:lineRule="exact"/>
        <w:ind w:firstLine="640"/>
        <w:jc w:val="both"/>
        <w:outlineLvl w:val="3"/>
      </w:pPr>
      <w:r>
        <w:rPr>
          <w:rFonts w:ascii="楷体_GB2312" w:hAnsi="楷体_GB2312" w:eastAsia="楷体_GB2312"/>
          <w:b/>
          <w:sz w:val="32"/>
        </w:rPr>
        <w:t>（一）机关运行经费及公用经费支出情况</w:t>
      </w:r>
    </w:p>
    <w:p w14:paraId="152E94EF">
      <w:pPr>
        <w:spacing w:line="580" w:lineRule="exact"/>
        <w:ind w:firstLine="640"/>
        <w:jc w:val="both"/>
      </w:pPr>
      <w:r>
        <w:rPr>
          <w:rFonts w:ascii="仿宋_GB2312" w:hAnsi="仿宋_GB2312" w:eastAsia="仿宋_GB2312"/>
          <w:b w:val="0"/>
          <w:sz w:val="32"/>
        </w:rPr>
        <w:t>2024年度托里县林业总站（行政单位和参照公务员法管理事业单位）机关运行经费支出7.70万元，比上年增加4.10万元，增长113.89%，主要原因是：本年更新、维护补充办公用品购置办公设备、支出植树造林广告宣传印刷费、支出办公楼取暖费和办公楼维修（护）费、公务用车运行维护费，导致公用经费较上年增加。</w:t>
      </w:r>
    </w:p>
    <w:p w14:paraId="3DF42766">
      <w:pPr>
        <w:spacing w:line="640" w:lineRule="exact"/>
        <w:ind w:firstLine="640"/>
        <w:jc w:val="both"/>
        <w:outlineLvl w:val="3"/>
      </w:pPr>
      <w:r>
        <w:rPr>
          <w:rFonts w:ascii="楷体_GB2312" w:hAnsi="楷体_GB2312" w:eastAsia="楷体_GB2312"/>
          <w:b/>
          <w:sz w:val="32"/>
        </w:rPr>
        <w:t>（二）政府采购情况</w:t>
      </w:r>
    </w:p>
    <w:p w14:paraId="4A7FCBE1">
      <w:pPr>
        <w:spacing w:line="580" w:lineRule="exact"/>
        <w:ind w:firstLine="640"/>
        <w:jc w:val="both"/>
      </w:pPr>
      <w:r>
        <w:rPr>
          <w:rFonts w:ascii="仿宋_GB2312" w:hAnsi="仿宋_GB2312" w:eastAsia="仿宋_GB2312"/>
          <w:b w:val="0"/>
          <w:sz w:val="32"/>
        </w:rPr>
        <w:t>2024年度政府采购支出总额5.26万元，其中：政府采购货物支出3.66万元、政府采购工程支出0.00万元、政府采购服务支出1.60万元。</w:t>
      </w:r>
    </w:p>
    <w:p w14:paraId="47C4D7C7">
      <w:pPr>
        <w:spacing w:line="580" w:lineRule="exact"/>
        <w:ind w:firstLine="640"/>
        <w:jc w:val="both"/>
      </w:pPr>
      <w:r>
        <w:rPr>
          <w:rFonts w:ascii="仿宋_GB2312" w:hAnsi="仿宋_GB2312" w:eastAsia="仿宋_GB2312"/>
          <w:b w:val="0"/>
          <w:sz w:val="32"/>
        </w:rPr>
        <w:t>授予中小企业合同金额5.26万元，占政府采购支出总额的100.00%，其中：授予小微企业合同金额4.11万元，占政府采购支出总额的78.14%。</w:t>
      </w:r>
    </w:p>
    <w:p w14:paraId="7EE15354">
      <w:pPr>
        <w:spacing w:line="640" w:lineRule="exact"/>
        <w:ind w:firstLine="640"/>
        <w:jc w:val="both"/>
        <w:outlineLvl w:val="3"/>
      </w:pPr>
      <w:r>
        <w:rPr>
          <w:rFonts w:ascii="楷体_GB2312" w:hAnsi="楷体_GB2312" w:eastAsia="楷体_GB2312"/>
          <w:b/>
          <w:sz w:val="32"/>
        </w:rPr>
        <w:t>（三）国有资产占用情况说明</w:t>
      </w:r>
    </w:p>
    <w:p w14:paraId="5DDA5192">
      <w:pPr>
        <w:spacing w:line="580" w:lineRule="exact"/>
        <w:ind w:firstLine="640"/>
        <w:jc w:val="both"/>
      </w:pPr>
      <w:r>
        <w:rPr>
          <w:rFonts w:ascii="仿宋_GB2312" w:hAnsi="仿宋_GB2312" w:eastAsia="仿宋_GB2312"/>
          <w:b w:val="0"/>
          <w:sz w:val="32"/>
        </w:rPr>
        <w:t>截至2024年12月31日，房屋110.00平方米，价值3.36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626AF08">
      <w:pPr>
        <w:spacing w:line="640" w:lineRule="exact"/>
        <w:ind w:firstLine="640"/>
        <w:jc w:val="both"/>
        <w:outlineLvl w:val="2"/>
      </w:pPr>
      <w:r>
        <w:rPr>
          <w:rFonts w:ascii="黑体" w:hAnsi="黑体" w:eastAsia="黑体"/>
          <w:sz w:val="32"/>
        </w:rPr>
        <w:t>十一、预算绩效的情况说明</w:t>
      </w:r>
    </w:p>
    <w:p w14:paraId="15E41E1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264.53万元，实际执行总额264.53万元；预算绩效评价项目2个，全年预算数65.72万元，全年执行数53.44万元。预算绩效管理取得的成效：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一是</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资产管理制度不规范、不完整。例如资产出租出借资产未履行报批手续、未委托第三方中介机构进行租金评估、未通过合法的交易机构进行公开招租；三是项目实施过程中的上报、跟踪、反馈机制尚未真正形成，对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合理设置年度任务。提高各处室对科室中长期规划的重视程度，增强相关规划的落地性、导向性，探索符合科室工作特点的评价指标体系。在设定绩效目标时选取相关性强的量化指标，并注重选取符合实际工作情况的指标值。二是针对抽查发现的问题，查找根源并改进，建议：加强年度政府采购台账和固定资产台账信息的比对，避免资产漏入、少入或录入不及时。资产领用应尽可能明确到具体使用人。资产入账时相关人员应再次确认发票、合同信息，避免基础信息录入错误。三是业务部门进行指导、监督和检查时进一步加强主动性，积极探索更有效和积极主动的监管方式。一方面要建立重点项目实施过程的反馈机制，加大对重点部门项目的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完善。具体附整体支出绩效自评表，项目支出绩效自评表和评价报告。</w:t>
      </w:r>
    </w:p>
    <w:p w14:paraId="5898C41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295"/>
        <w:gridCol w:w="915"/>
        <w:gridCol w:w="1288"/>
        <w:gridCol w:w="922"/>
        <w:gridCol w:w="1105"/>
        <w:gridCol w:w="1105"/>
      </w:tblGrid>
      <w:tr w14:paraId="310BC29F">
        <w:tc>
          <w:tcPr>
            <w:tcW w:w="8840" w:type="dxa"/>
            <w:gridSpan w:val="8"/>
            <w:vAlign w:val="center"/>
          </w:tcPr>
          <w:p w14:paraId="57C394C3">
            <w:pPr>
              <w:jc w:val="center"/>
            </w:pPr>
            <w:r>
              <w:rPr>
                <w:rFonts w:ascii="宋体" w:hAnsi="宋体" w:eastAsia="宋体"/>
                <w:sz w:val="24"/>
              </w:rPr>
              <w:t>单位整体支出绩效自评表</w:t>
            </w:r>
          </w:p>
        </w:tc>
      </w:tr>
      <w:tr w14:paraId="59CDF9C4">
        <w:tblPrEx>
          <w:tblCellMar>
            <w:top w:w="0" w:type="dxa"/>
            <w:left w:w="108" w:type="dxa"/>
            <w:bottom w:w="0" w:type="dxa"/>
            <w:right w:w="108" w:type="dxa"/>
          </w:tblCellMar>
        </w:tblPrEx>
        <w:tc>
          <w:tcPr>
            <w:tcW w:w="8840" w:type="dxa"/>
            <w:gridSpan w:val="8"/>
            <w:vAlign w:val="center"/>
          </w:tcPr>
          <w:p w14:paraId="15F2D656">
            <w:pPr>
              <w:jc w:val="center"/>
            </w:pPr>
            <w:r>
              <w:rPr>
                <w:rFonts w:ascii="宋体" w:hAnsi="宋体" w:eastAsia="宋体"/>
                <w:sz w:val="24"/>
              </w:rPr>
              <w:t>（2024年度）</w:t>
            </w:r>
          </w:p>
        </w:tc>
      </w:tr>
      <w:tr w14:paraId="0CAA1DF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D08A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715D20">
            <w:pPr>
              <w:jc w:val="center"/>
            </w:pPr>
            <w:r>
              <w:rPr>
                <w:rFonts w:ascii="宋体" w:hAnsi="宋体" w:eastAsia="宋体"/>
                <w:sz w:val="16"/>
              </w:rPr>
              <w:t>托里县林业总站</w:t>
            </w:r>
          </w:p>
        </w:tc>
      </w:tr>
      <w:tr w14:paraId="287BD0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59AD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92713">
            <w:pPr>
              <w:jc w:val="center"/>
            </w:pPr>
            <w:r>
              <w:rPr>
                <w:rFonts w:ascii="宋体" w:hAnsi="宋体" w:eastAsia="宋体"/>
                <w:sz w:val="16"/>
              </w:rPr>
              <w:t>资金来源</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7C9CD2BE">
            <w:pPr>
              <w:jc w:val="center"/>
            </w:pPr>
            <w:r>
              <w:rPr>
                <w:rFonts w:ascii="宋体" w:hAnsi="宋体" w:eastAsia="宋体"/>
                <w:sz w:val="16"/>
              </w:rPr>
              <w:t>年初预算数</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5D9F840F">
            <w:pPr>
              <w:jc w:val="center"/>
            </w:pPr>
            <w:r>
              <w:rPr>
                <w:rFonts w:ascii="宋体" w:hAnsi="宋体" w:eastAsia="宋体"/>
                <w:sz w:val="16"/>
              </w:rPr>
              <w:t>预算数</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170C0773">
            <w:pPr>
              <w:jc w:val="center"/>
            </w:pPr>
            <w:r>
              <w:rPr>
                <w:rFonts w:ascii="宋体" w:hAnsi="宋体" w:eastAsia="宋体"/>
                <w:sz w:val="16"/>
              </w:rPr>
              <w:t>执行数</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5586E49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EECF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F6594">
            <w:pPr>
              <w:jc w:val="center"/>
            </w:pPr>
            <w:r>
              <w:rPr>
                <w:rFonts w:ascii="宋体" w:hAnsi="宋体" w:eastAsia="宋体"/>
                <w:sz w:val="16"/>
              </w:rPr>
              <w:t>得分</w:t>
            </w:r>
          </w:p>
        </w:tc>
      </w:tr>
      <w:tr w14:paraId="058370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6DCF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4CBEB">
            <w:pPr>
              <w:jc w:val="center"/>
            </w:pPr>
            <w:r>
              <w:rPr>
                <w:rFonts w:ascii="宋体" w:hAnsi="宋体" w:eastAsia="宋体"/>
                <w:sz w:val="16"/>
              </w:rPr>
              <w:t>年度总资金</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5CB3E09A">
            <w:pPr>
              <w:jc w:val="center"/>
            </w:pPr>
            <w:r>
              <w:rPr>
                <w:rFonts w:ascii="宋体" w:hAnsi="宋体" w:eastAsia="宋体"/>
                <w:sz w:val="16"/>
              </w:rPr>
              <w:t>213.52</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3C9C86FC">
            <w:pPr>
              <w:jc w:val="center"/>
            </w:pPr>
            <w:r>
              <w:rPr>
                <w:rFonts w:ascii="宋体" w:hAnsi="宋体" w:eastAsia="宋体"/>
                <w:sz w:val="16"/>
              </w:rPr>
              <w:t>264.53</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00AC8E12">
            <w:pPr>
              <w:jc w:val="center"/>
            </w:pPr>
            <w:r>
              <w:rPr>
                <w:rFonts w:ascii="宋体" w:hAnsi="宋体" w:eastAsia="宋体"/>
                <w:sz w:val="16"/>
              </w:rPr>
              <w:t>264.53</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117301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14241">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1637F">
            <w:pPr>
              <w:jc w:val="center"/>
            </w:pPr>
            <w:r>
              <w:rPr>
                <w:rFonts w:ascii="宋体" w:hAnsi="宋体" w:eastAsia="宋体"/>
                <w:sz w:val="16"/>
              </w:rPr>
              <w:t>10</w:t>
            </w:r>
          </w:p>
        </w:tc>
      </w:tr>
      <w:tr w14:paraId="26472D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D000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5EBC5">
            <w:pPr>
              <w:jc w:val="center"/>
            </w:pPr>
            <w:r>
              <w:rPr>
                <w:rFonts w:ascii="宋体" w:hAnsi="宋体" w:eastAsia="宋体"/>
                <w:sz w:val="16"/>
              </w:rPr>
              <w:t>其中：上级安排（万元）</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05561015">
            <w:pPr>
              <w:jc w:val="center"/>
            </w:pPr>
            <w:r>
              <w:rPr>
                <w:rFonts w:ascii="宋体" w:hAnsi="宋体" w:eastAsia="宋体"/>
                <w:sz w:val="16"/>
              </w:rPr>
              <w:t>14.54</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117F84B3">
            <w:pPr>
              <w:jc w:val="center"/>
            </w:pPr>
            <w:r>
              <w:rPr>
                <w:rFonts w:ascii="宋体" w:hAnsi="宋体" w:eastAsia="宋体"/>
                <w:sz w:val="16"/>
              </w:rPr>
              <w:t>53.44</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10F5CFD8">
            <w:pPr>
              <w:jc w:val="center"/>
            </w:pPr>
            <w:r>
              <w:rPr>
                <w:rFonts w:ascii="宋体" w:hAnsi="宋体" w:eastAsia="宋体"/>
                <w:sz w:val="16"/>
              </w:rPr>
              <w:t>53.44</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368743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6DA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CBE1B">
            <w:pPr>
              <w:jc w:val="center"/>
            </w:pPr>
            <w:r>
              <w:rPr>
                <w:rFonts w:ascii="宋体" w:hAnsi="宋体" w:eastAsia="宋体"/>
                <w:sz w:val="16"/>
              </w:rPr>
              <w:t>-</w:t>
            </w:r>
          </w:p>
        </w:tc>
      </w:tr>
      <w:tr w14:paraId="3A5275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7D93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E4E85">
            <w:pPr>
              <w:jc w:val="center"/>
            </w:pPr>
            <w:r>
              <w:rPr>
                <w:rFonts w:ascii="宋体" w:hAnsi="宋体" w:eastAsia="宋体"/>
                <w:sz w:val="16"/>
              </w:rPr>
              <w:t>本级安排（万元）</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4D0C2FAB">
            <w:pPr>
              <w:jc w:val="center"/>
            </w:pPr>
            <w:r>
              <w:rPr>
                <w:rFonts w:ascii="宋体" w:hAnsi="宋体" w:eastAsia="宋体"/>
                <w:sz w:val="16"/>
              </w:rPr>
              <w:t>198.98</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0E275E2B">
            <w:pPr>
              <w:jc w:val="center"/>
            </w:pPr>
            <w:r>
              <w:rPr>
                <w:rFonts w:ascii="宋体" w:hAnsi="宋体" w:eastAsia="宋体"/>
                <w:sz w:val="16"/>
              </w:rPr>
              <w:t>211.09</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33233E16">
            <w:pPr>
              <w:jc w:val="center"/>
            </w:pPr>
            <w:r>
              <w:rPr>
                <w:rFonts w:ascii="宋体" w:hAnsi="宋体" w:eastAsia="宋体"/>
                <w:sz w:val="16"/>
              </w:rPr>
              <w:t>211.09</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6A328AB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B0E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C5521">
            <w:pPr>
              <w:jc w:val="center"/>
            </w:pPr>
            <w:r>
              <w:rPr>
                <w:rFonts w:ascii="宋体" w:hAnsi="宋体" w:eastAsia="宋体"/>
                <w:sz w:val="16"/>
              </w:rPr>
              <w:t>-</w:t>
            </w:r>
          </w:p>
        </w:tc>
      </w:tr>
      <w:tr w14:paraId="2614B3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CC7E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D3C43">
            <w:pPr>
              <w:jc w:val="center"/>
            </w:pPr>
            <w:r>
              <w:rPr>
                <w:rFonts w:ascii="宋体" w:hAnsi="宋体" w:eastAsia="宋体"/>
                <w:sz w:val="16"/>
              </w:rPr>
              <w:t>其他资金（万元）</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6523E603">
            <w:pPr>
              <w:jc w:val="center"/>
            </w:pPr>
            <w:r>
              <w:rPr>
                <w:rFonts w:ascii="宋体" w:hAnsi="宋体" w:eastAsia="宋体"/>
                <w:sz w:val="16"/>
              </w:rPr>
              <w:t>0.00</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25E9815A">
            <w:pPr>
              <w:jc w:val="center"/>
            </w:pPr>
            <w:r>
              <w:rPr>
                <w:rFonts w:ascii="宋体" w:hAnsi="宋体" w:eastAsia="宋体"/>
                <w:sz w:val="16"/>
              </w:rPr>
              <w:t>0.00</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004337A7">
            <w:pPr>
              <w:jc w:val="center"/>
            </w:pPr>
            <w:r>
              <w:rPr>
                <w:rFonts w:ascii="宋体" w:hAnsi="宋体" w:eastAsia="宋体"/>
                <w:sz w:val="16"/>
              </w:rPr>
              <w:t>0.00</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717C8F5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ACF5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9735B">
            <w:pPr>
              <w:jc w:val="center"/>
            </w:pPr>
            <w:r>
              <w:rPr>
                <w:rFonts w:ascii="宋体" w:hAnsi="宋体" w:eastAsia="宋体"/>
                <w:sz w:val="16"/>
              </w:rPr>
              <w:t>-</w:t>
            </w:r>
          </w:p>
        </w:tc>
      </w:tr>
      <w:tr w14:paraId="6714DB7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25B03">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7A217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F76974">
            <w:pPr>
              <w:jc w:val="center"/>
            </w:pPr>
            <w:r>
              <w:rPr>
                <w:rFonts w:ascii="宋体" w:hAnsi="宋体" w:eastAsia="宋体"/>
                <w:sz w:val="16"/>
              </w:rPr>
              <w:t>实际完成情况</w:t>
            </w:r>
          </w:p>
        </w:tc>
      </w:tr>
      <w:tr w14:paraId="492CD9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5F415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A896EC">
            <w:pPr>
              <w:jc w:val="both"/>
            </w:pPr>
            <w:r>
              <w:rPr>
                <w:rFonts w:ascii="宋体" w:hAnsi="宋体" w:eastAsia="宋体"/>
                <w:sz w:val="16"/>
              </w:rPr>
              <w:t>1.组织开展荒山造林、封山育林工作，组织指导以植树种草等生物措施防止水土流失和防沙、治沙工作。2.抓住春季植树造林黄金时机，计划完成退化林修复面积1800亩，开展大规模国土绿化、保质保量</w:t>
            </w:r>
            <w:r>
              <w:rPr>
                <w:rFonts w:hint="eastAsia" w:ascii="宋体" w:hAnsi="宋体"/>
                <w:sz w:val="16"/>
                <w:lang w:eastAsia="zh-CN"/>
              </w:rPr>
              <w:t>地</w:t>
            </w:r>
            <w:r>
              <w:rPr>
                <w:rFonts w:ascii="宋体" w:hAnsi="宋体" w:eastAsia="宋体"/>
                <w:sz w:val="16"/>
              </w:rPr>
              <w:t>完成下达的各项工作任务。3.坚持因地制宜、分类指导，确保新植补造树木成活率85%以上。4.加强监督检查、督查造林进度次数不少于5次。5.通过防治加强树势管理，提高树体抵抗力，实现林业生物灾害风险</w:t>
            </w:r>
            <w:r>
              <w:rPr>
                <w:rFonts w:hint="eastAsia" w:ascii="宋体" w:hAnsi="宋体"/>
                <w:sz w:val="16"/>
                <w:lang w:eastAsia="zh-CN"/>
              </w:rPr>
              <w:t>防范</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F2FDC4">
            <w:pPr>
              <w:jc w:val="both"/>
            </w:pPr>
            <w:r>
              <w:rPr>
                <w:rFonts w:ascii="宋体" w:hAnsi="宋体" w:eastAsia="宋体"/>
                <w:sz w:val="16"/>
              </w:rPr>
              <w:t>1.2024年</w:t>
            </w:r>
            <w:r>
              <w:rPr>
                <w:rFonts w:hint="eastAsia" w:ascii="宋体" w:hAnsi="宋体"/>
                <w:sz w:val="16"/>
                <w:lang w:eastAsia="zh-CN"/>
              </w:rPr>
              <w:t>本单位</w:t>
            </w:r>
            <w:r>
              <w:rPr>
                <w:rFonts w:ascii="宋体" w:hAnsi="宋体" w:eastAsia="宋体"/>
                <w:sz w:val="16"/>
              </w:rPr>
              <w:t>计划完成2023年第二批村庄绿化面积303亩，完成率100%。2.组织指导以植树种草等生物措施防止水土流失和防沙、治沙工作，完成确保新植补造树木成活率工作。3.坚持因地制宜、分类指导，抓住春季植树造林黄金时机，督查造林进度次数5次；成林每年配水次数6次。4.计划完成退化林修复面积1800亩、指标完成率0%，偏差100%，该项工作年初计划完成1800亩、由于2024年已签订施工合同，计划2025年春季开工。5.开展大规模国土绿化，保质保量</w:t>
            </w:r>
            <w:r>
              <w:rPr>
                <w:rFonts w:hint="eastAsia" w:ascii="宋体" w:hAnsi="宋体"/>
                <w:sz w:val="16"/>
                <w:lang w:eastAsia="zh-CN"/>
              </w:rPr>
              <w:t>地</w:t>
            </w:r>
            <w:r>
              <w:rPr>
                <w:rFonts w:ascii="宋体" w:hAnsi="宋体" w:eastAsia="宋体"/>
                <w:sz w:val="16"/>
              </w:rPr>
              <w:t>完成下达的各项工作任务。</w:t>
            </w:r>
          </w:p>
        </w:tc>
      </w:tr>
      <w:tr w14:paraId="1464BD6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F35F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6F992">
            <w:pPr>
              <w:jc w:val="center"/>
            </w:pPr>
            <w:r>
              <w:rPr>
                <w:rFonts w:ascii="宋体" w:hAnsi="宋体" w:eastAsia="宋体"/>
                <w:sz w:val="16"/>
              </w:rPr>
              <w:t>二级指标</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0B45A92B">
            <w:pPr>
              <w:jc w:val="center"/>
            </w:pPr>
            <w:r>
              <w:rPr>
                <w:rFonts w:ascii="宋体" w:hAnsi="宋体" w:eastAsia="宋体"/>
                <w:sz w:val="16"/>
              </w:rPr>
              <w:t>三级指标</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32D5B401">
            <w:pPr>
              <w:jc w:val="center"/>
            </w:pPr>
            <w:r>
              <w:rPr>
                <w:rFonts w:ascii="宋体" w:hAnsi="宋体" w:eastAsia="宋体"/>
                <w:sz w:val="16"/>
              </w:rPr>
              <w:t>指标值</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3E7E6C65">
            <w:pPr>
              <w:jc w:val="center"/>
            </w:pPr>
            <w:r>
              <w:rPr>
                <w:rFonts w:ascii="宋体" w:hAnsi="宋体" w:eastAsia="宋体"/>
                <w:sz w:val="16"/>
              </w:rPr>
              <w:t>指标设定依据</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78079F0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1594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5578F">
            <w:pPr>
              <w:jc w:val="center"/>
            </w:pPr>
            <w:r>
              <w:rPr>
                <w:rFonts w:ascii="宋体" w:hAnsi="宋体" w:eastAsia="宋体"/>
                <w:sz w:val="16"/>
              </w:rPr>
              <w:t>得分</w:t>
            </w:r>
          </w:p>
        </w:tc>
      </w:tr>
      <w:tr w14:paraId="2FF9516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6263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F318D">
            <w:pPr>
              <w:jc w:val="center"/>
            </w:pPr>
            <w:r>
              <w:rPr>
                <w:rFonts w:ascii="宋体" w:hAnsi="宋体" w:eastAsia="宋体"/>
                <w:sz w:val="16"/>
              </w:rPr>
              <w:t>数量指标</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1F80CA29">
            <w:pPr>
              <w:jc w:val="center"/>
            </w:pPr>
            <w:r>
              <w:rPr>
                <w:rFonts w:ascii="宋体" w:hAnsi="宋体" w:eastAsia="宋体"/>
                <w:sz w:val="16"/>
              </w:rPr>
              <w:t>计划完成退化林修复面积</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5441648B">
            <w:pPr>
              <w:jc w:val="center"/>
            </w:pPr>
            <w:r>
              <w:rPr>
                <w:rFonts w:ascii="宋体" w:hAnsi="宋体" w:eastAsia="宋体"/>
                <w:sz w:val="16"/>
              </w:rPr>
              <w:t>&gt;=1800亩</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002227B2">
            <w:pPr>
              <w:jc w:val="center"/>
            </w:pPr>
            <w:r>
              <w:rPr>
                <w:rFonts w:ascii="宋体" w:hAnsi="宋体" w:eastAsia="宋体"/>
                <w:sz w:val="16"/>
              </w:rPr>
              <w:t>2024年工作计划</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5480BFC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4B92D">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0B65E">
            <w:pPr>
              <w:jc w:val="center"/>
            </w:pPr>
            <w:r>
              <w:rPr>
                <w:rFonts w:ascii="宋体" w:hAnsi="宋体" w:eastAsia="宋体"/>
                <w:sz w:val="16"/>
              </w:rPr>
              <w:t>0</w:t>
            </w:r>
          </w:p>
        </w:tc>
      </w:tr>
      <w:tr w14:paraId="1F64D5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447A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6D1262"/>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1DE02EBA">
            <w:pPr>
              <w:jc w:val="center"/>
            </w:pPr>
            <w:r>
              <w:rPr>
                <w:rFonts w:ascii="宋体" w:hAnsi="宋体" w:eastAsia="宋体"/>
                <w:sz w:val="16"/>
              </w:rPr>
              <w:t>计划完成2023年第二批村庄绿化面积</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042165A0">
            <w:pPr>
              <w:jc w:val="center"/>
            </w:pPr>
            <w:r>
              <w:rPr>
                <w:rFonts w:ascii="宋体" w:hAnsi="宋体" w:eastAsia="宋体"/>
                <w:sz w:val="16"/>
              </w:rPr>
              <w:t>&gt;=303亩</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5EC00712">
            <w:pPr>
              <w:jc w:val="center"/>
            </w:pPr>
            <w:r>
              <w:rPr>
                <w:rFonts w:ascii="宋体" w:hAnsi="宋体" w:eastAsia="宋体"/>
                <w:sz w:val="16"/>
              </w:rPr>
              <w:t>2024年工作计划</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3913E94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CA458">
            <w:pPr>
              <w:jc w:val="center"/>
            </w:pPr>
            <w:r>
              <w:rPr>
                <w:rFonts w:ascii="宋体" w:hAnsi="宋体" w:eastAsia="宋体"/>
                <w:sz w:val="16"/>
              </w:rPr>
              <w:t>303亩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E8A18">
            <w:pPr>
              <w:jc w:val="center"/>
            </w:pPr>
            <w:r>
              <w:rPr>
                <w:rFonts w:ascii="宋体" w:hAnsi="宋体" w:eastAsia="宋体"/>
                <w:sz w:val="16"/>
              </w:rPr>
              <w:t>15</w:t>
            </w:r>
          </w:p>
        </w:tc>
      </w:tr>
      <w:tr w14:paraId="654A3A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C845C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BE77FD"/>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3D38209E">
            <w:pPr>
              <w:jc w:val="center"/>
            </w:pPr>
            <w:r>
              <w:rPr>
                <w:rFonts w:ascii="宋体" w:hAnsi="宋体" w:eastAsia="宋体"/>
                <w:sz w:val="16"/>
              </w:rPr>
              <w:t>督查造林进度次数</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50331A4D">
            <w:pPr>
              <w:jc w:val="center"/>
            </w:pPr>
            <w:r>
              <w:rPr>
                <w:rFonts w:ascii="宋体" w:hAnsi="宋体" w:eastAsia="宋体"/>
                <w:sz w:val="16"/>
              </w:rPr>
              <w:t>&gt;=5次</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65F31D2B">
            <w:pPr>
              <w:jc w:val="center"/>
            </w:pPr>
            <w:r>
              <w:rPr>
                <w:rFonts w:ascii="宋体" w:hAnsi="宋体" w:eastAsia="宋体"/>
                <w:sz w:val="16"/>
              </w:rPr>
              <w:t>2024年工作计划</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276CF15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42ABB">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81A4D">
            <w:pPr>
              <w:jc w:val="center"/>
            </w:pPr>
            <w:r>
              <w:rPr>
                <w:rFonts w:ascii="宋体" w:hAnsi="宋体" w:eastAsia="宋体"/>
                <w:sz w:val="16"/>
              </w:rPr>
              <w:t>15</w:t>
            </w:r>
          </w:p>
        </w:tc>
      </w:tr>
      <w:tr w14:paraId="478BB9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0FE70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1CD533"/>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6605F940">
            <w:pPr>
              <w:jc w:val="center"/>
            </w:pPr>
            <w:r>
              <w:rPr>
                <w:rFonts w:ascii="宋体" w:hAnsi="宋体" w:eastAsia="宋体"/>
                <w:sz w:val="16"/>
              </w:rPr>
              <w:t>成林每年配水次数</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310510E3">
            <w:pPr>
              <w:jc w:val="center"/>
            </w:pPr>
            <w:r>
              <w:rPr>
                <w:rFonts w:ascii="宋体" w:hAnsi="宋体" w:eastAsia="宋体"/>
                <w:sz w:val="16"/>
              </w:rPr>
              <w:t>&gt;=6次</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1AB102B3">
            <w:pPr>
              <w:jc w:val="center"/>
            </w:pPr>
            <w:r>
              <w:rPr>
                <w:rFonts w:ascii="宋体" w:hAnsi="宋体" w:eastAsia="宋体"/>
                <w:sz w:val="16"/>
              </w:rPr>
              <w:t>2024年工作计划</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0DA9B74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D6EF9">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5C4F9">
            <w:pPr>
              <w:jc w:val="center"/>
            </w:pPr>
            <w:r>
              <w:rPr>
                <w:rFonts w:ascii="宋体" w:hAnsi="宋体" w:eastAsia="宋体"/>
                <w:sz w:val="16"/>
              </w:rPr>
              <w:t>15</w:t>
            </w:r>
          </w:p>
        </w:tc>
      </w:tr>
      <w:tr w14:paraId="473FAC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80AEA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933F90"/>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2D05E90E">
            <w:pPr>
              <w:jc w:val="center"/>
            </w:pPr>
            <w:r>
              <w:rPr>
                <w:rFonts w:ascii="宋体" w:hAnsi="宋体" w:eastAsia="宋体"/>
                <w:sz w:val="16"/>
              </w:rPr>
              <w:t>植树造林开展宣传活动次数</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1B9B2CAE">
            <w:pPr>
              <w:jc w:val="center"/>
            </w:pPr>
            <w:r>
              <w:rPr>
                <w:rFonts w:ascii="宋体" w:hAnsi="宋体" w:eastAsia="宋体"/>
                <w:sz w:val="16"/>
              </w:rPr>
              <w:t>&gt;=4次</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29A073F3">
            <w:pPr>
              <w:jc w:val="center"/>
            </w:pPr>
            <w:r>
              <w:rPr>
                <w:rFonts w:ascii="宋体" w:hAnsi="宋体" w:eastAsia="宋体"/>
                <w:sz w:val="16"/>
              </w:rPr>
              <w:t>2024年工作计划</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085CB7A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9B39B">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AE735">
            <w:pPr>
              <w:jc w:val="center"/>
            </w:pPr>
            <w:r>
              <w:rPr>
                <w:rFonts w:ascii="宋体" w:hAnsi="宋体" w:eastAsia="宋体"/>
                <w:sz w:val="16"/>
              </w:rPr>
              <w:t>15</w:t>
            </w:r>
          </w:p>
        </w:tc>
      </w:tr>
      <w:tr w14:paraId="3F92AA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241B5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CD109">
            <w:pPr>
              <w:jc w:val="center"/>
            </w:pPr>
            <w:r>
              <w:rPr>
                <w:rFonts w:ascii="宋体" w:hAnsi="宋体" w:eastAsia="宋体"/>
                <w:sz w:val="16"/>
              </w:rPr>
              <w:t>质量指标</w:t>
            </w:r>
          </w:p>
        </w:tc>
        <w:tc>
          <w:tcPr>
            <w:tcW w:w="1295" w:type="dxa"/>
            <w:tcBorders>
              <w:top w:val="single" w:color="auto" w:sz="10" w:space="0"/>
              <w:left w:val="single" w:color="auto" w:sz="10" w:space="0"/>
              <w:bottom w:val="single" w:color="auto" w:sz="10" w:space="0"/>
              <w:right w:val="single" w:color="auto" w:sz="10" w:space="0"/>
              <w:insideV w:val="single" w:sz="10" w:space="0"/>
            </w:tcBorders>
            <w:vAlign w:val="center"/>
          </w:tcPr>
          <w:p w14:paraId="4AAF3A6C">
            <w:pPr>
              <w:jc w:val="center"/>
            </w:pPr>
            <w:r>
              <w:rPr>
                <w:rFonts w:ascii="宋体" w:hAnsi="宋体" w:eastAsia="宋体"/>
                <w:sz w:val="16"/>
              </w:rPr>
              <w:t>确保新植补造树木成活率</w:t>
            </w:r>
          </w:p>
        </w:tc>
        <w:tc>
          <w:tcPr>
            <w:tcW w:w="915" w:type="dxa"/>
            <w:tcBorders>
              <w:top w:val="single" w:color="auto" w:sz="10" w:space="0"/>
              <w:left w:val="single" w:color="auto" w:sz="10" w:space="0"/>
              <w:bottom w:val="single" w:color="auto" w:sz="10" w:space="0"/>
              <w:right w:val="single" w:color="auto" w:sz="10" w:space="0"/>
              <w:insideV w:val="single" w:sz="10" w:space="0"/>
            </w:tcBorders>
            <w:vAlign w:val="center"/>
          </w:tcPr>
          <w:p w14:paraId="449C3B24">
            <w:pPr>
              <w:jc w:val="center"/>
            </w:pPr>
            <w:r>
              <w:rPr>
                <w:rFonts w:ascii="宋体" w:hAnsi="宋体" w:eastAsia="宋体"/>
                <w:sz w:val="16"/>
              </w:rPr>
              <w:t>&gt;=85%</w:t>
            </w:r>
          </w:p>
        </w:tc>
        <w:tc>
          <w:tcPr>
            <w:tcW w:w="1288" w:type="dxa"/>
            <w:tcBorders>
              <w:top w:val="single" w:color="auto" w:sz="10" w:space="0"/>
              <w:left w:val="single" w:color="auto" w:sz="10" w:space="0"/>
              <w:bottom w:val="single" w:color="auto" w:sz="10" w:space="0"/>
              <w:right w:val="single" w:color="auto" w:sz="10" w:space="0"/>
              <w:insideV w:val="single" w:sz="10" w:space="0"/>
            </w:tcBorders>
            <w:vAlign w:val="center"/>
          </w:tcPr>
          <w:p w14:paraId="5727F6AA">
            <w:pPr>
              <w:jc w:val="center"/>
            </w:pPr>
            <w:r>
              <w:rPr>
                <w:rFonts w:ascii="宋体" w:hAnsi="宋体" w:eastAsia="宋体"/>
                <w:sz w:val="16"/>
              </w:rPr>
              <w:t>2024年工作计划</w:t>
            </w:r>
          </w:p>
        </w:tc>
        <w:tc>
          <w:tcPr>
            <w:tcW w:w="922" w:type="dxa"/>
            <w:tcBorders>
              <w:top w:val="single" w:color="auto" w:sz="10" w:space="0"/>
              <w:left w:val="single" w:color="auto" w:sz="10" w:space="0"/>
              <w:bottom w:val="single" w:color="auto" w:sz="10" w:space="0"/>
              <w:right w:val="single" w:color="auto" w:sz="10" w:space="0"/>
              <w:insideV w:val="single" w:sz="10" w:space="0"/>
            </w:tcBorders>
            <w:vAlign w:val="center"/>
          </w:tcPr>
          <w:p w14:paraId="0A2D51D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55A4E">
            <w:pPr>
              <w:jc w:val="center"/>
            </w:pPr>
            <w:r>
              <w:rPr>
                <w:rFonts w:ascii="宋体" w:hAnsi="宋体" w:eastAsia="宋体"/>
                <w:sz w:val="16"/>
              </w:rPr>
              <w: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EE22B">
            <w:pPr>
              <w:jc w:val="center"/>
            </w:pPr>
            <w:r>
              <w:rPr>
                <w:rFonts w:ascii="宋体" w:hAnsi="宋体" w:eastAsia="宋体"/>
                <w:sz w:val="16"/>
              </w:rPr>
              <w:t>15</w:t>
            </w:r>
          </w:p>
        </w:tc>
      </w:tr>
    </w:tbl>
    <w:p w14:paraId="7B79D9D0">
      <w:r>
        <w:br w:type="page"/>
      </w:r>
    </w:p>
    <w:tbl>
      <w:tblPr>
        <w:tblStyle w:val="9"/>
        <w:tblW w:w="0" w:type="auto"/>
        <w:tblInd w:w="0" w:type="dxa"/>
        <w:tblLayout w:type="autofit"/>
        <w:tblCellMar>
          <w:top w:w="0" w:type="dxa"/>
          <w:left w:w="108" w:type="dxa"/>
          <w:bottom w:w="0" w:type="dxa"/>
          <w:right w:w="108" w:type="dxa"/>
        </w:tblCellMar>
      </w:tblPr>
      <w:tblGrid>
        <w:gridCol w:w="622"/>
        <w:gridCol w:w="604"/>
        <w:gridCol w:w="604"/>
        <w:gridCol w:w="604"/>
        <w:gridCol w:w="936"/>
        <w:gridCol w:w="604"/>
        <w:gridCol w:w="604"/>
        <w:gridCol w:w="613"/>
        <w:gridCol w:w="604"/>
        <w:gridCol w:w="613"/>
        <w:gridCol w:w="776"/>
        <w:gridCol w:w="622"/>
        <w:gridCol w:w="631"/>
        <w:gridCol w:w="623"/>
      </w:tblGrid>
      <w:tr w14:paraId="2246EE8A">
        <w:tblPrEx>
          <w:tblCellMar>
            <w:top w:w="0" w:type="dxa"/>
            <w:left w:w="108" w:type="dxa"/>
            <w:bottom w:w="0" w:type="dxa"/>
            <w:right w:w="108" w:type="dxa"/>
          </w:tblCellMar>
        </w:tblPrEx>
        <w:tc>
          <w:tcPr>
            <w:tcW w:w="8848" w:type="dxa"/>
            <w:gridSpan w:val="14"/>
            <w:vAlign w:val="center"/>
          </w:tcPr>
          <w:p w14:paraId="5EA54270">
            <w:pPr>
              <w:jc w:val="center"/>
            </w:pPr>
            <w:r>
              <w:rPr>
                <w:rFonts w:ascii="宋体" w:hAnsi="宋体" w:eastAsia="宋体"/>
                <w:sz w:val="24"/>
              </w:rPr>
              <w:t>项目支出绩效自评表</w:t>
            </w:r>
          </w:p>
        </w:tc>
      </w:tr>
      <w:tr w14:paraId="5A90FF32">
        <w:tblPrEx>
          <w:tblCellMar>
            <w:top w:w="0" w:type="dxa"/>
            <w:left w:w="108" w:type="dxa"/>
            <w:bottom w:w="0" w:type="dxa"/>
            <w:right w:w="108" w:type="dxa"/>
          </w:tblCellMar>
        </w:tblPrEx>
        <w:tc>
          <w:tcPr>
            <w:tcW w:w="8848" w:type="dxa"/>
            <w:gridSpan w:val="14"/>
            <w:vAlign w:val="center"/>
          </w:tcPr>
          <w:p w14:paraId="078C9E5E">
            <w:pPr>
              <w:jc w:val="center"/>
            </w:pPr>
            <w:r>
              <w:rPr>
                <w:rFonts w:ascii="宋体" w:hAnsi="宋体" w:eastAsia="宋体"/>
                <w:sz w:val="24"/>
              </w:rPr>
              <w:t>(2024年度)</w:t>
            </w:r>
          </w:p>
        </w:tc>
      </w:tr>
      <w:tr w14:paraId="289E08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82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F7B89F">
            <w:pPr>
              <w:jc w:val="center"/>
            </w:pPr>
            <w:r>
              <w:rPr>
                <w:rFonts w:ascii="宋体" w:hAnsi="宋体" w:eastAsia="宋体"/>
                <w:sz w:val="16"/>
              </w:rPr>
              <w:t>2016</w:t>
            </w:r>
            <w:r>
              <w:rPr>
                <w:rFonts w:hint="eastAsia" w:ascii="宋体" w:hAnsi="宋体"/>
                <w:sz w:val="16"/>
                <w:lang w:eastAsia="zh-CN"/>
              </w:rPr>
              <w:t>—</w:t>
            </w:r>
            <w:r>
              <w:rPr>
                <w:rFonts w:ascii="宋体" w:hAnsi="宋体" w:eastAsia="宋体"/>
                <w:sz w:val="16"/>
              </w:rPr>
              <w:t>2019年中央完善退耕还林补助资金项目</w:t>
            </w:r>
          </w:p>
        </w:tc>
      </w:tr>
      <w:tr w14:paraId="0F8622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86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DC54AA">
            <w:pPr>
              <w:jc w:val="center"/>
            </w:pPr>
            <w:r>
              <w:rPr>
                <w:rFonts w:ascii="宋体" w:hAnsi="宋体" w:eastAsia="宋体"/>
                <w:sz w:val="16"/>
              </w:rPr>
              <w:t>托里县林业总站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62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26D9E4">
            <w:pPr>
              <w:jc w:val="center"/>
            </w:pPr>
            <w:r>
              <w:rPr>
                <w:rFonts w:ascii="宋体" w:hAnsi="宋体" w:eastAsia="宋体"/>
                <w:sz w:val="16"/>
              </w:rPr>
              <w:t>托里县林业总站</w:t>
            </w:r>
          </w:p>
        </w:tc>
      </w:tr>
      <w:tr w14:paraId="628993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545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373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BF6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1CB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9F3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FA5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505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3C3D">
            <w:pPr>
              <w:jc w:val="center"/>
            </w:pPr>
            <w:r>
              <w:rPr>
                <w:rFonts w:ascii="宋体" w:hAnsi="宋体" w:eastAsia="宋体"/>
                <w:sz w:val="16"/>
              </w:rPr>
              <w:t>得分</w:t>
            </w:r>
          </w:p>
        </w:tc>
      </w:tr>
      <w:tr w14:paraId="04E48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221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42E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DC460">
            <w:pPr>
              <w:jc w:val="center"/>
            </w:pPr>
            <w:r>
              <w:rPr>
                <w:rFonts w:ascii="宋体" w:hAnsi="宋体" w:eastAsia="宋体"/>
                <w:sz w:val="16"/>
              </w:rPr>
              <w:t>51.18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CFF4B">
            <w:pPr>
              <w:jc w:val="center"/>
            </w:pPr>
            <w:r>
              <w:rPr>
                <w:rFonts w:ascii="宋体" w:hAnsi="宋体" w:eastAsia="宋体"/>
                <w:sz w:val="16"/>
              </w:rPr>
              <w:t>51.18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60C82">
            <w:pPr>
              <w:jc w:val="center"/>
            </w:pPr>
            <w:r>
              <w:rPr>
                <w:rFonts w:ascii="宋体" w:hAnsi="宋体" w:eastAsia="宋体"/>
                <w:sz w:val="16"/>
              </w:rPr>
              <w:t>40.38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316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DD9DB">
            <w:pPr>
              <w:jc w:val="center"/>
            </w:pPr>
            <w:r>
              <w:rPr>
                <w:rFonts w:ascii="宋体" w:hAnsi="宋体" w:eastAsia="宋体"/>
                <w:sz w:val="16"/>
              </w:rPr>
              <w:t>78.90%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1A19">
            <w:pPr>
              <w:jc w:val="center"/>
            </w:pPr>
            <w:r>
              <w:rPr>
                <w:rFonts w:ascii="宋体" w:hAnsi="宋体" w:eastAsia="宋体"/>
                <w:sz w:val="16"/>
              </w:rPr>
              <w:t>7.89</w:t>
            </w:r>
          </w:p>
        </w:tc>
      </w:tr>
      <w:tr w14:paraId="0D1DF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45D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F18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29995">
            <w:pPr>
              <w:jc w:val="center"/>
            </w:pPr>
            <w:r>
              <w:rPr>
                <w:rFonts w:ascii="宋体" w:hAnsi="宋体" w:eastAsia="宋体"/>
                <w:sz w:val="16"/>
              </w:rPr>
              <w:t>51.18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CCC1D">
            <w:pPr>
              <w:jc w:val="center"/>
            </w:pPr>
            <w:r>
              <w:rPr>
                <w:rFonts w:ascii="宋体" w:hAnsi="宋体" w:eastAsia="宋体"/>
                <w:sz w:val="16"/>
              </w:rPr>
              <w:t>51.18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99806">
            <w:pPr>
              <w:jc w:val="center"/>
            </w:pPr>
            <w:r>
              <w:rPr>
                <w:rFonts w:ascii="宋体" w:hAnsi="宋体" w:eastAsia="宋体"/>
                <w:sz w:val="16"/>
              </w:rPr>
              <w:t>40.38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310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445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57C1">
            <w:pPr>
              <w:jc w:val="center"/>
            </w:pPr>
            <w:r>
              <w:rPr>
                <w:rFonts w:ascii="宋体" w:hAnsi="宋体" w:eastAsia="宋体"/>
                <w:sz w:val="16"/>
              </w:rPr>
              <w:t>—</w:t>
            </w:r>
          </w:p>
        </w:tc>
      </w:tr>
      <w:tr w14:paraId="565E75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F27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C68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068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128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252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690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AB1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1B5E">
            <w:pPr>
              <w:jc w:val="center"/>
            </w:pPr>
            <w:r>
              <w:rPr>
                <w:rFonts w:ascii="宋体" w:hAnsi="宋体" w:eastAsia="宋体"/>
                <w:sz w:val="16"/>
              </w:rPr>
              <w:t>—</w:t>
            </w:r>
          </w:p>
        </w:tc>
      </w:tr>
      <w:tr w14:paraId="0461C9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64C1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20B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27F902">
            <w:pPr>
              <w:jc w:val="center"/>
            </w:pPr>
            <w:r>
              <w:rPr>
                <w:rFonts w:ascii="宋体" w:hAnsi="宋体" w:eastAsia="宋体"/>
                <w:sz w:val="16"/>
              </w:rPr>
              <w:t>实际完成情况</w:t>
            </w:r>
          </w:p>
        </w:tc>
      </w:tr>
      <w:tr w14:paraId="00AC5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9D0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6F26E">
            <w:pPr>
              <w:jc w:val="both"/>
            </w:pPr>
            <w:r>
              <w:rPr>
                <w:rFonts w:ascii="宋体" w:hAnsi="宋体" w:eastAsia="宋体"/>
                <w:sz w:val="16"/>
              </w:rPr>
              <w:t>2016</w:t>
            </w:r>
            <w:r>
              <w:rPr>
                <w:rFonts w:hint="eastAsia" w:ascii="宋体" w:hAnsi="宋体"/>
                <w:sz w:val="16"/>
                <w:lang w:eastAsia="zh-CN"/>
              </w:rPr>
              <w:t>—</w:t>
            </w:r>
            <w:r>
              <w:rPr>
                <w:rFonts w:ascii="宋体" w:hAnsi="宋体" w:eastAsia="宋体"/>
                <w:sz w:val="16"/>
              </w:rPr>
              <w:t>2019年中央完善退耕还林补助资金，用于支付退耕还林面积0.56865万亩，标准90元/亩、实行一卡通发放，用于多拉特乡、乌雪特乡、阿克别里斗乡、铁厂沟镇农户一卡通发放退耕还林补贴。完成率达79%。从而达到有效减少水土流失、改善生态环境，受益人员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95562C">
            <w:pPr>
              <w:jc w:val="both"/>
            </w:pPr>
            <w:r>
              <w:rPr>
                <w:rFonts w:ascii="宋体" w:hAnsi="宋体" w:eastAsia="宋体"/>
                <w:sz w:val="16"/>
              </w:rPr>
              <w:t>2016</w:t>
            </w:r>
            <w:r>
              <w:rPr>
                <w:rFonts w:hint="eastAsia" w:ascii="宋体" w:hAnsi="宋体"/>
                <w:sz w:val="16"/>
                <w:lang w:eastAsia="zh-CN"/>
              </w:rPr>
              <w:t>—</w:t>
            </w:r>
            <w:r>
              <w:rPr>
                <w:rFonts w:ascii="宋体" w:hAnsi="宋体" w:eastAsia="宋体"/>
                <w:sz w:val="16"/>
              </w:rPr>
              <w:t>2019年中央完善退耕还林补助资金51.1785万元、用于支付退耕还林面积5686.5亩、标准90元/亩、实行一卡通发放，用于多拉特乡、乌雪特乡、阿克别里斗乡、铁厂沟镇退耕户补贴，</w:t>
            </w:r>
            <w:r>
              <w:rPr>
                <w:rFonts w:hint="eastAsia" w:ascii="宋体" w:hAnsi="宋体"/>
                <w:sz w:val="16"/>
                <w:lang w:eastAsia="zh-CN"/>
              </w:rPr>
              <w:t>截至</w:t>
            </w:r>
            <w:r>
              <w:rPr>
                <w:rFonts w:ascii="宋体" w:hAnsi="宋体" w:eastAsia="宋体"/>
                <w:sz w:val="16"/>
              </w:rPr>
              <w:t>2024年年底已支付40.3785万元完，完成率达78.9%。未支付10.8万元、涉及4户、因1200亩林地验收不合格，计划2025年春季开展补植，加强林木管护。</w:t>
            </w:r>
          </w:p>
        </w:tc>
      </w:tr>
      <w:tr w14:paraId="0B1998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7FC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8D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713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7C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997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C6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4E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B22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2A5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D09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8A2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837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3D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4CC7">
            <w:pPr>
              <w:jc w:val="center"/>
            </w:pPr>
            <w:r>
              <w:rPr>
                <w:rFonts w:ascii="宋体" w:hAnsi="宋体" w:eastAsia="宋体"/>
                <w:sz w:val="16"/>
              </w:rPr>
              <w:t>偏差原因分析及改进措施</w:t>
            </w:r>
          </w:p>
        </w:tc>
      </w:tr>
      <w:tr w14:paraId="58B5B5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F9F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A7EC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374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F0AC">
            <w:pPr>
              <w:jc w:val="center"/>
            </w:pPr>
            <w:r>
              <w:rPr>
                <w:rFonts w:ascii="宋体" w:hAnsi="宋体" w:eastAsia="宋体"/>
                <w:sz w:val="16"/>
              </w:rPr>
              <w:t>退耕还林涉及的亩数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A7A2">
            <w:pPr>
              <w:jc w:val="center"/>
            </w:pPr>
            <w:r>
              <w:rPr>
                <w:rFonts w:ascii="宋体" w:hAnsi="宋体" w:eastAsia="宋体"/>
                <w:sz w:val="16"/>
              </w:rPr>
              <w:t>&gt;=5686.50亩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78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B8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27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7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126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D6AD">
            <w:pPr>
              <w:jc w:val="center"/>
            </w:pPr>
            <w:r>
              <w:rPr>
                <w:rFonts w:ascii="宋体" w:hAnsi="宋体" w:eastAsia="宋体"/>
                <w:sz w:val="16"/>
              </w:rPr>
              <w:t>=4486.5亩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9481">
            <w:pPr>
              <w:jc w:val="center"/>
            </w:pPr>
            <w:r>
              <w:rPr>
                <w:rFonts w:ascii="宋体" w:hAnsi="宋体" w:eastAsia="宋体"/>
                <w:sz w:val="16"/>
              </w:rPr>
              <w:t>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C726">
            <w:pPr>
              <w:jc w:val="center"/>
            </w:pPr>
            <w:r>
              <w:rPr>
                <w:rFonts w:ascii="宋体" w:hAnsi="宋体" w:eastAsia="宋体"/>
                <w:sz w:val="16"/>
              </w:rPr>
              <w:t>6.32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F6F0">
            <w:pPr>
              <w:jc w:val="center"/>
            </w:pPr>
            <w:r>
              <w:rPr>
                <w:rFonts w:ascii="宋体" w:hAnsi="宋体" w:eastAsia="宋体"/>
                <w:sz w:val="16"/>
              </w:rPr>
              <w:t>偏差原因：涉及4户、1200亩林地验收不合格。改进措施：计划2025年春季开展补植，加强林木管护。</w:t>
            </w:r>
          </w:p>
        </w:tc>
      </w:tr>
      <w:tr w14:paraId="577DC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84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B8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85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5954">
            <w:pPr>
              <w:jc w:val="center"/>
            </w:pPr>
            <w:r>
              <w:rPr>
                <w:rFonts w:ascii="宋体" w:hAnsi="宋体" w:eastAsia="宋体"/>
                <w:sz w:val="16"/>
              </w:rPr>
              <w:t>退耕还林涉及的户数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C34E">
            <w:pPr>
              <w:jc w:val="center"/>
            </w:pPr>
            <w:r>
              <w:rPr>
                <w:rFonts w:ascii="宋体" w:hAnsi="宋体" w:eastAsia="宋体"/>
                <w:sz w:val="16"/>
              </w:rPr>
              <w:t>&gt;=856户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E5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733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89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3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70A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2379">
            <w:pPr>
              <w:jc w:val="center"/>
            </w:pPr>
            <w:r>
              <w:rPr>
                <w:rFonts w:ascii="宋体" w:hAnsi="宋体" w:eastAsia="宋体"/>
                <w:sz w:val="16"/>
              </w:rPr>
              <w:t>=852户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9F8B">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F9C1">
            <w:pPr>
              <w:jc w:val="center"/>
            </w:pPr>
            <w:r>
              <w:rPr>
                <w:rFonts w:ascii="宋体" w:hAnsi="宋体" w:eastAsia="宋体"/>
                <w:sz w:val="16"/>
              </w:rPr>
              <w:t>7.92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19DA">
            <w:pPr>
              <w:jc w:val="center"/>
            </w:pPr>
            <w:r>
              <w:rPr>
                <w:rFonts w:ascii="宋体" w:hAnsi="宋体" w:eastAsia="宋体"/>
                <w:sz w:val="16"/>
              </w:rPr>
              <w:t>偏差原因：涉及4户、1200亩林地验收不合格。改进措施：计划2025年春季开展补植，加强林木管护。</w:t>
            </w:r>
          </w:p>
        </w:tc>
      </w:tr>
      <w:tr w14:paraId="308CE7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8E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18A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215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FF2C">
            <w:pPr>
              <w:jc w:val="center"/>
            </w:pPr>
            <w:r>
              <w:rPr>
                <w:rFonts w:ascii="宋体" w:hAnsi="宋体" w:eastAsia="宋体"/>
                <w:sz w:val="16"/>
              </w:rPr>
              <w:t>退耕还林地保存率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CC33">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B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8C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34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A6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44B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B1EF">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9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BF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0521">
            <w:pPr>
              <w:jc w:val="center"/>
            </w:pPr>
          </w:p>
        </w:tc>
      </w:tr>
      <w:tr w14:paraId="3344DE2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B35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2DC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E3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90B7">
            <w:pPr>
              <w:jc w:val="center"/>
            </w:pPr>
            <w:r>
              <w:rPr>
                <w:rFonts w:ascii="宋体" w:hAnsi="宋体" w:eastAsia="宋体"/>
                <w:sz w:val="16"/>
              </w:rPr>
              <w:t>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1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6E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C85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08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A4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D9E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B6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94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8E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D6B4">
            <w:pPr>
              <w:jc w:val="center"/>
            </w:pPr>
          </w:p>
        </w:tc>
      </w:tr>
      <w:tr w14:paraId="224B5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A27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14F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EB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721B">
            <w:pPr>
              <w:jc w:val="center"/>
            </w:pPr>
            <w:r>
              <w:rPr>
                <w:rFonts w:ascii="宋体" w:hAnsi="宋体" w:eastAsia="宋体"/>
                <w:sz w:val="16"/>
              </w:rPr>
              <w:t>退耕还林补助资金兑现及时率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8268">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87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87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18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DE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E08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B1B6">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4E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C6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B7C5">
            <w:pPr>
              <w:jc w:val="center"/>
            </w:pPr>
          </w:p>
        </w:tc>
      </w:tr>
      <w:tr w14:paraId="55EA7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2B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9CA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F3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165B">
            <w:pPr>
              <w:jc w:val="center"/>
            </w:pPr>
            <w:r>
              <w:rPr>
                <w:rFonts w:ascii="宋体" w:hAnsi="宋体" w:eastAsia="宋体"/>
                <w:sz w:val="16"/>
              </w:rPr>
              <w:t>退耕还林补助标准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9DC4">
            <w:pPr>
              <w:jc w:val="center"/>
            </w:pPr>
            <w:r>
              <w:rPr>
                <w:rFonts w:ascii="宋体" w:hAnsi="宋体" w:eastAsia="宋体"/>
                <w:sz w:val="16"/>
              </w:rPr>
              <w:t>&lt;=90元/亩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A0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B7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B3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5E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B5C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99A7">
            <w:pPr>
              <w:jc w:val="center"/>
            </w:pPr>
            <w:r>
              <w:rPr>
                <w:rFonts w:ascii="宋体" w:hAnsi="宋体" w:eastAsia="宋体"/>
                <w:sz w:val="16"/>
              </w:rPr>
              <w:t>=90元/亩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E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BE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E626">
            <w:pPr>
              <w:jc w:val="center"/>
            </w:pPr>
          </w:p>
        </w:tc>
      </w:tr>
      <w:tr w14:paraId="29B7D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421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2DB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7D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AD60">
            <w:pPr>
              <w:jc w:val="center"/>
            </w:pPr>
            <w:r>
              <w:rPr>
                <w:rFonts w:ascii="宋体" w:hAnsi="宋体" w:eastAsia="宋体"/>
                <w:sz w:val="16"/>
              </w:rPr>
              <w:t>有效减少水土流失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58DD">
            <w:pPr>
              <w:jc w:val="center"/>
            </w:pPr>
            <w:r>
              <w:rPr>
                <w:rFonts w:ascii="宋体" w:hAnsi="宋体" w:eastAsia="宋体"/>
                <w:sz w:val="16"/>
              </w:rPr>
              <w:t>有所减少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6A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A4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BA6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29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FB6E">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2A6B">
            <w:pPr>
              <w:jc w:val="center"/>
            </w:pPr>
            <w:r>
              <w:rPr>
                <w:rFonts w:ascii="宋体" w:hAnsi="宋体" w:eastAsia="宋体"/>
                <w:sz w:val="16"/>
              </w:rPr>
              <w:t>有所减少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72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F1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BA0C">
            <w:pPr>
              <w:jc w:val="center"/>
            </w:pPr>
          </w:p>
        </w:tc>
      </w:tr>
      <w:tr w14:paraId="6FC45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687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C2A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E5F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D9E5">
            <w:pPr>
              <w:jc w:val="center"/>
            </w:pPr>
            <w:r>
              <w:rPr>
                <w:rFonts w:ascii="宋体" w:hAnsi="宋体" w:eastAsia="宋体"/>
                <w:sz w:val="16"/>
              </w:rPr>
              <w:t>改善环境质量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63CB">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6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4F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BE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D4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DA8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D45B">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7E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25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6E8A">
            <w:pPr>
              <w:jc w:val="center"/>
            </w:pPr>
          </w:p>
        </w:tc>
      </w:tr>
      <w:tr w14:paraId="2BFAA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179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BE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EE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CE2F">
            <w:pPr>
              <w:jc w:val="center"/>
            </w:pPr>
            <w:r>
              <w:rPr>
                <w:rFonts w:ascii="宋体" w:hAnsi="宋体" w:eastAsia="宋体"/>
                <w:sz w:val="16"/>
              </w:rPr>
              <w:t>退耕户满意度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586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55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01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F3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C0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F87B">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39F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D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5F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DF0C">
            <w:pPr>
              <w:jc w:val="center"/>
            </w:pPr>
          </w:p>
        </w:tc>
      </w:tr>
      <w:tr w14:paraId="3E8EEE6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1F71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CEBE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42AE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9CAB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FB2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665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EA6D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366A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862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CE9E">
            <w:pPr>
              <w:jc w:val="center"/>
            </w:pPr>
            <w:r>
              <w:rPr>
                <w:rFonts w:ascii="宋体" w:hAnsi="宋体" w:eastAsia="宋体"/>
                <w:sz w:val="16"/>
              </w:rPr>
              <w:t>96.13分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E38B37"/>
        </w:tc>
      </w:tr>
    </w:tbl>
    <w:p w14:paraId="7362E3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3BD7EBC6">
        <w:tblPrEx>
          <w:tblCellMar>
            <w:top w:w="0" w:type="dxa"/>
            <w:left w:w="108" w:type="dxa"/>
            <w:bottom w:w="0" w:type="dxa"/>
            <w:right w:w="108" w:type="dxa"/>
          </w:tblCellMar>
        </w:tblPrEx>
        <w:tc>
          <w:tcPr>
            <w:tcW w:w="8848" w:type="dxa"/>
            <w:gridSpan w:val="14"/>
            <w:vAlign w:val="center"/>
          </w:tcPr>
          <w:p w14:paraId="38651BA9">
            <w:pPr>
              <w:jc w:val="center"/>
            </w:pPr>
            <w:r>
              <w:rPr>
                <w:rFonts w:ascii="宋体" w:hAnsi="宋体" w:eastAsia="宋体"/>
                <w:sz w:val="24"/>
              </w:rPr>
              <w:t>项目支出绩效自评表</w:t>
            </w:r>
          </w:p>
        </w:tc>
      </w:tr>
      <w:tr w14:paraId="5F217503">
        <w:tblPrEx>
          <w:tblCellMar>
            <w:top w:w="0" w:type="dxa"/>
            <w:left w:w="108" w:type="dxa"/>
            <w:bottom w:w="0" w:type="dxa"/>
            <w:right w:w="108" w:type="dxa"/>
          </w:tblCellMar>
        </w:tblPrEx>
        <w:tc>
          <w:tcPr>
            <w:tcW w:w="8848" w:type="dxa"/>
            <w:gridSpan w:val="14"/>
            <w:vAlign w:val="center"/>
          </w:tcPr>
          <w:p w14:paraId="02B6BDFD">
            <w:pPr>
              <w:jc w:val="center"/>
            </w:pPr>
            <w:r>
              <w:rPr>
                <w:rFonts w:ascii="宋体" w:hAnsi="宋体" w:eastAsia="宋体"/>
                <w:sz w:val="24"/>
              </w:rPr>
              <w:t>(2024年度)</w:t>
            </w:r>
          </w:p>
        </w:tc>
      </w:tr>
      <w:tr w14:paraId="33EFA0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CB6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6131A0">
            <w:pPr>
              <w:jc w:val="center"/>
            </w:pPr>
            <w:r>
              <w:rPr>
                <w:rFonts w:ascii="宋体" w:hAnsi="宋体" w:eastAsia="宋体"/>
                <w:sz w:val="16"/>
              </w:rPr>
              <w:t>林业总站2024年中央林业改革发展资金完善退耕还生态林项目</w:t>
            </w:r>
          </w:p>
        </w:tc>
      </w:tr>
      <w:tr w14:paraId="6C7CB9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4B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30412C">
            <w:pPr>
              <w:jc w:val="center"/>
            </w:pPr>
            <w:r>
              <w:rPr>
                <w:rFonts w:ascii="宋体" w:hAnsi="宋体" w:eastAsia="宋体"/>
                <w:sz w:val="16"/>
              </w:rPr>
              <w:t>托里县林业总站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83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5E2C6C">
            <w:pPr>
              <w:jc w:val="center"/>
            </w:pPr>
            <w:r>
              <w:rPr>
                <w:rFonts w:ascii="宋体" w:hAnsi="宋体" w:eastAsia="宋体"/>
                <w:sz w:val="16"/>
              </w:rPr>
              <w:t>托里县林业总站</w:t>
            </w:r>
          </w:p>
        </w:tc>
      </w:tr>
      <w:tr w14:paraId="4C6F04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D24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84D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F36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7E4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D66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56E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785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18E8">
            <w:pPr>
              <w:jc w:val="center"/>
            </w:pPr>
            <w:r>
              <w:rPr>
                <w:rFonts w:ascii="宋体" w:hAnsi="宋体" w:eastAsia="宋体"/>
                <w:sz w:val="16"/>
              </w:rPr>
              <w:t>得分</w:t>
            </w:r>
          </w:p>
        </w:tc>
      </w:tr>
      <w:tr w14:paraId="1C4C76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0D1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6BA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1D418">
            <w:pPr>
              <w:jc w:val="center"/>
            </w:pPr>
            <w:r>
              <w:rPr>
                <w:rFonts w:ascii="宋体" w:hAnsi="宋体" w:eastAsia="宋体"/>
                <w:sz w:val="16"/>
              </w:rPr>
              <w:t>14.54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BB8FA">
            <w:pPr>
              <w:jc w:val="center"/>
            </w:pPr>
            <w:r>
              <w:rPr>
                <w:rFonts w:ascii="宋体" w:hAnsi="宋体" w:eastAsia="宋体"/>
                <w:sz w:val="16"/>
              </w:rPr>
              <w:t>14.54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05DD2">
            <w:pPr>
              <w:jc w:val="center"/>
            </w:pPr>
            <w:r>
              <w:rPr>
                <w:rFonts w:ascii="宋体" w:hAnsi="宋体" w:eastAsia="宋体"/>
                <w:sz w:val="16"/>
              </w:rPr>
              <w:t>13.06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776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D9C89">
            <w:pPr>
              <w:jc w:val="center"/>
            </w:pPr>
            <w:r>
              <w:rPr>
                <w:rFonts w:ascii="宋体" w:hAnsi="宋体" w:eastAsia="宋体"/>
                <w:sz w:val="16"/>
              </w:rPr>
              <w:t>89.82%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696C">
            <w:pPr>
              <w:jc w:val="center"/>
            </w:pPr>
            <w:r>
              <w:rPr>
                <w:rFonts w:ascii="宋体" w:hAnsi="宋体" w:eastAsia="宋体"/>
                <w:sz w:val="16"/>
              </w:rPr>
              <w:t>8.98</w:t>
            </w:r>
          </w:p>
        </w:tc>
      </w:tr>
      <w:tr w14:paraId="225AB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089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7C5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E505F">
            <w:pPr>
              <w:jc w:val="center"/>
            </w:pPr>
            <w:r>
              <w:rPr>
                <w:rFonts w:ascii="宋体" w:hAnsi="宋体" w:eastAsia="宋体"/>
                <w:sz w:val="16"/>
              </w:rPr>
              <w:t>14.54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4B160">
            <w:pPr>
              <w:jc w:val="center"/>
            </w:pPr>
            <w:r>
              <w:rPr>
                <w:rFonts w:ascii="宋体" w:hAnsi="宋体" w:eastAsia="宋体"/>
                <w:sz w:val="16"/>
              </w:rPr>
              <w:t>14.54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8DCEE">
            <w:pPr>
              <w:jc w:val="center"/>
            </w:pPr>
            <w:r>
              <w:rPr>
                <w:rFonts w:ascii="宋体" w:hAnsi="宋体" w:eastAsia="宋体"/>
                <w:sz w:val="16"/>
              </w:rPr>
              <w:t>13.06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F46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A4F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0F5A">
            <w:pPr>
              <w:jc w:val="center"/>
            </w:pPr>
            <w:r>
              <w:rPr>
                <w:rFonts w:ascii="宋体" w:hAnsi="宋体" w:eastAsia="宋体"/>
                <w:sz w:val="16"/>
              </w:rPr>
              <w:t>—</w:t>
            </w:r>
          </w:p>
        </w:tc>
      </w:tr>
      <w:tr w14:paraId="124B3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76A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A5B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D39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5F6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0F7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4C4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185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1319">
            <w:pPr>
              <w:jc w:val="center"/>
            </w:pPr>
            <w:r>
              <w:rPr>
                <w:rFonts w:ascii="宋体" w:hAnsi="宋体" w:eastAsia="宋体"/>
                <w:sz w:val="16"/>
              </w:rPr>
              <w:t>—</w:t>
            </w:r>
          </w:p>
        </w:tc>
      </w:tr>
      <w:tr w14:paraId="5C7A43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450E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03F7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72CCAF">
            <w:pPr>
              <w:jc w:val="center"/>
            </w:pPr>
            <w:r>
              <w:rPr>
                <w:rFonts w:ascii="宋体" w:hAnsi="宋体" w:eastAsia="宋体"/>
                <w:sz w:val="16"/>
              </w:rPr>
              <w:t>实际完成情况</w:t>
            </w:r>
          </w:p>
        </w:tc>
      </w:tr>
      <w:tr w14:paraId="499A8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FD7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C3EDF">
            <w:pPr>
              <w:jc w:val="both"/>
            </w:pPr>
            <w:r>
              <w:rPr>
                <w:rFonts w:ascii="宋体" w:hAnsi="宋体" w:eastAsia="宋体"/>
                <w:sz w:val="16"/>
              </w:rPr>
              <w:t>全年耕还生态林抚育资金14.536万元、用于支付退耕还林面积7268亩、标准20元/亩、实行一卡通发放，涉及4个乡镇，共84户、包括阿克别里斗乡7户、多拉特乡28户、库普乡34户、托里镇1户、县生态1户、地区生态2户、塔城市3户、额敏县8户，完成率达100%。从而达到有效减少水土流失、改善生态环境，受益人员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C8EC17">
            <w:pPr>
              <w:jc w:val="both"/>
            </w:pPr>
            <w:r>
              <w:rPr>
                <w:rFonts w:ascii="宋体" w:hAnsi="宋体" w:eastAsia="宋体"/>
                <w:sz w:val="16"/>
              </w:rPr>
              <w:t>全年耕还生态林抚育到位资金14.536万元、用于支付退耕还林面积7268亩、标准20元/亩、实行一卡通发放，涉及4个乡镇，共79户、包括阿克别里斗乡、多拉特乡、库普乡、托里镇，</w:t>
            </w:r>
            <w:r>
              <w:rPr>
                <w:rFonts w:hint="eastAsia" w:ascii="宋体" w:hAnsi="宋体"/>
                <w:sz w:val="16"/>
                <w:lang w:eastAsia="zh-CN"/>
              </w:rPr>
              <w:t>截至</w:t>
            </w:r>
            <w:r>
              <w:rPr>
                <w:rFonts w:ascii="宋体" w:hAnsi="宋体" w:eastAsia="宋体"/>
                <w:sz w:val="16"/>
              </w:rPr>
              <w:t>2024年年底已支付13.064万元</w:t>
            </w:r>
            <w:r>
              <w:rPr>
                <w:rFonts w:hint="eastAsia" w:ascii="宋体" w:hAnsi="宋体"/>
                <w:sz w:val="16"/>
                <w:lang w:eastAsia="zh-CN"/>
              </w:rPr>
              <w:t>完成</w:t>
            </w:r>
            <w:r>
              <w:rPr>
                <w:rFonts w:ascii="宋体" w:hAnsi="宋体" w:eastAsia="宋体"/>
                <w:sz w:val="16"/>
              </w:rPr>
              <w:t>，完成率达89.82%。未支付1.472万元、涉及额敏县6户、因736亩林地验收不合格，计划2025年春季开展补植，加强林木管护。</w:t>
            </w:r>
          </w:p>
        </w:tc>
      </w:tr>
      <w:tr w14:paraId="1AE853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76C8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83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A1E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EC4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163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E7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EE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EFA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2FF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E8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C6C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2BE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BFC0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BF1C">
            <w:pPr>
              <w:jc w:val="center"/>
            </w:pPr>
            <w:r>
              <w:rPr>
                <w:rFonts w:ascii="宋体" w:hAnsi="宋体" w:eastAsia="宋体"/>
                <w:sz w:val="16"/>
              </w:rPr>
              <w:t>偏差原因分析及改进措施</w:t>
            </w:r>
          </w:p>
        </w:tc>
      </w:tr>
      <w:tr w14:paraId="453DBA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D35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543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5EC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CBDC">
            <w:pPr>
              <w:jc w:val="center"/>
            </w:pPr>
            <w:r>
              <w:rPr>
                <w:rFonts w:ascii="宋体" w:hAnsi="宋体" w:eastAsia="宋体"/>
                <w:sz w:val="16"/>
              </w:rPr>
              <w:t>上一轮退耕还生态林涉及的乡镇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6B0F">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2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B07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0F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30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2B20">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6910">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47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49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0901A">
            <w:pPr>
              <w:jc w:val="center"/>
            </w:pPr>
          </w:p>
        </w:tc>
      </w:tr>
      <w:tr w14:paraId="2838C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A3B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F4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58F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20E74">
            <w:pPr>
              <w:jc w:val="center"/>
            </w:pPr>
            <w:r>
              <w:rPr>
                <w:rFonts w:ascii="宋体" w:hAnsi="宋体" w:eastAsia="宋体"/>
                <w:sz w:val="16"/>
              </w:rPr>
              <w:t>上一轮退耕还生态林抚育面积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79CD">
            <w:pPr>
              <w:jc w:val="center"/>
            </w:pPr>
            <w:r>
              <w:rPr>
                <w:rFonts w:ascii="宋体" w:hAnsi="宋体" w:eastAsia="宋体"/>
                <w:sz w:val="16"/>
              </w:rPr>
              <w:t>&gt;=7268亩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39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A83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0C4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54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D60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F83A">
            <w:pPr>
              <w:jc w:val="center"/>
            </w:pPr>
            <w:r>
              <w:rPr>
                <w:rFonts w:ascii="宋体" w:hAnsi="宋体" w:eastAsia="宋体"/>
                <w:sz w:val="16"/>
              </w:rPr>
              <w:t>=6532亩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867B">
            <w:pPr>
              <w:jc w:val="center"/>
            </w:pPr>
            <w:r>
              <w:rPr>
                <w:rFonts w:ascii="宋体" w:hAnsi="宋体" w:eastAsia="宋体"/>
                <w:sz w:val="16"/>
              </w:rPr>
              <w:t>89.87%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1F85">
            <w:pPr>
              <w:jc w:val="center"/>
            </w:pPr>
            <w:r>
              <w:rPr>
                <w:rFonts w:ascii="宋体" w:hAnsi="宋体" w:eastAsia="宋体"/>
                <w:sz w:val="16"/>
              </w:rPr>
              <w:t>7.19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469D">
            <w:pPr>
              <w:jc w:val="center"/>
            </w:pPr>
            <w:r>
              <w:rPr>
                <w:rFonts w:ascii="宋体" w:hAnsi="宋体" w:eastAsia="宋体"/>
                <w:sz w:val="16"/>
              </w:rPr>
              <w:t>偏差原因：736亩退耕林地验收不合格。改进措施：计划2025年春季开展补植，加强林木管护。</w:t>
            </w:r>
          </w:p>
        </w:tc>
      </w:tr>
      <w:tr w14:paraId="5BA04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AF7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6C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8F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F13B">
            <w:pPr>
              <w:jc w:val="center"/>
            </w:pPr>
            <w:r>
              <w:rPr>
                <w:rFonts w:ascii="宋体" w:hAnsi="宋体" w:eastAsia="宋体"/>
                <w:sz w:val="16"/>
              </w:rPr>
              <w:t>退耕还林地保存率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4813">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C5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46D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39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DF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217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A31B">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BB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D6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2715">
            <w:pPr>
              <w:jc w:val="center"/>
            </w:pPr>
          </w:p>
        </w:tc>
      </w:tr>
      <w:tr w14:paraId="203FC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676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B60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63D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39EC">
            <w:pPr>
              <w:jc w:val="center"/>
            </w:pPr>
            <w:r>
              <w:rPr>
                <w:rFonts w:ascii="宋体" w:hAnsi="宋体" w:eastAsia="宋体"/>
                <w:sz w:val="16"/>
              </w:rPr>
              <w:t>上一轮退耕还生态林补助资金兑现及时率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39AD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5D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A46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85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88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6C3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04F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C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05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D1FB">
            <w:pPr>
              <w:jc w:val="center"/>
            </w:pPr>
          </w:p>
        </w:tc>
      </w:tr>
      <w:tr w14:paraId="0F3AE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77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65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E4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DA63">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5A1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3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4F0E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40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72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A85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850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22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3B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78BA">
            <w:pPr>
              <w:jc w:val="center"/>
            </w:pPr>
          </w:p>
        </w:tc>
      </w:tr>
      <w:tr w14:paraId="3B2F8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F4D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DA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A4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EBB2">
            <w:pPr>
              <w:jc w:val="center"/>
            </w:pPr>
            <w:r>
              <w:rPr>
                <w:rFonts w:ascii="宋体" w:hAnsi="宋体" w:eastAsia="宋体"/>
                <w:sz w:val="16"/>
              </w:rPr>
              <w:t>上一轮退耕还生态林抚育标准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5223">
            <w:pPr>
              <w:jc w:val="center"/>
            </w:pPr>
            <w:r>
              <w:rPr>
                <w:rFonts w:ascii="宋体" w:hAnsi="宋体" w:eastAsia="宋体"/>
                <w:sz w:val="16"/>
              </w:rPr>
              <w:t>&lt;=20元/亩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CF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DC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73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DB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481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852F">
            <w:pPr>
              <w:jc w:val="center"/>
            </w:pPr>
            <w:r>
              <w:rPr>
                <w:rFonts w:ascii="宋体" w:hAnsi="宋体" w:eastAsia="宋体"/>
                <w:sz w:val="16"/>
              </w:rPr>
              <w: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C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D3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2BC8">
            <w:pPr>
              <w:jc w:val="center"/>
            </w:pPr>
          </w:p>
        </w:tc>
      </w:tr>
      <w:tr w14:paraId="3DA4D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D4A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83D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CCC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600A">
            <w:pPr>
              <w:jc w:val="center"/>
            </w:pPr>
            <w:r>
              <w:rPr>
                <w:rFonts w:ascii="宋体" w:hAnsi="宋体" w:eastAsia="宋体"/>
                <w:sz w:val="16"/>
              </w:rPr>
              <w:t>改善环境质量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DD1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F7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EF6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75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2E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759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924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3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E0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0592">
            <w:pPr>
              <w:jc w:val="center"/>
            </w:pPr>
          </w:p>
        </w:tc>
      </w:tr>
      <w:tr w14:paraId="59801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0C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C5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9A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ADA7">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2D0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54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399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27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4A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172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5B1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D3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8C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F664">
            <w:pPr>
              <w:jc w:val="center"/>
            </w:pPr>
          </w:p>
        </w:tc>
      </w:tr>
      <w:tr w14:paraId="7B93060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6D14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2213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64E4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2ED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24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E075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417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5FF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A12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D65C">
            <w:pPr>
              <w:jc w:val="center"/>
            </w:pPr>
            <w:r>
              <w:rPr>
                <w:rFonts w:ascii="宋体" w:hAnsi="宋体" w:eastAsia="宋体"/>
                <w:sz w:val="16"/>
              </w:rPr>
              <w:t>98.17分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F7260A"/>
        </w:tc>
      </w:tr>
    </w:tbl>
    <w:p w14:paraId="6F56FFB9">
      <w:r>
        <w:br w:type="page"/>
      </w:r>
    </w:p>
    <w:p w14:paraId="40CE515A">
      <w:pPr>
        <w:spacing w:line="640" w:lineRule="exact"/>
        <w:ind w:firstLine="640"/>
        <w:jc w:val="both"/>
        <w:outlineLvl w:val="2"/>
      </w:pPr>
      <w:r>
        <w:rPr>
          <w:rFonts w:ascii="黑体" w:hAnsi="黑体" w:eastAsia="黑体"/>
          <w:sz w:val="32"/>
        </w:rPr>
        <w:t>十二、其他需说明的事项</w:t>
      </w:r>
    </w:p>
    <w:p w14:paraId="5D26A6D2">
      <w:pPr>
        <w:spacing w:line="580" w:lineRule="exact"/>
        <w:ind w:firstLine="640"/>
        <w:jc w:val="both"/>
      </w:pPr>
      <w:r>
        <w:rPr>
          <w:rFonts w:ascii="仿宋_GB2312" w:hAnsi="仿宋_GB2312" w:eastAsia="仿宋_GB2312"/>
          <w:b w:val="0"/>
          <w:sz w:val="32"/>
        </w:rPr>
        <w:t>本单位无其他需说明的事项。</w:t>
      </w:r>
    </w:p>
    <w:p w14:paraId="418AF647">
      <w:r>
        <w:br w:type="page"/>
      </w:r>
    </w:p>
    <w:p w14:paraId="45FC3BFA">
      <w:pPr>
        <w:spacing w:line="240" w:lineRule="auto"/>
        <w:jc w:val="center"/>
        <w:outlineLvl w:val="1"/>
      </w:pPr>
      <w:r>
        <w:rPr>
          <w:rFonts w:ascii="黑体" w:hAnsi="黑体" w:eastAsia="黑体"/>
          <w:sz w:val="32"/>
        </w:rPr>
        <w:t>第三部分 专业名词解释</w:t>
      </w:r>
    </w:p>
    <w:p w14:paraId="3610F41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4F0AA0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4DB5A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4CC76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34AE8A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FA932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106EC5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F9F50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CAF47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F02D81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1D07A8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4CC45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82CC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B433A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F720DBA">
      <w:r>
        <w:br w:type="page"/>
      </w:r>
    </w:p>
    <w:p w14:paraId="3AC89141">
      <w:pPr>
        <w:spacing w:line="240" w:lineRule="auto"/>
        <w:jc w:val="center"/>
        <w:outlineLvl w:val="1"/>
      </w:pPr>
      <w:r>
        <w:rPr>
          <w:rFonts w:ascii="黑体" w:hAnsi="黑体" w:eastAsia="黑体"/>
          <w:sz w:val="32"/>
        </w:rPr>
        <w:t>第四部分 部门决算报表（见附表）</w:t>
      </w:r>
    </w:p>
    <w:p w14:paraId="12D3AAF0">
      <w:pPr>
        <w:spacing w:line="240" w:lineRule="auto"/>
        <w:ind w:firstLine="640"/>
        <w:jc w:val="both"/>
      </w:pPr>
      <w:r>
        <w:rPr>
          <w:rFonts w:ascii="仿宋_GB2312" w:hAnsi="仿宋_GB2312" w:eastAsia="仿宋_GB2312"/>
          <w:b w:val="0"/>
          <w:sz w:val="32"/>
        </w:rPr>
        <w:t>一、《收入支出决算总表》</w:t>
      </w:r>
    </w:p>
    <w:p w14:paraId="7652BEC8">
      <w:pPr>
        <w:spacing w:line="240" w:lineRule="auto"/>
        <w:ind w:firstLine="640"/>
        <w:jc w:val="both"/>
      </w:pPr>
      <w:r>
        <w:rPr>
          <w:rFonts w:ascii="仿宋_GB2312" w:hAnsi="仿宋_GB2312" w:eastAsia="仿宋_GB2312"/>
          <w:b w:val="0"/>
          <w:sz w:val="32"/>
        </w:rPr>
        <w:t>二、《收入决算表》</w:t>
      </w:r>
    </w:p>
    <w:p w14:paraId="3586D3DA">
      <w:pPr>
        <w:spacing w:line="240" w:lineRule="auto"/>
        <w:ind w:firstLine="640"/>
        <w:jc w:val="both"/>
      </w:pPr>
      <w:r>
        <w:rPr>
          <w:rFonts w:ascii="仿宋_GB2312" w:hAnsi="仿宋_GB2312" w:eastAsia="仿宋_GB2312"/>
          <w:b w:val="0"/>
          <w:sz w:val="32"/>
        </w:rPr>
        <w:t>三、《支出决算表》</w:t>
      </w:r>
    </w:p>
    <w:p w14:paraId="406A0BF5">
      <w:pPr>
        <w:spacing w:line="240" w:lineRule="auto"/>
        <w:ind w:firstLine="640"/>
        <w:jc w:val="both"/>
      </w:pPr>
      <w:r>
        <w:rPr>
          <w:rFonts w:ascii="仿宋_GB2312" w:hAnsi="仿宋_GB2312" w:eastAsia="仿宋_GB2312"/>
          <w:b w:val="0"/>
          <w:sz w:val="32"/>
        </w:rPr>
        <w:t>四、《财政拨款收入支出决算总表》</w:t>
      </w:r>
    </w:p>
    <w:p w14:paraId="7242B40D">
      <w:pPr>
        <w:spacing w:line="240" w:lineRule="auto"/>
        <w:ind w:firstLine="640"/>
        <w:jc w:val="both"/>
      </w:pPr>
      <w:r>
        <w:rPr>
          <w:rFonts w:ascii="仿宋_GB2312" w:hAnsi="仿宋_GB2312" w:eastAsia="仿宋_GB2312"/>
          <w:b w:val="0"/>
          <w:sz w:val="32"/>
        </w:rPr>
        <w:t>五、《一般公共预算财政拨款支出决算表》</w:t>
      </w:r>
    </w:p>
    <w:p w14:paraId="16C5BA55">
      <w:pPr>
        <w:spacing w:line="240" w:lineRule="auto"/>
        <w:ind w:firstLine="640"/>
        <w:jc w:val="both"/>
      </w:pPr>
      <w:r>
        <w:rPr>
          <w:rFonts w:ascii="仿宋_GB2312" w:hAnsi="仿宋_GB2312" w:eastAsia="仿宋_GB2312"/>
          <w:b w:val="0"/>
          <w:sz w:val="32"/>
        </w:rPr>
        <w:t>六、《一般公共预算财政拨款基本支出决算表》</w:t>
      </w:r>
    </w:p>
    <w:p w14:paraId="2390CF08">
      <w:pPr>
        <w:spacing w:line="240" w:lineRule="auto"/>
        <w:ind w:firstLine="640"/>
        <w:jc w:val="both"/>
      </w:pPr>
      <w:r>
        <w:rPr>
          <w:rFonts w:ascii="仿宋_GB2312" w:hAnsi="仿宋_GB2312" w:eastAsia="仿宋_GB2312"/>
          <w:b w:val="0"/>
          <w:sz w:val="32"/>
        </w:rPr>
        <w:t>七、《政府性基金预算财政拨款收入支出决算表》</w:t>
      </w:r>
    </w:p>
    <w:p w14:paraId="7FEC9224">
      <w:pPr>
        <w:spacing w:line="240" w:lineRule="auto"/>
        <w:ind w:firstLine="640"/>
        <w:jc w:val="both"/>
      </w:pPr>
      <w:r>
        <w:rPr>
          <w:rFonts w:ascii="仿宋_GB2312" w:hAnsi="仿宋_GB2312" w:eastAsia="仿宋_GB2312"/>
          <w:b w:val="0"/>
          <w:sz w:val="32"/>
        </w:rPr>
        <w:t>八、《国有资本经营预算财政拨款收入支出决算表》</w:t>
      </w:r>
    </w:p>
    <w:p w14:paraId="33F106D0">
      <w:pPr>
        <w:spacing w:line="240" w:lineRule="auto"/>
        <w:ind w:firstLine="640"/>
        <w:jc w:val="both"/>
      </w:pPr>
      <w:r>
        <w:rPr>
          <w:rFonts w:ascii="仿宋_GB2312" w:hAnsi="仿宋_GB2312" w:eastAsia="仿宋_GB2312"/>
          <w:b w:val="0"/>
          <w:sz w:val="32"/>
        </w:rPr>
        <w:t>九、《财政拨款“三公”经费支出决算表》</w:t>
      </w:r>
    </w:p>
    <w:p w14:paraId="7315ED82">
      <w:pPr>
        <w:spacing w:line="240" w:lineRule="auto"/>
        <w:ind w:firstLine="640"/>
        <w:jc w:val="both"/>
      </w:pPr>
    </w:p>
    <w:p w14:paraId="0485796A">
      <w:pPr>
        <w:spacing w:line="240" w:lineRule="auto"/>
        <w:ind w:firstLine="640"/>
        <w:jc w:val="both"/>
      </w:pPr>
    </w:p>
    <w:p w14:paraId="76D14514">
      <w:pPr>
        <w:spacing w:line="240" w:lineRule="auto"/>
        <w:ind w:firstLine="640"/>
        <w:jc w:val="both"/>
      </w:pPr>
    </w:p>
    <w:p w14:paraId="685E0B9B">
      <w:pPr>
        <w:spacing w:line="240" w:lineRule="auto"/>
        <w:ind w:firstLine="640"/>
        <w:jc w:val="both"/>
      </w:pPr>
    </w:p>
    <w:p w14:paraId="219B01E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7">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B63FFE"/>
    <w:rsid w:val="1E086ACE"/>
    <w:rsid w:val="1E4B5CA5"/>
    <w:rsid w:val="1EAA4A5F"/>
    <w:rsid w:val="1F587A0B"/>
    <w:rsid w:val="2064678E"/>
    <w:rsid w:val="20BC0B75"/>
    <w:rsid w:val="20DD6197"/>
    <w:rsid w:val="21F317F2"/>
    <w:rsid w:val="2241392C"/>
    <w:rsid w:val="23BC04D2"/>
    <w:rsid w:val="25275618"/>
    <w:rsid w:val="25842A5B"/>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7143</Words>
  <Characters>8036</Characters>
  <Lines>0</Lines>
  <Paragraphs>0</Paragraphs>
  <TotalTime>3</TotalTime>
  <ScaleCrop>false</ScaleCrop>
  <LinksUpToDate>false</LinksUpToDate>
  <CharactersWithSpaces>8044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蹁跹</cp:lastModifiedBy>
  <cp:lastPrinted>2024-07-22T11:58:00Z</cp:lastPrinted>
  <dcterms:modified xsi:type="dcterms:W3CDTF">2025-10-31T09:55:38Z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eyJoZGlkIjoiZjc0YWFlMzUxNjVlZTcxY2FlZTNjZDFlMzE3YzBjNDEiLCJ1c2VySWQiOiIxMTU3MzgyOTA5In0=</vt:lpwstr>
  </property>
</Properties>
</file>