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5FCE89">
      <w:r>
        <w:br w:type="page"/>
      </w:r>
    </w:p>
    <w:p w14:paraId="78C00BE8">
      <w:pPr>
        <w:spacing w:line="640" w:lineRule="exact"/>
        <w:jc w:val="center"/>
        <w:outlineLvl w:val="1"/>
      </w:pPr>
      <w:r>
        <w:rPr>
          <w:rFonts w:ascii="黑体" w:hAnsi="黑体" w:eastAsia="黑体"/>
          <w:sz w:val="32"/>
        </w:rPr>
        <w:t>第一部分 单位概况</w:t>
      </w:r>
    </w:p>
    <w:p w14:paraId="6DE7789C">
      <w:pPr>
        <w:spacing w:line="640" w:lineRule="exact"/>
        <w:ind w:firstLine="640"/>
        <w:jc w:val="both"/>
        <w:outlineLvl w:val="2"/>
      </w:pPr>
      <w:r>
        <w:rPr>
          <w:rFonts w:ascii="黑体" w:hAnsi="黑体" w:eastAsia="黑体"/>
          <w:sz w:val="32"/>
        </w:rPr>
        <w:t>一、主要职能</w:t>
      </w:r>
    </w:p>
    <w:p w14:paraId="59D7C797">
      <w:pPr>
        <w:spacing w:line="580" w:lineRule="exact"/>
        <w:ind w:firstLine="640"/>
        <w:jc w:val="both"/>
      </w:pPr>
      <w:r>
        <w:rPr>
          <w:rFonts w:ascii="仿宋_GB2312" w:hAnsi="仿宋_GB2312" w:eastAsia="仿宋_GB2312"/>
          <w:sz w:val="32"/>
        </w:rPr>
        <w:t>(1）维护</w:t>
      </w:r>
      <w:r>
        <w:rPr>
          <w:rFonts w:hint="eastAsia" w:ascii="仿宋_GB2312" w:hAnsi="仿宋_GB2312" w:eastAsia="仿宋_GB2312"/>
          <w:sz w:val="32"/>
          <w:lang w:eastAsia="zh-CN"/>
        </w:rPr>
        <w:t>职工</w:t>
      </w:r>
      <w:r>
        <w:rPr>
          <w:rFonts w:ascii="仿宋_GB2312" w:hAnsi="仿宋_GB2312" w:eastAsia="仿宋_GB2312"/>
          <w:sz w:val="32"/>
        </w:rPr>
        <w:t>合法权益的职能。工会有责任维护职工的合法权益，必须密切联系职工，听取和反映职工的意见和要求，全心全意为职工服务。</w:t>
      </w:r>
    </w:p>
    <w:p w14:paraId="6579519D">
      <w:pPr>
        <w:spacing w:line="580" w:lineRule="exact"/>
        <w:ind w:firstLine="640"/>
        <w:jc w:val="both"/>
      </w:pPr>
      <w:r>
        <w:rPr>
          <w:rFonts w:ascii="仿宋_GB2312" w:hAnsi="仿宋_GB2312" w:eastAsia="仿宋_GB2312"/>
          <w:sz w:val="32"/>
        </w:rPr>
        <w:t>(2）参与管理职能。工会通过各种途径和形式，参与管理国家事务、经济和文化事业、社会事务、与本企业有关事务，协助政府开展工作。</w:t>
      </w:r>
    </w:p>
    <w:p w14:paraId="4A7D3875">
      <w:pPr>
        <w:spacing w:line="580" w:lineRule="exact"/>
        <w:ind w:firstLine="640"/>
        <w:jc w:val="both"/>
      </w:pPr>
      <w:r>
        <w:rPr>
          <w:rFonts w:ascii="仿宋_GB2312" w:hAnsi="仿宋_GB2312" w:eastAsia="仿宋_GB2312"/>
          <w:sz w:val="32"/>
        </w:rPr>
        <w:t>(3）组织职能。工会组织职工依照宪法和法律的规定行使权利，参加本单位的民主管理和民主监督，发动和组织职工努力完成生产任务和工作任务；组织职工开展劳动竞赛、技术革新和技术协作活动、提高经济效益，发展社会生产力。</w:t>
      </w:r>
    </w:p>
    <w:p w14:paraId="1B821078">
      <w:pPr>
        <w:spacing w:line="580" w:lineRule="exact"/>
        <w:ind w:firstLine="640"/>
        <w:jc w:val="both"/>
      </w:pPr>
      <w:r>
        <w:rPr>
          <w:rFonts w:ascii="仿宋_GB2312" w:hAnsi="仿宋_GB2312" w:eastAsia="仿宋_GB2312"/>
          <w:sz w:val="32"/>
        </w:rPr>
        <w:t>(4）教育职能。工会动员和教育职工以主人的态度对待劳动，爱护国家和企业财产，遵守劳动纪律等。</w:t>
      </w:r>
    </w:p>
    <w:p w14:paraId="000AB25A">
      <w:pPr>
        <w:spacing w:line="640" w:lineRule="exact"/>
        <w:ind w:firstLine="640"/>
        <w:jc w:val="both"/>
        <w:outlineLvl w:val="2"/>
      </w:pPr>
      <w:r>
        <w:rPr>
          <w:rFonts w:ascii="黑体" w:hAnsi="黑体" w:eastAsia="黑体"/>
          <w:sz w:val="32"/>
        </w:rPr>
        <w:t>二、机构设置及人员情况</w:t>
      </w:r>
    </w:p>
    <w:p w14:paraId="694154AA">
      <w:pPr>
        <w:spacing w:line="580" w:lineRule="exact"/>
        <w:ind w:firstLine="640"/>
        <w:jc w:val="both"/>
      </w:pPr>
      <w:r>
        <w:rPr>
          <w:rFonts w:ascii="仿宋_GB2312" w:hAnsi="仿宋_GB2312" w:eastAsia="仿宋_GB2312"/>
          <w:sz w:val="32"/>
        </w:rPr>
        <w:t>托里县总工会2024年度，实有人数10人，其中：在职人员7人，增加0人；离休人员0人，增加0人；退休人员3人,增加0人。</w:t>
      </w:r>
    </w:p>
    <w:p w14:paraId="128674F3">
      <w:pPr>
        <w:spacing w:line="580" w:lineRule="exact"/>
        <w:ind w:firstLine="640"/>
        <w:jc w:val="both"/>
      </w:pPr>
      <w:r>
        <w:rPr>
          <w:rFonts w:ascii="仿宋_GB2312" w:hAnsi="仿宋_GB2312" w:eastAsia="仿宋_GB2312"/>
          <w:sz w:val="32"/>
        </w:rPr>
        <w:t>托里县总工会无下属预算单位，下设2个科室，分别是：办公室、财务室。</w:t>
      </w:r>
    </w:p>
    <w:p w14:paraId="664704C7">
      <w:r>
        <w:br w:type="page"/>
      </w:r>
    </w:p>
    <w:p w14:paraId="681875FA">
      <w:pPr>
        <w:spacing w:line="240" w:lineRule="auto"/>
        <w:jc w:val="center"/>
        <w:outlineLvl w:val="1"/>
      </w:pPr>
      <w:r>
        <w:rPr>
          <w:rFonts w:ascii="黑体" w:hAnsi="黑体" w:eastAsia="黑体"/>
          <w:sz w:val="32"/>
        </w:rPr>
        <w:t>第二部分 部门决算情况说明</w:t>
      </w:r>
    </w:p>
    <w:p w14:paraId="03F2EA3C">
      <w:pPr>
        <w:spacing w:line="640" w:lineRule="exact"/>
        <w:ind w:firstLine="640"/>
        <w:jc w:val="both"/>
        <w:outlineLvl w:val="2"/>
      </w:pPr>
      <w:r>
        <w:rPr>
          <w:rFonts w:ascii="黑体" w:hAnsi="黑体" w:eastAsia="黑体"/>
          <w:sz w:val="32"/>
        </w:rPr>
        <w:t>一、收入支出决算总体情况说明</w:t>
      </w:r>
    </w:p>
    <w:p w14:paraId="242818CA">
      <w:pPr>
        <w:spacing w:line="580" w:lineRule="exact"/>
        <w:ind w:firstLine="640"/>
        <w:jc w:val="both"/>
      </w:pPr>
      <w:r>
        <w:rPr>
          <w:rFonts w:ascii="仿宋_GB2312" w:hAnsi="仿宋_GB2312" w:eastAsia="仿宋_GB2312"/>
          <w:b/>
          <w:sz w:val="32"/>
        </w:rPr>
        <w:t>2024年度收入总计123.82万元，</w:t>
      </w:r>
      <w:r>
        <w:rPr>
          <w:rFonts w:ascii="仿宋_GB2312" w:hAnsi="仿宋_GB2312" w:eastAsia="仿宋_GB2312"/>
          <w:b w:val="0"/>
          <w:sz w:val="32"/>
        </w:rPr>
        <w:t>其中：本年收入合计123.82万元，使用非财政拨款结余（含专用结余）0.00万元，年初结转和结余0.00万元。</w:t>
      </w:r>
    </w:p>
    <w:p w14:paraId="13D2B55E">
      <w:pPr>
        <w:spacing w:line="580" w:lineRule="exact"/>
        <w:ind w:firstLine="640"/>
        <w:jc w:val="both"/>
      </w:pPr>
      <w:r>
        <w:rPr>
          <w:rFonts w:ascii="仿宋_GB2312" w:hAnsi="仿宋_GB2312" w:eastAsia="仿宋_GB2312"/>
          <w:b/>
          <w:sz w:val="32"/>
        </w:rPr>
        <w:t>2024年度支出总计123.82万元，</w:t>
      </w:r>
      <w:r>
        <w:rPr>
          <w:rFonts w:ascii="仿宋_GB2312" w:hAnsi="仿宋_GB2312" w:eastAsia="仿宋_GB2312"/>
          <w:b w:val="0"/>
          <w:sz w:val="32"/>
        </w:rPr>
        <w:t>其中：本年支出合计123.81万元，结余分配0.00万元，年末结转和结余0.01万元。</w:t>
      </w:r>
    </w:p>
    <w:p w14:paraId="5CFC9706">
      <w:pPr>
        <w:spacing w:line="580" w:lineRule="exact"/>
        <w:ind w:firstLine="640"/>
        <w:jc w:val="both"/>
      </w:pPr>
      <w:r>
        <w:rPr>
          <w:rFonts w:ascii="仿宋_GB2312" w:hAnsi="仿宋_GB2312" w:eastAsia="仿宋_GB2312"/>
          <w:b w:val="0"/>
          <w:sz w:val="32"/>
        </w:rPr>
        <w:t>收入支出总体与上年相比，减少63.91万元，下降34.04%，主要原因是：本年减少社会化工会工作者社保及医保缴费，导致经费减少。</w:t>
      </w:r>
    </w:p>
    <w:p w14:paraId="12A3A5BE">
      <w:pPr>
        <w:spacing w:line="640" w:lineRule="exact"/>
        <w:ind w:firstLine="640"/>
        <w:jc w:val="both"/>
        <w:outlineLvl w:val="2"/>
      </w:pPr>
      <w:r>
        <w:rPr>
          <w:rFonts w:ascii="黑体" w:hAnsi="黑体" w:eastAsia="黑体"/>
          <w:sz w:val="32"/>
        </w:rPr>
        <w:t>二、收入决算情况说明</w:t>
      </w:r>
    </w:p>
    <w:p w14:paraId="496A4242">
      <w:pPr>
        <w:spacing w:line="580" w:lineRule="exact"/>
        <w:ind w:firstLine="640"/>
        <w:jc w:val="both"/>
      </w:pPr>
      <w:r>
        <w:rPr>
          <w:rFonts w:ascii="仿宋_GB2312" w:hAnsi="仿宋_GB2312" w:eastAsia="仿宋_GB2312"/>
          <w:b/>
          <w:sz w:val="32"/>
        </w:rPr>
        <w:t>本年收入123.82万元，</w:t>
      </w:r>
      <w:r>
        <w:rPr>
          <w:rFonts w:ascii="仿宋_GB2312" w:hAnsi="仿宋_GB2312" w:eastAsia="仿宋_GB2312"/>
          <w:b w:val="0"/>
          <w:sz w:val="32"/>
        </w:rPr>
        <w:t>其中：财政拨款收入123.81万元，占99.99%；上级补助收入0.00万元，占0.00%；事业收入0.00万元，占0.00%；经营收入0.00万元，占0.00%；附属单位上缴收入0.00万元，占0.00%；其他收入0.01万元，占0.008%。</w:t>
      </w:r>
    </w:p>
    <w:p w14:paraId="0E2F526F">
      <w:pPr>
        <w:spacing w:line="640" w:lineRule="exact"/>
        <w:ind w:firstLine="640"/>
        <w:jc w:val="both"/>
        <w:outlineLvl w:val="2"/>
      </w:pPr>
      <w:r>
        <w:rPr>
          <w:rFonts w:ascii="黑体" w:hAnsi="黑体" w:eastAsia="黑体"/>
          <w:sz w:val="32"/>
        </w:rPr>
        <w:t>三、支出决算情况说明</w:t>
      </w:r>
    </w:p>
    <w:p w14:paraId="6CB70BD3">
      <w:pPr>
        <w:spacing w:line="580" w:lineRule="exact"/>
        <w:ind w:firstLine="640"/>
        <w:jc w:val="both"/>
      </w:pPr>
      <w:r>
        <w:rPr>
          <w:rFonts w:ascii="仿宋_GB2312" w:hAnsi="仿宋_GB2312" w:eastAsia="仿宋_GB2312"/>
          <w:b/>
          <w:sz w:val="32"/>
        </w:rPr>
        <w:t>本年支出123.81万元，</w:t>
      </w:r>
      <w:r>
        <w:rPr>
          <w:rFonts w:ascii="仿宋_GB2312" w:hAnsi="仿宋_GB2312" w:eastAsia="仿宋_GB2312"/>
          <w:b w:val="0"/>
          <w:sz w:val="32"/>
        </w:rPr>
        <w:t>其中：基本支出123.81万元，占100.00%；项目支出0.00万元，占0.00%；上缴上级支出0.00万元，占0.00%；经营支出0.00万元，占0.00%；对附属单位补助支出0.00万元，占0.00%。</w:t>
      </w:r>
    </w:p>
    <w:p w14:paraId="0538D6A6">
      <w:pPr>
        <w:spacing w:line="640" w:lineRule="exact"/>
        <w:ind w:firstLine="640"/>
        <w:jc w:val="both"/>
        <w:outlineLvl w:val="2"/>
      </w:pPr>
      <w:r>
        <w:rPr>
          <w:rFonts w:ascii="黑体" w:hAnsi="黑体" w:eastAsia="黑体"/>
          <w:sz w:val="32"/>
        </w:rPr>
        <w:t>四、财政拨款收入支出决算总体情况说明</w:t>
      </w:r>
    </w:p>
    <w:p w14:paraId="13D566FE">
      <w:pPr>
        <w:spacing w:line="580" w:lineRule="exact"/>
        <w:ind w:firstLine="640"/>
        <w:jc w:val="both"/>
      </w:pPr>
      <w:r>
        <w:rPr>
          <w:rFonts w:ascii="仿宋_GB2312" w:hAnsi="仿宋_GB2312" w:eastAsia="仿宋_GB2312"/>
          <w:b/>
          <w:sz w:val="32"/>
        </w:rPr>
        <w:t>2024年度财政拨款收入总计123.81万元，</w:t>
      </w:r>
      <w:r>
        <w:rPr>
          <w:rFonts w:ascii="仿宋_GB2312" w:hAnsi="仿宋_GB2312" w:eastAsia="仿宋_GB2312"/>
          <w:b w:val="0"/>
          <w:sz w:val="32"/>
        </w:rPr>
        <w:t>其中：年初财政拨款结转和结余0.00万元，本年财政拨款收入123.81万元。</w:t>
      </w:r>
      <w:r>
        <w:rPr>
          <w:rFonts w:ascii="仿宋_GB2312" w:hAnsi="仿宋_GB2312" w:eastAsia="仿宋_GB2312"/>
          <w:b/>
          <w:sz w:val="32"/>
        </w:rPr>
        <w:t>财政拨款支出总计123.81万元，</w:t>
      </w:r>
      <w:r>
        <w:rPr>
          <w:rFonts w:ascii="仿宋_GB2312" w:hAnsi="仿宋_GB2312" w:eastAsia="仿宋_GB2312"/>
          <w:b w:val="0"/>
          <w:sz w:val="32"/>
        </w:rPr>
        <w:t>其中：年末财政拨款结转和结余0.00万元，本年财政拨款支出123.81万元。</w:t>
      </w:r>
    </w:p>
    <w:p w14:paraId="7D486A9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减少63.91万元，下降34.05%，主要原因是：本年减少社会化工会工作者社保及医保缴费，导致经费减少。</w:t>
      </w:r>
      <w:r>
        <w:rPr>
          <w:rFonts w:ascii="仿宋_GB2312" w:hAnsi="仿宋_GB2312" w:eastAsia="仿宋_GB2312"/>
          <w:b/>
          <w:sz w:val="32"/>
        </w:rPr>
        <w:t>与年初预算相比，</w:t>
      </w:r>
      <w:r>
        <w:rPr>
          <w:rFonts w:ascii="仿宋_GB2312" w:hAnsi="仿宋_GB2312" w:eastAsia="仿宋_GB2312"/>
          <w:b w:val="0"/>
          <w:sz w:val="32"/>
        </w:rPr>
        <w:t>年初预算数121.51万元，决算数123.81万元，预决算差异率1.89%，主要原因是：年中追加人员工资、社保、公积金基数调增部分资金，导致预决算存在差异。</w:t>
      </w:r>
    </w:p>
    <w:p w14:paraId="7CC35845">
      <w:pPr>
        <w:spacing w:line="640" w:lineRule="exact"/>
        <w:ind w:firstLine="640"/>
        <w:jc w:val="both"/>
        <w:outlineLvl w:val="2"/>
      </w:pPr>
      <w:r>
        <w:rPr>
          <w:rFonts w:ascii="黑体" w:hAnsi="黑体" w:eastAsia="黑体"/>
          <w:sz w:val="32"/>
        </w:rPr>
        <w:t>五、一般公共预算财政拨款支出决算情况说明</w:t>
      </w:r>
    </w:p>
    <w:p w14:paraId="7ADC9803">
      <w:pPr>
        <w:spacing w:line="640" w:lineRule="exact"/>
        <w:ind w:firstLine="640"/>
        <w:jc w:val="both"/>
        <w:outlineLvl w:val="3"/>
      </w:pPr>
      <w:r>
        <w:rPr>
          <w:rFonts w:ascii="楷体_GB2312" w:hAnsi="楷体_GB2312" w:eastAsia="楷体_GB2312"/>
          <w:b/>
          <w:sz w:val="32"/>
        </w:rPr>
        <w:t>（一）一般公共预算财政拨款支出决算总体情况</w:t>
      </w:r>
    </w:p>
    <w:p w14:paraId="4D74164A">
      <w:pPr>
        <w:spacing w:line="580" w:lineRule="exact"/>
        <w:ind w:firstLine="640"/>
        <w:jc w:val="both"/>
      </w:pPr>
      <w:r>
        <w:rPr>
          <w:rFonts w:ascii="仿宋_GB2312" w:hAnsi="仿宋_GB2312" w:eastAsia="仿宋_GB2312"/>
          <w:b/>
          <w:sz w:val="32"/>
        </w:rPr>
        <w:t>2024年度一般公共预算财政拨款支出123.81万元，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减少63.91万元，下降34.05%，主要原因是：本年减少社会化工会工作者社保及医保缴费，导致经费减少。</w:t>
      </w:r>
      <w:r>
        <w:rPr>
          <w:rFonts w:ascii="仿宋_GB2312" w:hAnsi="仿宋_GB2312" w:eastAsia="仿宋_GB2312"/>
          <w:b/>
          <w:sz w:val="32"/>
        </w:rPr>
        <w:t>与年初预算相比,</w:t>
      </w:r>
      <w:r>
        <w:rPr>
          <w:rFonts w:ascii="仿宋_GB2312" w:hAnsi="仿宋_GB2312" w:eastAsia="仿宋_GB2312"/>
          <w:b w:val="0"/>
          <w:sz w:val="32"/>
        </w:rPr>
        <w:t>年初预算数121.51万元，决算数123.81万元，预决算差异率1.89%，主要原因是：年中追加人员工资、社保、公积金基数调增部分资金，导致预决算存在差异。</w:t>
      </w:r>
    </w:p>
    <w:p w14:paraId="0893B638">
      <w:pPr>
        <w:spacing w:line="640" w:lineRule="exact"/>
        <w:ind w:firstLine="640"/>
        <w:jc w:val="both"/>
        <w:outlineLvl w:val="3"/>
      </w:pPr>
      <w:r>
        <w:rPr>
          <w:rFonts w:ascii="楷体_GB2312" w:hAnsi="楷体_GB2312" w:eastAsia="楷体_GB2312"/>
          <w:b/>
          <w:sz w:val="32"/>
        </w:rPr>
        <w:t>（二）一般公共预算财政拨款支出决算结构情况</w:t>
      </w:r>
    </w:p>
    <w:p w14:paraId="409560A9">
      <w:pPr>
        <w:spacing w:line="580" w:lineRule="exact"/>
        <w:ind w:firstLine="640"/>
        <w:jc w:val="both"/>
      </w:pPr>
      <w:r>
        <w:rPr>
          <w:rFonts w:ascii="仿宋_GB2312" w:hAnsi="仿宋_GB2312" w:eastAsia="仿宋_GB2312"/>
          <w:b w:val="0"/>
          <w:sz w:val="32"/>
        </w:rPr>
        <w:t>1.一般公共服务支出(类)94.54万元,占76.36%。</w:t>
      </w:r>
    </w:p>
    <w:p w14:paraId="795A922B">
      <w:pPr>
        <w:spacing w:line="580" w:lineRule="exact"/>
        <w:ind w:firstLine="640"/>
        <w:jc w:val="both"/>
      </w:pPr>
      <w:r>
        <w:rPr>
          <w:rFonts w:ascii="仿宋_GB2312" w:hAnsi="仿宋_GB2312" w:eastAsia="仿宋_GB2312"/>
          <w:b w:val="0"/>
          <w:sz w:val="32"/>
        </w:rPr>
        <w:t>2.社会保障和就业支出(类)14.34万元,占11.58%。</w:t>
      </w:r>
    </w:p>
    <w:p w14:paraId="3C628911">
      <w:pPr>
        <w:spacing w:line="580" w:lineRule="exact"/>
        <w:ind w:firstLine="640"/>
        <w:jc w:val="both"/>
      </w:pPr>
      <w:r>
        <w:rPr>
          <w:rFonts w:ascii="仿宋_GB2312" w:hAnsi="仿宋_GB2312" w:eastAsia="仿宋_GB2312"/>
          <w:b w:val="0"/>
          <w:sz w:val="32"/>
        </w:rPr>
        <w:t>3.卫生健康支出(类)6.10万元,占4.93%。</w:t>
      </w:r>
    </w:p>
    <w:p w14:paraId="59B220A8">
      <w:pPr>
        <w:spacing w:line="580" w:lineRule="exact"/>
        <w:ind w:firstLine="640"/>
        <w:jc w:val="both"/>
      </w:pPr>
      <w:r>
        <w:rPr>
          <w:rFonts w:ascii="仿宋_GB2312" w:hAnsi="仿宋_GB2312" w:eastAsia="仿宋_GB2312"/>
          <w:b w:val="0"/>
          <w:sz w:val="32"/>
        </w:rPr>
        <w:t>4.住房保障支出(类)8.83万元,占7.13%。</w:t>
      </w:r>
    </w:p>
    <w:p w14:paraId="1BE1F8C9">
      <w:pPr>
        <w:spacing w:line="640" w:lineRule="exact"/>
        <w:ind w:firstLine="640"/>
        <w:jc w:val="both"/>
        <w:outlineLvl w:val="3"/>
      </w:pPr>
      <w:r>
        <w:rPr>
          <w:rFonts w:ascii="楷体_GB2312" w:hAnsi="楷体_GB2312" w:eastAsia="楷体_GB2312"/>
          <w:b/>
          <w:sz w:val="32"/>
        </w:rPr>
        <w:t>（三）一般公共预算财政拨款支出决算具体情况</w:t>
      </w:r>
    </w:p>
    <w:p w14:paraId="4E685BD8">
      <w:pPr>
        <w:spacing w:line="580" w:lineRule="exact"/>
        <w:ind w:firstLine="640"/>
        <w:jc w:val="both"/>
      </w:pPr>
      <w:r>
        <w:rPr>
          <w:rFonts w:ascii="仿宋_GB2312" w:hAnsi="仿宋_GB2312" w:eastAsia="仿宋_GB2312"/>
          <w:b w:val="0"/>
          <w:sz w:val="32"/>
        </w:rPr>
        <w:t>1.一般公共服务支出(类)群众团体事务(款)行政运行(项):支出决算数为94.54万元，比上年决算减少53.61万元，下降36.19%,主要原因是：本年减少社会化工会工作者社保及医保缴费，导致经费减少。</w:t>
      </w:r>
    </w:p>
    <w:p w14:paraId="6761E15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2.社会保障和就业支出(类)行政事业单位养老支出(款)行政单位离退休(项):支出决算数为2.63万元，比上年决算增加0.76万元，增长40.64%,主要原因是：本年增加退休人员基础绩效奖，退休费支出增加。</w:t>
      </w:r>
    </w:p>
    <w:p w14:paraId="4CEE70D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11.34万元，比上年决算增加1.00万元，增长9.67%,主要原因是：本年在职人员工资基数调增，养老缴费基数上涨，相应支出增加。</w:t>
      </w:r>
    </w:p>
    <w:p w14:paraId="05ED44C3">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13.17万元，下降100.00%,主要原因是：本年无新增退休人员，职业年金缴费较上年减少。</w:t>
      </w:r>
    </w:p>
    <w:p w14:paraId="682649AB">
      <w:pPr>
        <w:spacing w:line="580" w:lineRule="exact"/>
        <w:ind w:firstLine="640"/>
        <w:jc w:val="both"/>
      </w:pPr>
      <w:r>
        <w:rPr>
          <w:rFonts w:ascii="仿宋_GB2312" w:hAnsi="仿宋_GB2312" w:eastAsia="仿宋_GB2312"/>
          <w:b w:val="0"/>
          <w:sz w:val="32"/>
        </w:rPr>
        <w:t>5.社会保障和就业支出(类)抚恤(款)死亡抚恤(项):支出决算数为0.37万元，比上年决算增加0.37万元，增长100.00%,主要原因是：本年补缴2023年8月死亡人员部分死亡抚恤金，导致经费增加。</w:t>
      </w:r>
    </w:p>
    <w:p w14:paraId="19B3E4A2">
      <w:pPr>
        <w:spacing w:line="580" w:lineRule="exact"/>
        <w:ind w:firstLine="640"/>
        <w:jc w:val="both"/>
      </w:pPr>
      <w:r>
        <w:rPr>
          <w:rFonts w:ascii="仿宋_GB2312" w:hAnsi="仿宋_GB2312" w:eastAsia="仿宋_GB2312"/>
          <w:b w:val="0"/>
          <w:sz w:val="32"/>
        </w:rPr>
        <w:t>6.卫生健康支出(类)行政事业单位医疗(款)行政单位医疗(项):支出决算数为4.67万元，比上年决算增加0.01万元，增长0.21%,主要原因是：本年在职人员工资基数调增，医疗缴费基数上涨，相应支出增加。</w:t>
      </w:r>
    </w:p>
    <w:p w14:paraId="23B20688">
      <w:pPr>
        <w:spacing w:line="580" w:lineRule="exact"/>
        <w:ind w:firstLine="640"/>
        <w:jc w:val="both"/>
      </w:pPr>
      <w:r>
        <w:rPr>
          <w:rFonts w:ascii="仿宋_GB2312" w:hAnsi="仿宋_GB2312" w:eastAsia="仿宋_GB2312"/>
          <w:b w:val="0"/>
          <w:sz w:val="32"/>
        </w:rPr>
        <w:t>7.卫生健康支出(类)行政事业单位医疗(款)公务员医疗补助(项):支出决算数为1.43万元，比上年决算减少0.01万元，下降0.69%,主要原因是：因退休人员医疗保险制度改革，退休人员公务员医疗补助不再由单位缴纳，导致经费较上年减少。</w:t>
      </w:r>
    </w:p>
    <w:p w14:paraId="6EC0D06D">
      <w:pPr>
        <w:spacing w:line="580" w:lineRule="exact"/>
        <w:ind w:firstLine="640"/>
        <w:jc w:val="both"/>
      </w:pPr>
      <w:r>
        <w:rPr>
          <w:rFonts w:ascii="仿宋_GB2312" w:hAnsi="仿宋_GB2312" w:eastAsia="仿宋_GB2312"/>
          <w:b w:val="0"/>
          <w:sz w:val="32"/>
        </w:rPr>
        <w:t>8.住房保障支出(类)住房改革支出(款)住房公积金(项):支出决算数为8.83万元，比上年决算增加0.74万元，增长9.15%,主要原因是：本年在职人员工资基数调增，公积金缴费基数上涨，相应支出增加。</w:t>
      </w:r>
    </w:p>
    <w:p w14:paraId="6B26CADF">
      <w:pPr>
        <w:spacing w:line="640" w:lineRule="exact"/>
        <w:ind w:firstLine="640"/>
        <w:jc w:val="both"/>
        <w:outlineLvl w:val="2"/>
      </w:pPr>
      <w:r>
        <w:rPr>
          <w:rFonts w:ascii="黑体" w:hAnsi="黑体" w:eastAsia="黑体"/>
          <w:sz w:val="32"/>
        </w:rPr>
        <w:t>六、一般公共预算财政拨款基本支出决算情况说明</w:t>
      </w:r>
    </w:p>
    <w:p w14:paraId="687B0FBE">
      <w:pPr>
        <w:spacing w:line="580" w:lineRule="exact"/>
        <w:ind w:firstLine="640"/>
        <w:jc w:val="both"/>
      </w:pPr>
      <w:r>
        <w:rPr>
          <w:rFonts w:ascii="仿宋_GB2312" w:hAnsi="仿宋_GB2312" w:eastAsia="仿宋_GB2312"/>
          <w:b w:val="0"/>
          <w:sz w:val="32"/>
        </w:rPr>
        <w:t>2024年度一般公共预算财政拨款基本支出123.81万元，其中：</w:t>
      </w:r>
      <w:r>
        <w:rPr>
          <w:rFonts w:ascii="仿宋_GB2312" w:hAnsi="仿宋_GB2312" w:eastAsia="仿宋_GB2312"/>
          <w:b/>
          <w:sz w:val="32"/>
        </w:rPr>
        <w:t>人员经费117.68万元，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包括：基本工资、津贴补贴、奖金、绩效工资、机关事业单位基本养老保险缴费、职工基本医疗保险缴费、公务员医疗补助缴费、其他社会保障缴费、住房公积金、退休费、抚恤金、生活补助、医疗费补助。</w:t>
      </w:r>
    </w:p>
    <w:p w14:paraId="4358E83C">
      <w:pPr>
        <w:spacing w:line="580" w:lineRule="exact"/>
        <w:ind w:firstLine="640"/>
        <w:jc w:val="both"/>
      </w:pPr>
      <w:r>
        <w:rPr>
          <w:rFonts w:ascii="仿宋_GB2312" w:hAnsi="仿宋_GB2312" w:eastAsia="仿宋_GB2312"/>
          <w:b/>
          <w:sz w:val="32"/>
        </w:rPr>
        <w:t>公用经费6.13万元，</w:t>
      </w:r>
      <w:r>
        <w:rPr>
          <w:rFonts w:ascii="仿宋_GB2312" w:hAnsi="仿宋_GB2312" w:eastAsia="仿宋_GB2312"/>
          <w:b w:val="0"/>
          <w:sz w:val="32"/>
        </w:rPr>
        <w:t>包括：办公费、邮电费、取暖费、工会经费。</w:t>
      </w:r>
    </w:p>
    <w:p w14:paraId="0583881D">
      <w:pPr>
        <w:spacing w:line="640" w:lineRule="exact"/>
        <w:ind w:firstLine="640"/>
        <w:jc w:val="both"/>
        <w:outlineLvl w:val="2"/>
      </w:pPr>
      <w:r>
        <w:rPr>
          <w:rFonts w:ascii="黑体" w:hAnsi="黑体" w:eastAsia="黑体"/>
          <w:sz w:val="32"/>
        </w:rPr>
        <w:t>七、政府性基金预算财政拨款收入支出决算情况说明</w:t>
      </w:r>
    </w:p>
    <w:p w14:paraId="174E414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4971583">
      <w:pPr>
        <w:spacing w:line="640" w:lineRule="exact"/>
        <w:ind w:firstLine="640"/>
        <w:jc w:val="both"/>
        <w:outlineLvl w:val="2"/>
      </w:pPr>
      <w:r>
        <w:rPr>
          <w:rFonts w:ascii="黑体" w:hAnsi="黑体" w:eastAsia="黑体"/>
          <w:sz w:val="32"/>
        </w:rPr>
        <w:t>八、国有资本经营预算财政拨款收入支出决算情况说明</w:t>
      </w:r>
    </w:p>
    <w:p w14:paraId="2FCBD98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C026AB">
      <w:pPr>
        <w:spacing w:line="640" w:lineRule="exact"/>
        <w:ind w:firstLine="640"/>
        <w:jc w:val="both"/>
        <w:outlineLvl w:val="2"/>
      </w:pPr>
      <w:r>
        <w:rPr>
          <w:rFonts w:ascii="黑体" w:hAnsi="黑体" w:eastAsia="黑体"/>
          <w:sz w:val="32"/>
        </w:rPr>
        <w:t>九、财政拨款“三公”经费支出决算情况说明</w:t>
      </w:r>
    </w:p>
    <w:p w14:paraId="2F5F0CA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D4E705B">
      <w:pPr>
        <w:spacing w:line="580" w:lineRule="exact"/>
        <w:ind w:firstLine="640"/>
        <w:jc w:val="both"/>
      </w:pPr>
      <w:r>
        <w:rPr>
          <w:rFonts w:ascii="仿宋_GB2312" w:hAnsi="仿宋_GB2312" w:eastAsia="仿宋_GB2312"/>
          <w:b/>
          <w:sz w:val="32"/>
        </w:rPr>
        <w:t>具体情况如下：</w:t>
      </w:r>
    </w:p>
    <w:p w14:paraId="2904496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0DE96D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spacing w:val="6"/>
          <w:sz w:val="32"/>
        </w:rPr>
        <w:t>车辆0辆，与公务用车保有量差异原因是：本单位无固定资产车辆。</w:t>
      </w:r>
    </w:p>
    <w:p w14:paraId="567D7CF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1AC8C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F9914AA">
      <w:pPr>
        <w:spacing w:line="640" w:lineRule="exact"/>
        <w:ind w:firstLine="640"/>
        <w:jc w:val="both"/>
        <w:outlineLvl w:val="2"/>
      </w:pPr>
      <w:r>
        <w:rPr>
          <w:rFonts w:ascii="黑体" w:hAnsi="黑体" w:eastAsia="黑体"/>
          <w:sz w:val="32"/>
        </w:rPr>
        <w:t>十、其他重要事项的情况说明</w:t>
      </w:r>
    </w:p>
    <w:p w14:paraId="06976AB5">
      <w:pPr>
        <w:spacing w:line="640" w:lineRule="exact"/>
        <w:ind w:firstLine="640"/>
        <w:jc w:val="both"/>
        <w:outlineLvl w:val="3"/>
      </w:pPr>
      <w:r>
        <w:rPr>
          <w:rFonts w:ascii="楷体_GB2312" w:hAnsi="楷体_GB2312" w:eastAsia="楷体_GB2312"/>
          <w:b/>
          <w:sz w:val="32"/>
        </w:rPr>
        <w:t>（一）机关运行经费及公用经费支出情况</w:t>
      </w:r>
    </w:p>
    <w:p w14:paraId="1F9921B1">
      <w:pPr>
        <w:spacing w:line="580" w:lineRule="exact"/>
        <w:ind w:firstLine="640"/>
        <w:jc w:val="both"/>
      </w:pPr>
      <w:r>
        <w:rPr>
          <w:rFonts w:ascii="仿宋_GB2312" w:hAnsi="仿宋_GB2312" w:eastAsia="仿宋_GB2312"/>
          <w:b w:val="0"/>
          <w:sz w:val="32"/>
        </w:rPr>
        <w:t>2024年度托里县总工会（行政单位和参照公务员法管理事业单位）机关运行经费支出6.13万元，比上年增加0.46万元，增长8.11%，主要原因是：本年业务量增加，公用经费增加。</w:t>
      </w:r>
    </w:p>
    <w:p w14:paraId="2223B800">
      <w:pPr>
        <w:spacing w:line="640" w:lineRule="exact"/>
        <w:ind w:firstLine="640"/>
        <w:jc w:val="both"/>
        <w:outlineLvl w:val="3"/>
      </w:pPr>
      <w:r>
        <w:rPr>
          <w:rFonts w:ascii="楷体_GB2312" w:hAnsi="楷体_GB2312" w:eastAsia="楷体_GB2312"/>
          <w:b/>
          <w:sz w:val="32"/>
        </w:rPr>
        <w:t>（二）政府采购情况</w:t>
      </w:r>
    </w:p>
    <w:p w14:paraId="5747F915">
      <w:pPr>
        <w:spacing w:line="580" w:lineRule="exact"/>
        <w:ind w:firstLine="640"/>
        <w:jc w:val="both"/>
      </w:pPr>
      <w:r>
        <w:rPr>
          <w:rFonts w:ascii="仿宋_GB2312" w:hAnsi="仿宋_GB2312" w:eastAsia="仿宋_GB2312"/>
          <w:b w:val="0"/>
          <w:sz w:val="32"/>
        </w:rPr>
        <w:t>2024年度政府采购支出总额56.11万元，其中：政府采购货物支出21.06万元、政府采购工程支出32.52万元、政府采购服务支出2.54万元。</w:t>
      </w:r>
    </w:p>
    <w:p w14:paraId="6D822956">
      <w:pPr>
        <w:spacing w:line="580" w:lineRule="exact"/>
        <w:ind w:firstLine="640"/>
        <w:jc w:val="both"/>
      </w:pPr>
      <w:r>
        <w:rPr>
          <w:rFonts w:ascii="仿宋_GB2312" w:hAnsi="仿宋_GB2312" w:eastAsia="仿宋_GB2312"/>
          <w:b w:val="0"/>
          <w:sz w:val="32"/>
        </w:rPr>
        <w:t>授予中小企业合同金额55.88万元，占政府采购支出总额的99.59%，其中：授予小微企业合同金额55.88万元，占政府采购支出总额的99.59%。</w:t>
      </w:r>
    </w:p>
    <w:p w14:paraId="14D57DD5">
      <w:pPr>
        <w:spacing w:line="640" w:lineRule="exact"/>
        <w:ind w:firstLine="640"/>
        <w:jc w:val="both"/>
        <w:outlineLvl w:val="3"/>
      </w:pPr>
      <w:r>
        <w:rPr>
          <w:rFonts w:ascii="楷体_GB2312" w:hAnsi="楷体_GB2312" w:eastAsia="楷体_GB2312"/>
          <w:b/>
          <w:sz w:val="32"/>
        </w:rPr>
        <w:t>（三）国有资产占用情况说明</w:t>
      </w:r>
    </w:p>
    <w:p w14:paraId="2D9E922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179C447">
      <w:pPr>
        <w:spacing w:line="640" w:lineRule="exact"/>
        <w:ind w:firstLine="640"/>
        <w:jc w:val="both"/>
        <w:outlineLvl w:val="2"/>
      </w:pPr>
      <w:r>
        <w:rPr>
          <w:rFonts w:ascii="黑体" w:hAnsi="黑体" w:eastAsia="黑体"/>
          <w:sz w:val="32"/>
        </w:rPr>
        <w:t>十一、预算绩效的情况说明</w:t>
      </w:r>
    </w:p>
    <w:p w14:paraId="31B2EDB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123.81万元，实际执行总额123.81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47049C6B">
      <w:r>
        <w:br w:type="page"/>
      </w:r>
    </w:p>
    <w:tbl>
      <w:tblPr>
        <w:tblStyle w:val="9"/>
        <w:tblW w:w="0" w:type="auto"/>
        <w:tblInd w:w="0" w:type="dxa"/>
        <w:tblLayout w:type="autofit"/>
        <w:tblCellMar>
          <w:top w:w="0" w:type="dxa"/>
          <w:left w:w="108" w:type="dxa"/>
          <w:bottom w:w="0" w:type="dxa"/>
          <w:right w:w="108" w:type="dxa"/>
        </w:tblCellMar>
      </w:tblPr>
      <w:tblGrid>
        <w:gridCol w:w="1105"/>
        <w:gridCol w:w="1059"/>
        <w:gridCol w:w="1151"/>
        <w:gridCol w:w="1105"/>
        <w:gridCol w:w="375"/>
        <w:gridCol w:w="730"/>
        <w:gridCol w:w="211"/>
        <w:gridCol w:w="894"/>
        <w:gridCol w:w="1105"/>
        <w:gridCol w:w="1105"/>
      </w:tblGrid>
      <w:tr w14:paraId="6CB9BE21">
        <w:tblPrEx>
          <w:tblCellMar>
            <w:top w:w="0" w:type="dxa"/>
            <w:left w:w="108" w:type="dxa"/>
            <w:bottom w:w="0" w:type="dxa"/>
            <w:right w:w="108" w:type="dxa"/>
          </w:tblCellMar>
        </w:tblPrEx>
        <w:tc>
          <w:tcPr>
            <w:tcW w:w="8840" w:type="dxa"/>
            <w:gridSpan w:val="10"/>
            <w:vAlign w:val="center"/>
          </w:tcPr>
          <w:p w14:paraId="4BA0738D">
            <w:pPr>
              <w:jc w:val="center"/>
            </w:pPr>
            <w:r>
              <w:rPr>
                <w:rFonts w:ascii="宋体" w:hAnsi="宋体" w:eastAsia="宋体"/>
                <w:sz w:val="24"/>
              </w:rPr>
              <w:t>单位整体支出绩效自评表</w:t>
            </w:r>
          </w:p>
        </w:tc>
      </w:tr>
      <w:tr w14:paraId="75AD855F">
        <w:tblPrEx>
          <w:tblCellMar>
            <w:top w:w="0" w:type="dxa"/>
            <w:left w:w="108" w:type="dxa"/>
            <w:bottom w:w="0" w:type="dxa"/>
            <w:right w:w="108" w:type="dxa"/>
          </w:tblCellMar>
        </w:tblPrEx>
        <w:tc>
          <w:tcPr>
            <w:tcW w:w="8840" w:type="dxa"/>
            <w:gridSpan w:val="10"/>
            <w:vAlign w:val="center"/>
          </w:tcPr>
          <w:p w14:paraId="015EC5AE">
            <w:pPr>
              <w:jc w:val="center"/>
            </w:pPr>
            <w:r>
              <w:rPr>
                <w:rFonts w:ascii="宋体" w:hAnsi="宋体" w:eastAsia="宋体"/>
                <w:sz w:val="24"/>
              </w:rPr>
              <w:t>（2024年度）</w:t>
            </w:r>
          </w:p>
        </w:tc>
      </w:tr>
      <w:tr w14:paraId="7BFDA8A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8ABA1">
            <w:pPr>
              <w:jc w:val="center"/>
            </w:pPr>
            <w:r>
              <w:rPr>
                <w:rFonts w:ascii="宋体" w:hAnsi="宋体" w:eastAsia="宋体"/>
                <w:sz w:val="16"/>
              </w:rPr>
              <w:t>单位名称</w:t>
            </w:r>
          </w:p>
        </w:tc>
        <w:tc>
          <w:tcPr>
            <w:tcW w:w="773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6042B01">
            <w:pPr>
              <w:jc w:val="center"/>
            </w:pPr>
            <w:r>
              <w:rPr>
                <w:rFonts w:ascii="宋体" w:hAnsi="宋体" w:eastAsia="宋体"/>
                <w:sz w:val="16"/>
              </w:rPr>
              <w:t>托里县总工会</w:t>
            </w:r>
          </w:p>
        </w:tc>
      </w:tr>
      <w:tr w14:paraId="12A915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2B225">
            <w:pPr>
              <w:jc w:val="center"/>
            </w:pPr>
            <w:r>
              <w:rPr>
                <w:rFonts w:ascii="宋体" w:hAnsi="宋体" w:eastAsia="宋体"/>
                <w:sz w:val="16"/>
              </w:rPr>
              <w:t>部门资金(万元)</w:t>
            </w:r>
          </w:p>
        </w:tc>
        <w:tc>
          <w:tcPr>
            <w:tcW w:w="1059" w:type="dxa"/>
            <w:tcBorders>
              <w:top w:val="single" w:color="auto" w:sz="10" w:space="0"/>
              <w:left w:val="single" w:color="auto" w:sz="10" w:space="0"/>
              <w:bottom w:val="single" w:color="auto" w:sz="10" w:space="0"/>
              <w:right w:val="single" w:color="auto" w:sz="10" w:space="0"/>
              <w:insideV w:val="single" w:sz="10" w:space="0"/>
            </w:tcBorders>
            <w:vAlign w:val="center"/>
          </w:tcPr>
          <w:p w14:paraId="373C4C03">
            <w:pPr>
              <w:jc w:val="center"/>
            </w:pPr>
            <w:r>
              <w:rPr>
                <w:rFonts w:ascii="宋体" w:hAnsi="宋体" w:eastAsia="宋体"/>
                <w:sz w:val="16"/>
              </w:rPr>
              <w:t>资金来源</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12A6AC3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71D6B">
            <w:pPr>
              <w:jc w:val="center"/>
            </w:pPr>
            <w:r>
              <w:rPr>
                <w:rFonts w:ascii="宋体" w:hAnsi="宋体" w:eastAsia="宋体"/>
                <w:sz w:val="16"/>
              </w:rPr>
              <w:t>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25939">
            <w:pPr>
              <w:jc w:val="center"/>
            </w:pPr>
            <w:r>
              <w:rPr>
                <w:rFonts w:ascii="宋体" w:hAnsi="宋体" w:eastAsia="宋体"/>
                <w:sz w:val="16"/>
              </w:rPr>
              <w:t>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2EF5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0ED3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0DE54">
            <w:pPr>
              <w:jc w:val="center"/>
            </w:pPr>
            <w:r>
              <w:rPr>
                <w:rFonts w:ascii="宋体" w:hAnsi="宋体" w:eastAsia="宋体"/>
                <w:sz w:val="16"/>
              </w:rPr>
              <w:t>得分</w:t>
            </w:r>
          </w:p>
        </w:tc>
      </w:tr>
      <w:tr w14:paraId="59E734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5F3E6F"/>
        </w:tc>
        <w:tc>
          <w:tcPr>
            <w:tcW w:w="1059" w:type="dxa"/>
            <w:tcBorders>
              <w:top w:val="single" w:color="auto" w:sz="10" w:space="0"/>
              <w:left w:val="single" w:color="auto" w:sz="10" w:space="0"/>
              <w:bottom w:val="single" w:color="auto" w:sz="10" w:space="0"/>
              <w:right w:val="single" w:color="auto" w:sz="10" w:space="0"/>
              <w:insideV w:val="single" w:sz="10" w:space="0"/>
            </w:tcBorders>
            <w:vAlign w:val="center"/>
          </w:tcPr>
          <w:p w14:paraId="58690DF0">
            <w:pPr>
              <w:jc w:val="center"/>
            </w:pPr>
            <w:r>
              <w:rPr>
                <w:rFonts w:ascii="宋体" w:hAnsi="宋体" w:eastAsia="宋体"/>
                <w:sz w:val="16"/>
              </w:rPr>
              <w:t>年度总资金</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6E5DAE91">
            <w:pPr>
              <w:jc w:val="center"/>
            </w:pPr>
            <w:r>
              <w:rPr>
                <w:rFonts w:ascii="宋体" w:hAnsi="宋体" w:eastAsia="宋体"/>
                <w:sz w:val="16"/>
              </w:rPr>
              <w:t>121.51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42F48">
            <w:pPr>
              <w:jc w:val="center"/>
            </w:pPr>
            <w:r>
              <w:rPr>
                <w:rFonts w:ascii="宋体" w:hAnsi="宋体" w:eastAsia="宋体"/>
                <w:sz w:val="16"/>
              </w:rPr>
              <w:t>123.81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D6222">
            <w:pPr>
              <w:jc w:val="center"/>
            </w:pPr>
            <w:r>
              <w:rPr>
                <w:rFonts w:ascii="宋体" w:hAnsi="宋体" w:eastAsia="宋体"/>
                <w:sz w:val="16"/>
              </w:rPr>
              <w:t>123.81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D753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90C6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AAF3B">
            <w:pPr>
              <w:jc w:val="center"/>
            </w:pPr>
            <w:r>
              <w:rPr>
                <w:rFonts w:ascii="宋体" w:hAnsi="宋体" w:eastAsia="宋体"/>
                <w:sz w:val="16"/>
              </w:rPr>
              <w:t>10</w:t>
            </w:r>
          </w:p>
        </w:tc>
      </w:tr>
      <w:tr w14:paraId="4C337B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6996DC"/>
        </w:tc>
        <w:tc>
          <w:tcPr>
            <w:tcW w:w="1059" w:type="dxa"/>
            <w:tcBorders>
              <w:top w:val="single" w:color="auto" w:sz="10" w:space="0"/>
              <w:left w:val="single" w:color="auto" w:sz="10" w:space="0"/>
              <w:bottom w:val="single" w:color="auto" w:sz="10" w:space="0"/>
              <w:right w:val="single" w:color="auto" w:sz="10" w:space="0"/>
              <w:insideV w:val="single" w:sz="10" w:space="0"/>
            </w:tcBorders>
            <w:vAlign w:val="center"/>
          </w:tcPr>
          <w:p w14:paraId="6791322F">
            <w:pPr>
              <w:jc w:val="center"/>
            </w:pPr>
            <w:r>
              <w:rPr>
                <w:rFonts w:ascii="宋体" w:hAnsi="宋体" w:eastAsia="宋体"/>
                <w:sz w:val="16"/>
              </w:rPr>
              <w:t>其中：上级安排（万元）</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61F1F1F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0BE4C">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82698">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59B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41FC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8B5EE">
            <w:pPr>
              <w:jc w:val="center"/>
            </w:pPr>
            <w:r>
              <w:rPr>
                <w:rFonts w:ascii="宋体" w:hAnsi="宋体" w:eastAsia="宋体"/>
                <w:sz w:val="16"/>
              </w:rPr>
              <w:t>-</w:t>
            </w:r>
          </w:p>
        </w:tc>
      </w:tr>
      <w:tr w14:paraId="06404D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830E85"/>
        </w:tc>
        <w:tc>
          <w:tcPr>
            <w:tcW w:w="1059" w:type="dxa"/>
            <w:tcBorders>
              <w:top w:val="single" w:color="auto" w:sz="10" w:space="0"/>
              <w:left w:val="single" w:color="auto" w:sz="10" w:space="0"/>
              <w:bottom w:val="single" w:color="auto" w:sz="10" w:space="0"/>
              <w:right w:val="single" w:color="auto" w:sz="10" w:space="0"/>
              <w:insideV w:val="single" w:sz="10" w:space="0"/>
            </w:tcBorders>
            <w:vAlign w:val="center"/>
          </w:tcPr>
          <w:p w14:paraId="4D9760B2">
            <w:pPr>
              <w:jc w:val="center"/>
            </w:pPr>
            <w:r>
              <w:rPr>
                <w:rFonts w:ascii="宋体" w:hAnsi="宋体" w:eastAsia="宋体"/>
                <w:sz w:val="16"/>
              </w:rPr>
              <w:t>本级安排（万元）</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22EFFDA0">
            <w:pPr>
              <w:jc w:val="center"/>
            </w:pPr>
            <w:r>
              <w:rPr>
                <w:rFonts w:ascii="宋体" w:hAnsi="宋体" w:eastAsia="宋体"/>
                <w:sz w:val="16"/>
              </w:rPr>
              <w:t>121.51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CF529">
            <w:pPr>
              <w:jc w:val="center"/>
            </w:pPr>
            <w:r>
              <w:rPr>
                <w:rFonts w:ascii="宋体" w:hAnsi="宋体" w:eastAsia="宋体"/>
                <w:sz w:val="16"/>
              </w:rPr>
              <w:t>123.81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879A2">
            <w:pPr>
              <w:jc w:val="center"/>
            </w:pPr>
            <w:r>
              <w:rPr>
                <w:rFonts w:ascii="宋体" w:hAnsi="宋体" w:eastAsia="宋体"/>
                <w:sz w:val="16"/>
              </w:rPr>
              <w:t>123.81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E39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76D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EF6EF">
            <w:pPr>
              <w:jc w:val="center"/>
            </w:pPr>
            <w:r>
              <w:rPr>
                <w:rFonts w:ascii="宋体" w:hAnsi="宋体" w:eastAsia="宋体"/>
                <w:sz w:val="16"/>
              </w:rPr>
              <w:t>-</w:t>
            </w:r>
          </w:p>
        </w:tc>
      </w:tr>
      <w:tr w14:paraId="00018C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927615"/>
        </w:tc>
        <w:tc>
          <w:tcPr>
            <w:tcW w:w="1059" w:type="dxa"/>
            <w:tcBorders>
              <w:top w:val="single" w:color="auto" w:sz="10" w:space="0"/>
              <w:left w:val="single" w:color="auto" w:sz="10" w:space="0"/>
              <w:bottom w:val="single" w:color="auto" w:sz="10" w:space="0"/>
              <w:right w:val="single" w:color="auto" w:sz="10" w:space="0"/>
              <w:insideV w:val="single" w:sz="10" w:space="0"/>
            </w:tcBorders>
            <w:vAlign w:val="center"/>
          </w:tcPr>
          <w:p w14:paraId="76912E78">
            <w:pPr>
              <w:jc w:val="center"/>
            </w:pPr>
            <w:r>
              <w:rPr>
                <w:rFonts w:ascii="宋体" w:hAnsi="宋体" w:eastAsia="宋体"/>
                <w:sz w:val="16"/>
              </w:rPr>
              <w:t>其他资金（万元）</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5783A1F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B4FDC">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FCCFC">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537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56D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CB563">
            <w:pPr>
              <w:jc w:val="center"/>
            </w:pPr>
            <w:r>
              <w:rPr>
                <w:rFonts w:ascii="宋体" w:hAnsi="宋体" w:eastAsia="宋体"/>
                <w:sz w:val="16"/>
              </w:rPr>
              <w:t>-</w:t>
            </w:r>
          </w:p>
        </w:tc>
      </w:tr>
      <w:tr w14:paraId="3C018C7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45F6C">
            <w:pPr>
              <w:jc w:val="center"/>
            </w:pPr>
            <w:r>
              <w:rPr>
                <w:rFonts w:ascii="宋体" w:hAnsi="宋体" w:eastAsia="宋体"/>
                <w:sz w:val="16"/>
              </w:rPr>
              <w:t>年度总目标</w:t>
            </w:r>
          </w:p>
        </w:tc>
        <w:tc>
          <w:tcPr>
            <w:tcW w:w="369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795273">
            <w:pPr>
              <w:jc w:val="center"/>
            </w:pPr>
            <w:r>
              <w:rPr>
                <w:rFonts w:ascii="宋体" w:hAnsi="宋体" w:eastAsia="宋体"/>
                <w:sz w:val="16"/>
              </w:rPr>
              <w:t>预期目标</w:t>
            </w:r>
          </w:p>
        </w:tc>
        <w:tc>
          <w:tcPr>
            <w:tcW w:w="40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5779B2">
            <w:pPr>
              <w:jc w:val="center"/>
            </w:pPr>
            <w:r>
              <w:rPr>
                <w:rFonts w:ascii="宋体" w:hAnsi="宋体" w:eastAsia="宋体"/>
                <w:sz w:val="16"/>
              </w:rPr>
              <w:t>实际完成情况</w:t>
            </w:r>
          </w:p>
        </w:tc>
      </w:tr>
      <w:tr w14:paraId="228CAB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83F6BE"/>
        </w:tc>
        <w:tc>
          <w:tcPr>
            <w:tcW w:w="369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0908BF">
            <w:pPr>
              <w:jc w:val="both"/>
            </w:pPr>
            <w:r>
              <w:rPr>
                <w:rFonts w:ascii="宋体" w:hAnsi="宋体" w:eastAsia="宋体"/>
                <w:sz w:val="16"/>
              </w:rPr>
              <w:t>一是进一步发挥好工会桥梁纽带作用，协助县委、县政府做好困难职工群众解困纾困工作，积极为职工群众办实事、做好事、解难事，以一线职工、困难职工、农民工、新就业形态劳动者等为重点，帮助他们解决好急难愁盼问题，不断增强职工群众获得感、幸福感、安全感。二是加强基层工会组织规范化管理，因地制宜推动基层工会落实“六有工会”标准，不断丰富建家内容和形式。以加强阵地建设为契机，以健全完善职工之家创建规范机制为抓手，着力提高新时代职工之家水平。加大源头参与力度，深入开展集体协商、深化厂务公开、做好法治宣传和争议处理等工作，切实维护好职工合法权益。三是继续扩大工会经费收缴面，提高收缴率，实现工会经费稳步增长。</w:t>
            </w:r>
          </w:p>
        </w:tc>
        <w:tc>
          <w:tcPr>
            <w:tcW w:w="40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2B7954">
            <w:pPr>
              <w:jc w:val="both"/>
            </w:pPr>
            <w:r>
              <w:rPr>
                <w:rFonts w:ascii="宋体" w:hAnsi="宋体" w:eastAsia="宋体"/>
                <w:sz w:val="16"/>
              </w:rPr>
              <w:t>全年本单位履职尽责，贯彻落实党的二十大精神，认真落实中国工会十八大、自治区工会十三大部署要求和地委、县委扩大会议精神，在重点工作上出实招、求实效，从严从实加强工会工作稳步推进，通过“重要节日慰问困难职工、一线职工、劳模及先进工作者”工作的有效完成。通全年本单位“新增基层工会组织”工作新建工会组织13家。通过“组织开展基层工会干部培训”，2024年组织参加自治区、地区线上业务培训40余人次；赴自治区工运干校、地区工会业务培训17人次。联合卫生系统开展《妇幼健康职业技能竞赛》《静脉留置针操作比赛》《轮椅使用及转移技术》等劳动技能竞赛，充分展示了新时代护理人员扎实的护理专业技能，良好的心理素质及较强的应变能力。通过“家职工之家进行提升改造”，2024年提升改造3家“家职工之家”。</w:t>
            </w:r>
          </w:p>
        </w:tc>
      </w:tr>
      <w:tr w14:paraId="1987956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15C52">
            <w:pPr>
              <w:jc w:val="center"/>
            </w:pPr>
            <w:r>
              <w:rPr>
                <w:rFonts w:ascii="宋体" w:hAnsi="宋体" w:eastAsia="宋体"/>
                <w:sz w:val="16"/>
              </w:rPr>
              <w:t>一级指标</w:t>
            </w:r>
          </w:p>
        </w:tc>
        <w:tc>
          <w:tcPr>
            <w:tcW w:w="1059" w:type="dxa"/>
            <w:tcBorders>
              <w:top w:val="single" w:color="auto" w:sz="10" w:space="0"/>
              <w:left w:val="single" w:color="auto" w:sz="10" w:space="0"/>
              <w:bottom w:val="single" w:color="auto" w:sz="10" w:space="0"/>
              <w:right w:val="single" w:color="auto" w:sz="10" w:space="0"/>
              <w:insideV w:val="single" w:sz="10" w:space="0"/>
            </w:tcBorders>
            <w:vAlign w:val="center"/>
          </w:tcPr>
          <w:p w14:paraId="0776776E">
            <w:pPr>
              <w:jc w:val="center"/>
            </w:pPr>
            <w:r>
              <w:rPr>
                <w:rFonts w:ascii="宋体" w:hAnsi="宋体" w:eastAsia="宋体"/>
                <w:sz w:val="16"/>
              </w:rPr>
              <w:t>二级指标</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5109837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2EEC9">
            <w:pPr>
              <w:jc w:val="center"/>
            </w:pPr>
            <w:r>
              <w:rPr>
                <w:rFonts w:ascii="宋体" w:hAnsi="宋体" w:eastAsia="宋体"/>
                <w:sz w:val="16"/>
              </w:rPr>
              <w:t>指标值</w:t>
            </w:r>
          </w:p>
        </w:tc>
        <w:tc>
          <w:tcPr>
            <w:tcW w:w="13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F2AA60">
            <w:pPr>
              <w:jc w:val="center"/>
            </w:pPr>
            <w:r>
              <w:rPr>
                <w:rFonts w:ascii="宋体" w:hAnsi="宋体" w:eastAsia="宋体"/>
                <w:sz w:val="16"/>
              </w:rPr>
              <w:t>指标设定依据</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4EDFBB6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DA6B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558C1">
            <w:pPr>
              <w:jc w:val="center"/>
            </w:pPr>
            <w:r>
              <w:rPr>
                <w:rFonts w:ascii="宋体" w:hAnsi="宋体" w:eastAsia="宋体"/>
                <w:sz w:val="16"/>
              </w:rPr>
              <w:t>得分</w:t>
            </w:r>
          </w:p>
        </w:tc>
      </w:tr>
      <w:tr w14:paraId="68F80FD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80DC6">
            <w:pPr>
              <w:jc w:val="center"/>
            </w:pPr>
            <w:r>
              <w:rPr>
                <w:rFonts w:ascii="宋体" w:hAnsi="宋体" w:eastAsia="宋体"/>
                <w:sz w:val="16"/>
              </w:rPr>
              <w:t>履职效能</w:t>
            </w:r>
          </w:p>
        </w:tc>
        <w:tc>
          <w:tcPr>
            <w:tcW w:w="10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E2B4B">
            <w:pPr>
              <w:jc w:val="center"/>
            </w:pPr>
            <w:r>
              <w:rPr>
                <w:rFonts w:ascii="宋体" w:hAnsi="宋体" w:eastAsia="宋体"/>
                <w:sz w:val="16"/>
              </w:rPr>
              <w:t>数量指标</w:t>
            </w:r>
          </w:p>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44AFAA6C">
            <w:pPr>
              <w:jc w:val="center"/>
            </w:pPr>
            <w:r>
              <w:rPr>
                <w:rFonts w:ascii="宋体" w:hAnsi="宋体" w:eastAsia="宋体"/>
                <w:sz w:val="16"/>
              </w:rPr>
              <w:t>为困难职工解难事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F0951">
            <w:pPr>
              <w:jc w:val="center"/>
            </w:pPr>
            <w:r>
              <w:rPr>
                <w:rFonts w:ascii="宋体" w:hAnsi="宋体" w:eastAsia="宋体"/>
                <w:sz w:val="16"/>
              </w:rPr>
              <w:t>≥5次</w:t>
            </w:r>
          </w:p>
        </w:tc>
        <w:tc>
          <w:tcPr>
            <w:tcW w:w="131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DE82C7">
            <w:pPr>
              <w:jc w:val="center"/>
              <w:rPr>
                <w:rFonts w:hint="eastAsia" w:eastAsia="宋体"/>
                <w:lang w:val="en-US" w:eastAsia="zh-CN"/>
              </w:rPr>
            </w:pPr>
            <w:r>
              <w:rPr>
                <w:rFonts w:ascii="宋体" w:hAnsi="宋体" w:eastAsia="宋体"/>
                <w:sz w:val="16"/>
              </w:rPr>
              <w:t>2024年工作</w:t>
            </w:r>
            <w:r>
              <w:rPr>
                <w:rFonts w:hint="eastAsia" w:ascii="宋体" w:hAnsi="宋体"/>
                <w:sz w:val="16"/>
                <w:lang w:val="en-US" w:eastAsia="zh-CN"/>
              </w:rPr>
              <w:t>计划</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2055A1C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AA5F5">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95380">
            <w:pPr>
              <w:jc w:val="center"/>
            </w:pPr>
            <w:r>
              <w:rPr>
                <w:rFonts w:ascii="宋体" w:hAnsi="宋体" w:eastAsia="宋体"/>
                <w:sz w:val="16"/>
              </w:rPr>
              <w:t>20</w:t>
            </w:r>
          </w:p>
        </w:tc>
      </w:tr>
      <w:tr w14:paraId="069EBE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8669DA"/>
        </w:tc>
        <w:tc>
          <w:tcPr>
            <w:tcW w:w="1059" w:type="dxa"/>
            <w:vMerge w:val="continue"/>
            <w:tcBorders>
              <w:top w:val="single" w:color="auto" w:sz="10" w:space="0"/>
              <w:left w:val="single" w:color="auto" w:sz="10" w:space="0"/>
              <w:bottom w:val="single" w:color="auto" w:sz="10" w:space="0"/>
              <w:right w:val="single" w:color="auto" w:sz="10" w:space="0"/>
              <w:insideV w:val="single" w:sz="10" w:space="0"/>
            </w:tcBorders>
          </w:tcPr>
          <w:p w14:paraId="6C27CAF5"/>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6453404A">
            <w:pPr>
              <w:jc w:val="center"/>
            </w:pPr>
            <w:r>
              <w:rPr>
                <w:rFonts w:ascii="宋体" w:hAnsi="宋体" w:eastAsia="宋体"/>
                <w:sz w:val="16"/>
              </w:rPr>
              <w:t>新增基层工会组织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27909">
            <w:pPr>
              <w:jc w:val="center"/>
            </w:pPr>
            <w:r>
              <w:rPr>
                <w:rFonts w:ascii="宋体" w:hAnsi="宋体" w:eastAsia="宋体"/>
                <w:sz w:val="16"/>
              </w:rPr>
              <w:t>≥5家</w:t>
            </w:r>
          </w:p>
        </w:tc>
        <w:tc>
          <w:tcPr>
            <w:tcW w:w="1316" w:type="dxa"/>
            <w:gridSpan w:val="3"/>
            <w:tcBorders>
              <w:top w:val="single" w:color="auto" w:sz="10" w:space="0"/>
              <w:left w:val="single" w:color="auto" w:sz="10" w:space="0"/>
              <w:bottom w:val="single" w:color="auto" w:sz="10" w:space="0"/>
              <w:right w:val="single" w:color="auto" w:sz="10" w:space="0"/>
              <w:insideV w:val="single" w:sz="10" w:space="0"/>
            </w:tcBorders>
            <w:vAlign w:val="top"/>
          </w:tcPr>
          <w:p w14:paraId="03A33E45">
            <w:pPr>
              <w:jc w:val="center"/>
            </w:pPr>
            <w:r>
              <w:rPr>
                <w:rFonts w:ascii="宋体" w:hAnsi="宋体" w:eastAsia="宋体"/>
                <w:sz w:val="16"/>
              </w:rPr>
              <w:t>2024年工作</w:t>
            </w:r>
            <w:r>
              <w:rPr>
                <w:rFonts w:hint="eastAsia" w:ascii="宋体" w:hAnsi="宋体"/>
                <w:sz w:val="16"/>
                <w:lang w:val="en-US" w:eastAsia="zh-CN"/>
              </w:rPr>
              <w:t>计划</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75970A2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ECB4D">
            <w:pPr>
              <w:jc w:val="center"/>
            </w:pPr>
            <w:r>
              <w:rPr>
                <w:rFonts w:ascii="宋体" w:hAnsi="宋体" w:eastAsia="宋体"/>
                <w:sz w:val="16"/>
              </w:rPr>
              <w:t>≥13家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E693D">
            <w:pPr>
              <w:jc w:val="center"/>
            </w:pPr>
            <w:r>
              <w:rPr>
                <w:rFonts w:ascii="宋体" w:hAnsi="宋体" w:eastAsia="宋体"/>
                <w:sz w:val="16"/>
              </w:rPr>
              <w:t>15</w:t>
            </w:r>
          </w:p>
        </w:tc>
      </w:tr>
      <w:tr w14:paraId="1DC149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F16660"/>
        </w:tc>
        <w:tc>
          <w:tcPr>
            <w:tcW w:w="1059" w:type="dxa"/>
            <w:vMerge w:val="continue"/>
            <w:tcBorders>
              <w:top w:val="single" w:color="auto" w:sz="10" w:space="0"/>
              <w:left w:val="single" w:color="auto" w:sz="10" w:space="0"/>
              <w:bottom w:val="single" w:color="auto" w:sz="10" w:space="0"/>
              <w:right w:val="single" w:color="auto" w:sz="10" w:space="0"/>
              <w:insideV w:val="single" w:sz="10" w:space="0"/>
            </w:tcBorders>
          </w:tcPr>
          <w:p w14:paraId="1F03E8F0"/>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29052207">
            <w:pPr>
              <w:jc w:val="center"/>
            </w:pPr>
            <w:r>
              <w:rPr>
                <w:rFonts w:ascii="宋体" w:hAnsi="宋体" w:eastAsia="宋体"/>
                <w:sz w:val="16"/>
              </w:rPr>
              <w:t>组织开展基层工会干部培训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37241">
            <w:pPr>
              <w:jc w:val="center"/>
            </w:pPr>
            <w:r>
              <w:rPr>
                <w:rFonts w:ascii="宋体" w:hAnsi="宋体" w:eastAsia="宋体"/>
                <w:sz w:val="16"/>
              </w:rPr>
              <w:t>≥5期</w:t>
            </w:r>
          </w:p>
        </w:tc>
        <w:tc>
          <w:tcPr>
            <w:tcW w:w="1316" w:type="dxa"/>
            <w:gridSpan w:val="3"/>
            <w:tcBorders>
              <w:top w:val="single" w:color="auto" w:sz="10" w:space="0"/>
              <w:left w:val="single" w:color="auto" w:sz="10" w:space="0"/>
              <w:bottom w:val="single" w:color="auto" w:sz="10" w:space="0"/>
              <w:right w:val="single" w:color="auto" w:sz="10" w:space="0"/>
              <w:insideV w:val="single" w:sz="10" w:space="0"/>
            </w:tcBorders>
            <w:vAlign w:val="top"/>
          </w:tcPr>
          <w:p w14:paraId="66D61C55">
            <w:pPr>
              <w:jc w:val="center"/>
            </w:pPr>
            <w:r>
              <w:rPr>
                <w:rFonts w:ascii="宋体" w:hAnsi="宋体" w:eastAsia="宋体"/>
                <w:sz w:val="16"/>
              </w:rPr>
              <w:t>2024年工作</w:t>
            </w:r>
            <w:r>
              <w:rPr>
                <w:rFonts w:hint="eastAsia" w:ascii="宋体" w:hAnsi="宋体"/>
                <w:sz w:val="16"/>
                <w:lang w:val="en-US" w:eastAsia="zh-CN"/>
              </w:rPr>
              <w:t>计划</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7F98754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7FE68">
            <w:pPr>
              <w:jc w:val="center"/>
            </w:pPr>
            <w:r>
              <w:rPr>
                <w:rFonts w:ascii="宋体" w:hAnsi="宋体" w:eastAsia="宋体"/>
                <w:sz w:val="16"/>
              </w:rPr>
              <w:t>≥17期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9588A">
            <w:pPr>
              <w:jc w:val="center"/>
            </w:pPr>
            <w:r>
              <w:rPr>
                <w:rFonts w:ascii="宋体" w:hAnsi="宋体" w:eastAsia="宋体"/>
                <w:sz w:val="16"/>
              </w:rPr>
              <w:t>20</w:t>
            </w:r>
          </w:p>
        </w:tc>
      </w:tr>
      <w:tr w14:paraId="080293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9C2474"/>
        </w:tc>
        <w:tc>
          <w:tcPr>
            <w:tcW w:w="1059" w:type="dxa"/>
            <w:vMerge w:val="continue"/>
            <w:tcBorders>
              <w:top w:val="single" w:color="auto" w:sz="10" w:space="0"/>
              <w:left w:val="single" w:color="auto" w:sz="10" w:space="0"/>
              <w:bottom w:val="single" w:color="auto" w:sz="10" w:space="0"/>
              <w:right w:val="single" w:color="auto" w:sz="10" w:space="0"/>
              <w:insideV w:val="single" w:sz="10" w:space="0"/>
            </w:tcBorders>
          </w:tcPr>
          <w:p w14:paraId="4B0E8826"/>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33FC6E54">
            <w:pPr>
              <w:jc w:val="center"/>
            </w:pPr>
            <w:r>
              <w:rPr>
                <w:rFonts w:ascii="宋体" w:hAnsi="宋体" w:eastAsia="宋体"/>
                <w:sz w:val="16"/>
              </w:rPr>
              <w:t>积极开展职业技能劳动竞赛场次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575C0">
            <w:pPr>
              <w:jc w:val="center"/>
            </w:pPr>
            <w:r>
              <w:rPr>
                <w:rFonts w:ascii="宋体" w:hAnsi="宋体" w:eastAsia="宋体"/>
                <w:sz w:val="16"/>
              </w:rPr>
              <w:t>≥10场次</w:t>
            </w:r>
          </w:p>
        </w:tc>
        <w:tc>
          <w:tcPr>
            <w:tcW w:w="1316" w:type="dxa"/>
            <w:gridSpan w:val="3"/>
            <w:tcBorders>
              <w:top w:val="single" w:color="auto" w:sz="10" w:space="0"/>
              <w:left w:val="single" w:color="auto" w:sz="10" w:space="0"/>
              <w:bottom w:val="single" w:color="auto" w:sz="10" w:space="0"/>
              <w:right w:val="single" w:color="auto" w:sz="10" w:space="0"/>
              <w:insideV w:val="single" w:sz="10" w:space="0"/>
            </w:tcBorders>
            <w:vAlign w:val="top"/>
          </w:tcPr>
          <w:p w14:paraId="0EFF9B8E">
            <w:pPr>
              <w:jc w:val="center"/>
            </w:pPr>
            <w:r>
              <w:rPr>
                <w:rFonts w:ascii="宋体" w:hAnsi="宋体" w:eastAsia="宋体"/>
                <w:sz w:val="16"/>
              </w:rPr>
              <w:t>2024年工作</w:t>
            </w:r>
            <w:r>
              <w:rPr>
                <w:rFonts w:hint="eastAsia" w:ascii="宋体" w:hAnsi="宋体"/>
                <w:sz w:val="16"/>
                <w:lang w:val="en-US" w:eastAsia="zh-CN"/>
              </w:rPr>
              <w:t>计划</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7872A7F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7CE75">
            <w:pPr>
              <w:jc w:val="center"/>
            </w:pPr>
            <w:r>
              <w:rPr>
                <w:rFonts w:ascii="宋体" w:hAnsi="宋体" w:eastAsia="宋体"/>
                <w:sz w:val="16"/>
              </w:rPr>
              <w:t>≥9场次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663E2">
            <w:pPr>
              <w:jc w:val="center"/>
            </w:pPr>
            <w:r>
              <w:rPr>
                <w:rFonts w:ascii="宋体" w:hAnsi="宋体" w:eastAsia="宋体"/>
                <w:sz w:val="16"/>
              </w:rPr>
              <w:t>18</w:t>
            </w:r>
          </w:p>
        </w:tc>
      </w:tr>
      <w:tr w14:paraId="45F370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5C37A3"/>
        </w:tc>
        <w:tc>
          <w:tcPr>
            <w:tcW w:w="1059" w:type="dxa"/>
            <w:vMerge w:val="continue"/>
            <w:tcBorders>
              <w:top w:val="single" w:color="auto" w:sz="10" w:space="0"/>
              <w:left w:val="single" w:color="auto" w:sz="10" w:space="0"/>
              <w:bottom w:val="single" w:color="auto" w:sz="10" w:space="0"/>
              <w:right w:val="single" w:color="auto" w:sz="10" w:space="0"/>
              <w:insideV w:val="single" w:sz="10" w:space="0"/>
            </w:tcBorders>
          </w:tcPr>
          <w:p w14:paraId="20F0ADF1"/>
        </w:tc>
        <w:tc>
          <w:tcPr>
            <w:tcW w:w="1151" w:type="dxa"/>
            <w:tcBorders>
              <w:top w:val="single" w:color="auto" w:sz="10" w:space="0"/>
              <w:left w:val="single" w:color="auto" w:sz="10" w:space="0"/>
              <w:bottom w:val="single" w:color="auto" w:sz="10" w:space="0"/>
              <w:right w:val="single" w:color="auto" w:sz="10" w:space="0"/>
              <w:insideV w:val="single" w:sz="10" w:space="0"/>
            </w:tcBorders>
            <w:vAlign w:val="center"/>
          </w:tcPr>
          <w:p w14:paraId="77D94FA2">
            <w:pPr>
              <w:jc w:val="center"/>
            </w:pPr>
            <w:r>
              <w:rPr>
                <w:rFonts w:ascii="宋体" w:hAnsi="宋体" w:eastAsia="宋体"/>
                <w:sz w:val="16"/>
              </w:rPr>
              <w:t>提高新时代职工之家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E5381">
            <w:pPr>
              <w:jc w:val="center"/>
            </w:pPr>
            <w:r>
              <w:rPr>
                <w:rFonts w:ascii="宋体" w:hAnsi="宋体" w:eastAsia="宋体"/>
                <w:sz w:val="16"/>
              </w:rPr>
              <w:t>≥2家</w:t>
            </w:r>
          </w:p>
        </w:tc>
        <w:tc>
          <w:tcPr>
            <w:tcW w:w="1316" w:type="dxa"/>
            <w:gridSpan w:val="3"/>
            <w:tcBorders>
              <w:top w:val="single" w:color="auto" w:sz="10" w:space="0"/>
              <w:left w:val="single" w:color="auto" w:sz="10" w:space="0"/>
              <w:bottom w:val="single" w:color="auto" w:sz="10" w:space="0"/>
              <w:right w:val="single" w:color="auto" w:sz="10" w:space="0"/>
              <w:insideV w:val="single" w:sz="10" w:space="0"/>
            </w:tcBorders>
            <w:vAlign w:val="top"/>
          </w:tcPr>
          <w:p w14:paraId="66FF610B">
            <w:pPr>
              <w:jc w:val="center"/>
            </w:pPr>
            <w:r>
              <w:rPr>
                <w:rFonts w:ascii="宋体" w:hAnsi="宋体" w:eastAsia="宋体"/>
                <w:sz w:val="16"/>
              </w:rPr>
              <w:t>2024年工作</w:t>
            </w:r>
            <w:r>
              <w:rPr>
                <w:rFonts w:hint="eastAsia" w:ascii="宋体" w:hAnsi="宋体"/>
                <w:sz w:val="16"/>
                <w:lang w:val="en-US" w:eastAsia="zh-CN"/>
              </w:rPr>
              <w:t>计划</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55B776B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99D19">
            <w:pPr>
              <w:jc w:val="center"/>
            </w:pPr>
            <w:r>
              <w:rPr>
                <w:rFonts w:ascii="宋体" w:hAnsi="宋体" w:eastAsia="宋体"/>
                <w:sz w:val="16"/>
              </w:rPr>
              <w:t>≥3家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5DD17">
            <w:pPr>
              <w:jc w:val="center"/>
            </w:pPr>
            <w:r>
              <w:rPr>
                <w:rFonts w:ascii="宋体" w:hAnsi="宋体" w:eastAsia="宋体"/>
                <w:sz w:val="16"/>
              </w:rPr>
              <w:t>15</w:t>
            </w:r>
          </w:p>
        </w:tc>
      </w:tr>
    </w:tbl>
    <w:p w14:paraId="42F790DE">
      <w:r>
        <w:br w:type="page"/>
      </w:r>
      <w:bookmarkStart w:id="0" w:name="_GoBack"/>
      <w:bookmarkEnd w:id="0"/>
    </w:p>
    <w:p w14:paraId="1F808602">
      <w:pPr>
        <w:spacing w:line="640" w:lineRule="exact"/>
        <w:ind w:firstLine="640"/>
        <w:jc w:val="both"/>
        <w:outlineLvl w:val="2"/>
      </w:pPr>
      <w:r>
        <w:rPr>
          <w:rFonts w:ascii="黑体" w:hAnsi="黑体" w:eastAsia="黑体"/>
          <w:sz w:val="32"/>
        </w:rPr>
        <w:t>十二、其他需说明的事项</w:t>
      </w:r>
    </w:p>
    <w:p w14:paraId="09BC362E">
      <w:pPr>
        <w:spacing w:line="580" w:lineRule="exact"/>
        <w:ind w:firstLine="640"/>
        <w:jc w:val="both"/>
      </w:pPr>
      <w:r>
        <w:rPr>
          <w:rFonts w:ascii="仿宋_GB2312" w:hAnsi="仿宋_GB2312" w:eastAsia="仿宋_GB2312"/>
          <w:b w:val="0"/>
          <w:sz w:val="32"/>
        </w:rPr>
        <w:t>本单位无其他需说明的事项。</w:t>
      </w:r>
    </w:p>
    <w:p w14:paraId="193DEB07">
      <w:r>
        <w:br w:type="page"/>
      </w:r>
    </w:p>
    <w:p w14:paraId="49AE565E">
      <w:pPr>
        <w:spacing w:line="240" w:lineRule="auto"/>
        <w:jc w:val="center"/>
        <w:outlineLvl w:val="1"/>
      </w:pPr>
      <w:r>
        <w:rPr>
          <w:rFonts w:ascii="黑体" w:hAnsi="黑体" w:eastAsia="黑体"/>
          <w:sz w:val="32"/>
        </w:rPr>
        <w:t>第三部分 专业名词解释</w:t>
      </w:r>
    </w:p>
    <w:p w14:paraId="118BB5B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378F1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F24B6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17EA5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3C926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4B3921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7CAAD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DA93C8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C607D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5CCBE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24A91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AA489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E1E275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C77E2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383AFAC">
      <w:r>
        <w:br w:type="page"/>
      </w:r>
    </w:p>
    <w:p w14:paraId="5977B930">
      <w:pPr>
        <w:spacing w:line="240" w:lineRule="auto"/>
        <w:jc w:val="center"/>
        <w:outlineLvl w:val="1"/>
      </w:pPr>
      <w:r>
        <w:rPr>
          <w:rFonts w:ascii="黑体" w:hAnsi="黑体" w:eastAsia="黑体"/>
          <w:sz w:val="32"/>
        </w:rPr>
        <w:t>第四部分 部门决算报表（见附表）</w:t>
      </w:r>
    </w:p>
    <w:p w14:paraId="659D58EB">
      <w:pPr>
        <w:spacing w:line="240" w:lineRule="auto"/>
        <w:ind w:firstLine="640"/>
        <w:jc w:val="both"/>
      </w:pPr>
      <w:r>
        <w:rPr>
          <w:rFonts w:ascii="仿宋_GB2312" w:hAnsi="仿宋_GB2312" w:eastAsia="仿宋_GB2312"/>
          <w:b w:val="0"/>
          <w:sz w:val="32"/>
        </w:rPr>
        <w:t>一、《收入支出决算总表》</w:t>
      </w:r>
    </w:p>
    <w:p w14:paraId="5B0E67A1">
      <w:pPr>
        <w:spacing w:line="240" w:lineRule="auto"/>
        <w:ind w:firstLine="640"/>
        <w:jc w:val="both"/>
      </w:pPr>
      <w:r>
        <w:rPr>
          <w:rFonts w:ascii="仿宋_GB2312" w:hAnsi="仿宋_GB2312" w:eastAsia="仿宋_GB2312"/>
          <w:b w:val="0"/>
          <w:sz w:val="32"/>
        </w:rPr>
        <w:t>二、《收入决算表》</w:t>
      </w:r>
    </w:p>
    <w:p w14:paraId="59430198">
      <w:pPr>
        <w:spacing w:line="240" w:lineRule="auto"/>
        <w:ind w:firstLine="640"/>
        <w:jc w:val="both"/>
      </w:pPr>
      <w:r>
        <w:rPr>
          <w:rFonts w:ascii="仿宋_GB2312" w:hAnsi="仿宋_GB2312" w:eastAsia="仿宋_GB2312"/>
          <w:b w:val="0"/>
          <w:sz w:val="32"/>
        </w:rPr>
        <w:t>三、《支出决算表》</w:t>
      </w:r>
    </w:p>
    <w:p w14:paraId="1EB02E07">
      <w:pPr>
        <w:spacing w:line="240" w:lineRule="auto"/>
        <w:ind w:firstLine="640"/>
        <w:jc w:val="both"/>
      </w:pPr>
      <w:r>
        <w:rPr>
          <w:rFonts w:ascii="仿宋_GB2312" w:hAnsi="仿宋_GB2312" w:eastAsia="仿宋_GB2312"/>
          <w:b w:val="0"/>
          <w:sz w:val="32"/>
        </w:rPr>
        <w:t>四、《财政拨款收入支出决算总表》</w:t>
      </w:r>
    </w:p>
    <w:p w14:paraId="77698BB3">
      <w:pPr>
        <w:spacing w:line="240" w:lineRule="auto"/>
        <w:ind w:firstLine="640"/>
        <w:jc w:val="both"/>
      </w:pPr>
      <w:r>
        <w:rPr>
          <w:rFonts w:ascii="仿宋_GB2312" w:hAnsi="仿宋_GB2312" w:eastAsia="仿宋_GB2312"/>
          <w:b w:val="0"/>
          <w:sz w:val="32"/>
        </w:rPr>
        <w:t>五、《一般公共预算财政拨款支出决算表》</w:t>
      </w:r>
    </w:p>
    <w:p w14:paraId="76E7E6D2">
      <w:pPr>
        <w:spacing w:line="240" w:lineRule="auto"/>
        <w:ind w:firstLine="640"/>
        <w:jc w:val="both"/>
      </w:pPr>
      <w:r>
        <w:rPr>
          <w:rFonts w:ascii="仿宋_GB2312" w:hAnsi="仿宋_GB2312" w:eastAsia="仿宋_GB2312"/>
          <w:b w:val="0"/>
          <w:sz w:val="32"/>
        </w:rPr>
        <w:t>六、《一般公共预算财政拨款基本支出决算表》</w:t>
      </w:r>
    </w:p>
    <w:p w14:paraId="5EB73315">
      <w:pPr>
        <w:spacing w:line="240" w:lineRule="auto"/>
        <w:ind w:firstLine="640"/>
        <w:jc w:val="both"/>
      </w:pPr>
      <w:r>
        <w:rPr>
          <w:rFonts w:ascii="仿宋_GB2312" w:hAnsi="仿宋_GB2312" w:eastAsia="仿宋_GB2312"/>
          <w:b w:val="0"/>
          <w:sz w:val="32"/>
        </w:rPr>
        <w:t>七、《政府性基金预算财政拨款收入支出决算表》</w:t>
      </w:r>
    </w:p>
    <w:p w14:paraId="6F3B01EF">
      <w:pPr>
        <w:spacing w:line="240" w:lineRule="auto"/>
        <w:ind w:firstLine="640"/>
        <w:jc w:val="both"/>
      </w:pPr>
      <w:r>
        <w:rPr>
          <w:rFonts w:ascii="仿宋_GB2312" w:hAnsi="仿宋_GB2312" w:eastAsia="仿宋_GB2312"/>
          <w:b w:val="0"/>
          <w:sz w:val="32"/>
        </w:rPr>
        <w:t>八、《国有资本经营预算财政拨款收入支出决算表》</w:t>
      </w:r>
    </w:p>
    <w:p w14:paraId="5AF11BE9">
      <w:pPr>
        <w:spacing w:line="240" w:lineRule="auto"/>
        <w:ind w:firstLine="640"/>
        <w:jc w:val="both"/>
      </w:pPr>
      <w:r>
        <w:rPr>
          <w:rFonts w:ascii="仿宋_GB2312" w:hAnsi="仿宋_GB2312" w:eastAsia="仿宋_GB2312"/>
          <w:b w:val="0"/>
          <w:sz w:val="32"/>
        </w:rPr>
        <w:t>九、《财政拨款“三公”经费支出决算表》</w:t>
      </w:r>
    </w:p>
    <w:p w14:paraId="481D4F1C">
      <w:pPr>
        <w:spacing w:line="240" w:lineRule="auto"/>
        <w:ind w:firstLine="640"/>
        <w:jc w:val="both"/>
      </w:pPr>
    </w:p>
    <w:p w14:paraId="5F13A3A0">
      <w:pPr>
        <w:spacing w:line="240" w:lineRule="auto"/>
        <w:ind w:firstLine="640"/>
        <w:jc w:val="both"/>
      </w:pPr>
    </w:p>
    <w:p w14:paraId="204E1FC6">
      <w:pPr>
        <w:spacing w:line="240" w:lineRule="auto"/>
        <w:ind w:firstLine="640"/>
        <w:jc w:val="both"/>
      </w:pPr>
    </w:p>
    <w:p w14:paraId="2149CBF3">
      <w:pPr>
        <w:spacing w:line="240" w:lineRule="auto"/>
        <w:ind w:firstLine="640"/>
        <w:jc w:val="both"/>
      </w:pPr>
    </w:p>
    <w:p w14:paraId="5FABFE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5">
    <w:panose1 w:val="02000000000000000000"/>
    <w:charset w:val="86"/>
    <w:family w:val="auto"/>
    <w:pitch w:val="default"/>
    <w:sig w:usb0="A00002BF" w:usb1="38CF7CFA" w:usb2="00082016" w:usb3="00000000" w:csb0="00040001" w:csb1="00000000"/>
  </w:font>
  <w:font w:name="WPSEMBED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9F77C5"/>
    <w:rsid w:val="270E4224"/>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C1237E"/>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A843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76d4ebbc-3105-4ca0-a59e-f8dc49e2b442</errorID>
      <errorWord>职工的</errorWord>
      <group>L1_Word</group>
      <groupName>字词问题</groupName>
      <ability>L2_Typo</ability>
      <abilityName>字词错误</abilityName>
      <candidateList>
        <item>职工</item>
      </candidateList>
      <explain/>
      <paraID>59D7C797</paraID>
      <start>5</start>
      <end>7</end>
      <status>modified</status>
      <modifiedWord>职工</modifiedWord>
      <trackRevisions>false</trackRevisions>
    </reviewItem>
    <reviewItem>
      <errorID>27ce675d-255d-4ce3-9f23-64a636275996</errorID>
      <errorWord>单位无</errorWord>
      <group>L1_Grammar</group>
      <groupName>语法问题</groupName>
      <ability>L2_Illogical</ability>
      <abilityName>不合逻辑</abilityName>
      <candidateList>
        <item>单位</item>
      </candidateList>
      <explain>句子中可能存在因果关系错误、自相矛盾、概念误用、主客倒置、否定不当、前后缺乏呼应等问题。</explain>
      <paraID>50DE96D4</paraID>
      <start>68</start>
      <end>71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ecbb6-2b3c-472b-9256-472b52a25b57}">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4228</Words>
  <Characters>4874</Characters>
  <Lines>0</Lines>
  <Paragraphs>0</Paragraphs>
  <TotalTime>1</TotalTime>
  <ScaleCrop>false</ScaleCrop>
  <LinksUpToDate>false</LinksUpToDate>
  <CharactersWithSpaces>4882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2025-11-05T01:54:44Z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