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托里县巴尔鲁克山林场2024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B36683">
      <w:r>
        <w:br w:type="page"/>
      </w:r>
    </w:p>
    <w:p w14:paraId="60D69DF8">
      <w:pPr>
        <w:spacing w:line="640" w:lineRule="exact"/>
        <w:jc w:val="center"/>
        <w:outlineLvl w:val="1"/>
      </w:pPr>
      <w:r>
        <w:rPr>
          <w:rFonts w:ascii="黑体" w:hAnsi="黑体" w:eastAsia="黑体"/>
          <w:sz w:val="32"/>
        </w:rPr>
        <w:t>第一部分 单位概况</w:t>
      </w:r>
    </w:p>
    <w:p w14:paraId="314619AC">
      <w:pPr>
        <w:spacing w:line="640" w:lineRule="exact"/>
        <w:ind w:firstLine="640"/>
        <w:jc w:val="both"/>
        <w:outlineLvl w:val="2"/>
      </w:pPr>
      <w:r>
        <w:rPr>
          <w:rFonts w:ascii="黑体" w:hAnsi="黑体" w:eastAsia="黑体"/>
          <w:sz w:val="32"/>
        </w:rPr>
        <w:t>一、主要职能</w:t>
      </w:r>
    </w:p>
    <w:p w14:paraId="40825205">
      <w:pPr>
        <w:spacing w:line="580" w:lineRule="exact"/>
        <w:ind w:firstLine="640"/>
        <w:jc w:val="both"/>
      </w:pPr>
      <w:r>
        <w:rPr>
          <w:rFonts w:ascii="仿宋_GB2312" w:hAnsi="仿宋_GB2312" w:eastAsia="仿宋_GB2312"/>
          <w:sz w:val="32"/>
        </w:rPr>
        <w:t>（1）贯彻执行国家及自治区基本森林生态环境建设，基本森林资源保护和国土绿化等林业工作方针，政策，根据上级林业发展战略制定长期发展规划。</w:t>
      </w:r>
    </w:p>
    <w:p w14:paraId="7E60160B">
      <w:pPr>
        <w:spacing w:line="580" w:lineRule="exact"/>
        <w:ind w:firstLine="640"/>
        <w:jc w:val="both"/>
      </w:pPr>
      <w:r>
        <w:rPr>
          <w:rFonts w:ascii="仿宋_GB2312" w:hAnsi="仿宋_GB2312" w:eastAsia="仿宋_GB2312"/>
          <w:sz w:val="32"/>
        </w:rPr>
        <w:t>（2）负责组织指导植树造林，飞播造林和封山育林及森林经营工作。</w:t>
      </w:r>
    </w:p>
    <w:p w14:paraId="105B88EB">
      <w:pPr>
        <w:spacing w:line="580" w:lineRule="exact"/>
        <w:ind w:firstLine="640"/>
        <w:jc w:val="both"/>
      </w:pPr>
      <w:r>
        <w:rPr>
          <w:rFonts w:ascii="仿宋_GB2312" w:hAnsi="仿宋_GB2312" w:eastAsia="仿宋_GB2312"/>
          <w:sz w:val="32"/>
        </w:rPr>
        <w:t>（3）负责以植树种草等生物措施防治水土流失和防治石漠化工作。</w:t>
      </w:r>
    </w:p>
    <w:p w14:paraId="6ABC771E">
      <w:pPr>
        <w:spacing w:line="580" w:lineRule="exact"/>
        <w:ind w:firstLine="640"/>
        <w:jc w:val="both"/>
      </w:pPr>
      <w:r>
        <w:rPr>
          <w:rFonts w:ascii="仿宋_GB2312" w:hAnsi="仿宋_GB2312" w:eastAsia="仿宋_GB2312"/>
          <w:sz w:val="32"/>
        </w:rPr>
        <w:t>（4）管理山区林业综合开发，从事森林病虫害防治，森林植物检疫工作。</w:t>
      </w:r>
    </w:p>
    <w:p w14:paraId="00323CB1">
      <w:pPr>
        <w:spacing w:line="580" w:lineRule="exact"/>
        <w:ind w:firstLine="640"/>
        <w:jc w:val="both"/>
      </w:pPr>
      <w:r>
        <w:rPr>
          <w:rFonts w:ascii="仿宋_GB2312" w:hAnsi="仿宋_GB2312" w:eastAsia="仿宋_GB2312"/>
          <w:sz w:val="32"/>
        </w:rPr>
        <w:t>（5）负责森林分类经营和生态公益林的工作。</w:t>
      </w:r>
    </w:p>
    <w:p w14:paraId="2F9C3B35">
      <w:pPr>
        <w:spacing w:line="580" w:lineRule="exact"/>
        <w:ind w:firstLine="640"/>
        <w:jc w:val="both"/>
      </w:pPr>
      <w:r>
        <w:rPr>
          <w:rFonts w:ascii="仿宋_GB2312" w:hAnsi="仿宋_GB2312" w:eastAsia="仿宋_GB2312"/>
          <w:sz w:val="32"/>
        </w:rPr>
        <w:t>（6）从事林业资源调查设计，动态检测及经营管理工作。</w:t>
      </w:r>
    </w:p>
    <w:p w14:paraId="1F8B7DD4">
      <w:pPr>
        <w:spacing w:line="580" w:lineRule="exact"/>
        <w:ind w:firstLine="640"/>
        <w:jc w:val="both"/>
      </w:pPr>
      <w:r>
        <w:rPr>
          <w:rFonts w:ascii="仿宋_GB2312" w:hAnsi="仿宋_GB2312" w:eastAsia="仿宋_GB2312"/>
          <w:sz w:val="32"/>
        </w:rPr>
        <w:t>（7）负责森林防火，检查巡护破坏森林资源，野生动植物资源及森林火灾等工作。</w:t>
      </w:r>
    </w:p>
    <w:p w14:paraId="2D6F1D6A">
      <w:pPr>
        <w:spacing w:line="640" w:lineRule="exact"/>
        <w:ind w:firstLine="640"/>
        <w:jc w:val="both"/>
        <w:outlineLvl w:val="2"/>
      </w:pPr>
      <w:r>
        <w:rPr>
          <w:rFonts w:ascii="黑体" w:hAnsi="黑体" w:eastAsia="黑体"/>
          <w:sz w:val="32"/>
        </w:rPr>
        <w:t>二、机构设置及人员情况</w:t>
      </w:r>
    </w:p>
    <w:p w14:paraId="15B7F20D">
      <w:pPr>
        <w:spacing w:line="580" w:lineRule="exact"/>
        <w:ind w:firstLine="640"/>
        <w:jc w:val="both"/>
      </w:pPr>
      <w:r>
        <w:rPr>
          <w:rFonts w:ascii="仿宋_GB2312" w:hAnsi="仿宋_GB2312" w:eastAsia="仿宋_GB2312"/>
          <w:sz w:val="32"/>
        </w:rPr>
        <w:t>托里县巴尔鲁克山林场2024年度，实有人数35人，其中：在职人员24人，减少1人；离休人员0人，增加0人；退休人员11人,增加0人。</w:t>
      </w:r>
    </w:p>
    <w:p w14:paraId="5CA3EF76">
      <w:pPr>
        <w:spacing w:line="580" w:lineRule="exact"/>
        <w:ind w:firstLine="640"/>
        <w:jc w:val="both"/>
      </w:pPr>
      <w:r>
        <w:rPr>
          <w:rFonts w:ascii="仿宋_GB2312" w:hAnsi="仿宋_GB2312" w:eastAsia="仿宋_GB2312"/>
          <w:sz w:val="32"/>
        </w:rPr>
        <w:t>托里县巴尔鲁克山林场无下属预算单位，下设3个科室，分别是：办公室、财务室、业务室。</w:t>
      </w:r>
    </w:p>
    <w:p w14:paraId="52764552">
      <w:r>
        <w:br w:type="page"/>
      </w:r>
    </w:p>
    <w:p w14:paraId="1DACD2AB">
      <w:pPr>
        <w:spacing w:line="240" w:lineRule="auto"/>
        <w:jc w:val="center"/>
        <w:outlineLvl w:val="1"/>
      </w:pPr>
      <w:r>
        <w:rPr>
          <w:rFonts w:ascii="黑体" w:hAnsi="黑体" w:eastAsia="黑体"/>
          <w:sz w:val="32"/>
        </w:rPr>
        <w:t>第二部分 部门决算情况说明</w:t>
      </w:r>
    </w:p>
    <w:p w14:paraId="35C0A5F0">
      <w:pPr>
        <w:spacing w:line="640" w:lineRule="exact"/>
        <w:ind w:firstLine="640"/>
        <w:jc w:val="both"/>
        <w:outlineLvl w:val="2"/>
      </w:pPr>
      <w:r>
        <w:rPr>
          <w:rFonts w:ascii="黑体" w:hAnsi="黑体" w:eastAsia="黑体"/>
          <w:sz w:val="32"/>
        </w:rPr>
        <w:t>一、收入支出决算总体情况说明</w:t>
      </w:r>
    </w:p>
    <w:p w14:paraId="72EE70A6">
      <w:pPr>
        <w:spacing w:line="580" w:lineRule="exact"/>
        <w:ind w:firstLine="640"/>
        <w:jc w:val="both"/>
      </w:pPr>
      <w:r>
        <w:rPr>
          <w:rFonts w:ascii="仿宋_GB2312" w:hAnsi="仿宋_GB2312" w:eastAsia="仿宋_GB2312"/>
          <w:b/>
          <w:sz w:val="32"/>
        </w:rPr>
        <w:t>2024年度收入总计449.36万元，</w:t>
      </w:r>
      <w:r>
        <w:rPr>
          <w:rFonts w:ascii="仿宋_GB2312" w:hAnsi="仿宋_GB2312" w:eastAsia="仿宋_GB2312"/>
          <w:b w:val="0"/>
          <w:sz w:val="32"/>
        </w:rPr>
        <w:t>其中：本年收入合计449.36万元，使用非财政拨款结余（含专用结余）0.00万元，年初结转和结余0.00万元。</w:t>
      </w:r>
    </w:p>
    <w:p w14:paraId="1340BBC3">
      <w:pPr>
        <w:spacing w:line="580" w:lineRule="exact"/>
        <w:ind w:firstLine="640"/>
        <w:jc w:val="both"/>
      </w:pPr>
      <w:r>
        <w:rPr>
          <w:rFonts w:ascii="仿宋_GB2312" w:hAnsi="仿宋_GB2312" w:eastAsia="仿宋_GB2312"/>
          <w:b/>
          <w:sz w:val="32"/>
        </w:rPr>
        <w:t>2024年度支出总计449.36万元，</w:t>
      </w:r>
      <w:r>
        <w:rPr>
          <w:rFonts w:ascii="仿宋_GB2312" w:hAnsi="仿宋_GB2312" w:eastAsia="仿宋_GB2312"/>
          <w:b w:val="0"/>
          <w:sz w:val="32"/>
        </w:rPr>
        <w:t>其中：本年支出合计449.35万元，结余分配0.00万元，年末结转和结余0.01万元。</w:t>
      </w:r>
    </w:p>
    <w:p w14:paraId="08EEAE14">
      <w:pPr>
        <w:spacing w:line="580" w:lineRule="exact"/>
        <w:ind w:firstLine="640"/>
        <w:jc w:val="both"/>
      </w:pPr>
      <w:r>
        <w:rPr>
          <w:rFonts w:ascii="仿宋_GB2312" w:hAnsi="仿宋_GB2312" w:eastAsia="仿宋_GB2312"/>
          <w:b w:val="0"/>
          <w:sz w:val="32"/>
        </w:rPr>
        <w:t>收入支出总体与上年相比，增加51.65万元，增长12.99%，主要原因是：本年补发基本工资调标部分资金，补发2017年绩效、2020年下半年绩效及2023年考核奖；本年在职人员工资调增，社保、公积金基数调增，人员经费增加。</w:t>
      </w:r>
    </w:p>
    <w:p w14:paraId="32F677C0">
      <w:pPr>
        <w:spacing w:line="640" w:lineRule="exact"/>
        <w:ind w:firstLine="640"/>
        <w:jc w:val="both"/>
        <w:outlineLvl w:val="2"/>
      </w:pPr>
      <w:r>
        <w:rPr>
          <w:rFonts w:ascii="黑体" w:hAnsi="黑体" w:eastAsia="黑体"/>
          <w:sz w:val="32"/>
        </w:rPr>
        <w:t>二、收入决算情况说明</w:t>
      </w:r>
    </w:p>
    <w:p w14:paraId="45511A55">
      <w:pPr>
        <w:spacing w:line="580" w:lineRule="exact"/>
        <w:ind w:firstLine="640"/>
        <w:jc w:val="both"/>
      </w:pPr>
      <w:r>
        <w:rPr>
          <w:rFonts w:ascii="仿宋_GB2312" w:hAnsi="仿宋_GB2312" w:eastAsia="仿宋_GB2312"/>
          <w:b/>
          <w:sz w:val="32"/>
        </w:rPr>
        <w:t>本年收入449.36万元，</w:t>
      </w:r>
      <w:r>
        <w:rPr>
          <w:rFonts w:ascii="仿宋_GB2312" w:hAnsi="仿宋_GB2312" w:eastAsia="仿宋_GB2312"/>
          <w:b w:val="0"/>
          <w:sz w:val="32"/>
        </w:rPr>
        <w:t>其中：财政拨款收入449.35万元，占100.00%；上级补助收入0.00万元，占0.00%；事业收入0.00万元，占0.00%；经营收入0.00万元，占0.00%；附属单位上缴收入0.00万元，占0.00%；其他收入0.00万元，占0.00%。</w:t>
      </w:r>
    </w:p>
    <w:p w14:paraId="434F4BF4">
      <w:pPr>
        <w:spacing w:line="640" w:lineRule="exact"/>
        <w:ind w:firstLine="640"/>
        <w:jc w:val="both"/>
        <w:outlineLvl w:val="2"/>
      </w:pPr>
      <w:r>
        <w:rPr>
          <w:rFonts w:ascii="黑体" w:hAnsi="黑体" w:eastAsia="黑体"/>
          <w:sz w:val="32"/>
        </w:rPr>
        <w:t>三、支出决算情况说明</w:t>
      </w:r>
    </w:p>
    <w:p w14:paraId="4C02A68F">
      <w:pPr>
        <w:spacing w:line="580" w:lineRule="exact"/>
        <w:ind w:firstLine="640"/>
        <w:jc w:val="both"/>
      </w:pPr>
      <w:r>
        <w:rPr>
          <w:rFonts w:ascii="仿宋_GB2312" w:hAnsi="仿宋_GB2312" w:eastAsia="仿宋_GB2312"/>
          <w:b/>
          <w:sz w:val="32"/>
        </w:rPr>
        <w:t>本年支出449.35万元，</w:t>
      </w:r>
      <w:r>
        <w:rPr>
          <w:rFonts w:ascii="仿宋_GB2312" w:hAnsi="仿宋_GB2312" w:eastAsia="仿宋_GB2312"/>
          <w:b w:val="0"/>
          <w:sz w:val="32"/>
        </w:rPr>
        <w:t>其中：基本支出446.85万元，占99.44%；项目支出2.50万元，占0.56%；上缴上级支出0.00万元，占0.00%；经营支出0.00万元，占0.00%；对附属单位补助支出0.00万元，占0.00%。</w:t>
      </w:r>
    </w:p>
    <w:p w14:paraId="67970E3D">
      <w:pPr>
        <w:spacing w:line="640" w:lineRule="exact"/>
        <w:ind w:firstLine="640"/>
        <w:jc w:val="both"/>
        <w:outlineLvl w:val="2"/>
      </w:pPr>
      <w:r>
        <w:rPr>
          <w:rFonts w:ascii="黑体" w:hAnsi="黑体" w:eastAsia="黑体"/>
          <w:sz w:val="32"/>
        </w:rPr>
        <w:t>四、财政拨款收入支出决算总体情况说明</w:t>
      </w:r>
    </w:p>
    <w:p w14:paraId="0F1A092B">
      <w:pPr>
        <w:spacing w:line="580" w:lineRule="exact"/>
        <w:ind w:firstLine="640"/>
        <w:jc w:val="both"/>
      </w:pPr>
      <w:r>
        <w:rPr>
          <w:rFonts w:ascii="仿宋_GB2312" w:hAnsi="仿宋_GB2312" w:eastAsia="仿宋_GB2312"/>
          <w:b/>
          <w:sz w:val="32"/>
        </w:rPr>
        <w:t>2024年度财政拨款收入总计449.35万元，</w:t>
      </w:r>
      <w:r>
        <w:rPr>
          <w:rFonts w:ascii="仿宋_GB2312" w:hAnsi="仿宋_GB2312" w:eastAsia="仿宋_GB2312"/>
          <w:b w:val="0"/>
          <w:sz w:val="32"/>
        </w:rPr>
        <w:t>其中：年初财政拨款结转和结余0.00万元，本年财政拨款收入449.35万元。</w:t>
      </w:r>
      <w:r>
        <w:rPr>
          <w:rFonts w:ascii="仿宋_GB2312" w:hAnsi="仿宋_GB2312" w:eastAsia="仿宋_GB2312"/>
          <w:b/>
          <w:sz w:val="32"/>
        </w:rPr>
        <w:t>财政拨款支出总计449.35万元，</w:t>
      </w:r>
      <w:r>
        <w:rPr>
          <w:rFonts w:ascii="仿宋_GB2312" w:hAnsi="仿宋_GB2312" w:eastAsia="仿宋_GB2312"/>
          <w:b w:val="0"/>
          <w:sz w:val="32"/>
        </w:rPr>
        <w:t>其中：年末财政拨款结转和结余0.00万元，本年财政拨款支出449.35万元。</w:t>
      </w:r>
    </w:p>
    <w:p w14:paraId="362336E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增加51.65万元，增长12.99%，主要原因是：本年补发基本工资调标部分资金，补发2017年绩效、2020年下半年绩效及2023年考核奖；本年在职人员工资调增，社保、公积金基数调增，人员经费增加。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年初预算数425.01万元，决算数449.35万元，预决算差异率5.73%，主要原因是：年中追加2017年绩效工资、2020年下半年绩效；年中追加人员工资、社保、公积金基数调增部分资金，导致预决算存在差异。</w:t>
      </w:r>
    </w:p>
    <w:p w14:paraId="187CF6B0">
      <w:pPr>
        <w:spacing w:line="640" w:lineRule="exact"/>
        <w:ind w:firstLine="640"/>
        <w:jc w:val="both"/>
        <w:outlineLvl w:val="2"/>
      </w:pPr>
      <w:r>
        <w:rPr>
          <w:rFonts w:ascii="黑体" w:hAnsi="黑体" w:eastAsia="黑体"/>
          <w:sz w:val="32"/>
        </w:rPr>
        <w:t>五、一般公共预算财政拨款支出决算情况说明</w:t>
      </w:r>
    </w:p>
    <w:p w14:paraId="2B23BC16">
      <w:pPr>
        <w:spacing w:line="640" w:lineRule="exact"/>
        <w:ind w:firstLine="640"/>
        <w:jc w:val="both"/>
        <w:outlineLvl w:val="3"/>
      </w:pPr>
      <w:r>
        <w:rPr>
          <w:rFonts w:ascii="楷体_GB2312" w:hAnsi="楷体_GB2312" w:eastAsia="楷体_GB2312"/>
          <w:b/>
          <w:sz w:val="32"/>
        </w:rPr>
        <w:t>（一）一般公共预算财政拨款支出决算总体情况</w:t>
      </w:r>
    </w:p>
    <w:p w14:paraId="3AB0930E">
      <w:pPr>
        <w:spacing w:line="580" w:lineRule="exact"/>
        <w:ind w:firstLine="640"/>
        <w:jc w:val="both"/>
      </w:pPr>
      <w:r>
        <w:rPr>
          <w:rFonts w:ascii="仿宋_GB2312" w:hAnsi="仿宋_GB2312" w:eastAsia="仿宋_GB2312"/>
          <w:b/>
          <w:sz w:val="32"/>
        </w:rPr>
        <w:t>2024年度一般公共预算财政拨款支出449.35万元，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增加51.65万元，增长12.99%，主要原因是：本年补发基本工资调标部分资金，补发2017年绩效、2020年下半年绩效及2023年考核奖；本年在职人员工资调增，社保、公积金基数调增，人员经费增加。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年初预算数425.01万元，决算数449.35万元，预决算差异率5.73%，主要原因是：年中追加2017年绩效工资、2020年下半年绩效；年中追加人员工资、社保、公积金基数调增部分资金，导致预决算存在差异。</w:t>
      </w:r>
    </w:p>
    <w:p w14:paraId="24F8FB38">
      <w:pPr>
        <w:spacing w:line="640" w:lineRule="exact"/>
        <w:ind w:firstLine="640"/>
        <w:jc w:val="both"/>
        <w:outlineLvl w:val="3"/>
      </w:pPr>
      <w:r>
        <w:rPr>
          <w:rFonts w:ascii="楷体_GB2312" w:hAnsi="楷体_GB2312" w:eastAsia="楷体_GB2312"/>
          <w:b/>
          <w:sz w:val="32"/>
        </w:rPr>
        <w:t>（二）一般公共预算财政拨款支出决算结构情况</w:t>
      </w:r>
    </w:p>
    <w:p w14:paraId="51910A77">
      <w:pPr>
        <w:spacing w:line="580" w:lineRule="exact"/>
        <w:ind w:firstLine="640"/>
        <w:jc w:val="both"/>
      </w:pPr>
      <w:r>
        <w:rPr>
          <w:rFonts w:ascii="仿宋_GB2312" w:hAnsi="仿宋_GB2312" w:eastAsia="仿宋_GB2312"/>
          <w:b w:val="0"/>
          <w:sz w:val="32"/>
        </w:rPr>
        <w:t>1.文化旅游体育与传媒支出(类)2.50万元,占0.56%。</w:t>
      </w:r>
    </w:p>
    <w:p w14:paraId="79C66F0D">
      <w:pPr>
        <w:spacing w:line="580" w:lineRule="exact"/>
        <w:ind w:firstLine="640"/>
        <w:jc w:val="both"/>
      </w:pPr>
      <w:r>
        <w:rPr>
          <w:rFonts w:ascii="仿宋_GB2312" w:hAnsi="仿宋_GB2312" w:eastAsia="仿宋_GB2312"/>
          <w:b w:val="0"/>
          <w:sz w:val="32"/>
        </w:rPr>
        <w:t>2.社会保障和就业支出(类)48.37万元,占10.76%。</w:t>
      </w:r>
    </w:p>
    <w:p w14:paraId="78DCAEA2">
      <w:pPr>
        <w:spacing w:line="580" w:lineRule="exact"/>
        <w:ind w:firstLine="640"/>
        <w:jc w:val="both"/>
      </w:pPr>
      <w:r>
        <w:rPr>
          <w:rFonts w:ascii="仿宋_GB2312" w:hAnsi="仿宋_GB2312" w:eastAsia="仿宋_GB2312"/>
          <w:b w:val="0"/>
          <w:sz w:val="32"/>
        </w:rPr>
        <w:t>3.卫生健康支出(类)16.87万元,占3.75%。</w:t>
      </w:r>
    </w:p>
    <w:p w14:paraId="374381F7">
      <w:pPr>
        <w:spacing w:line="580" w:lineRule="exact"/>
        <w:ind w:firstLine="640"/>
        <w:jc w:val="both"/>
      </w:pPr>
      <w:r>
        <w:rPr>
          <w:rFonts w:ascii="仿宋_GB2312" w:hAnsi="仿宋_GB2312" w:eastAsia="仿宋_GB2312"/>
          <w:b w:val="0"/>
          <w:sz w:val="32"/>
        </w:rPr>
        <w:t>4.农林水支出(类)348.23万元,占77.50%。</w:t>
      </w:r>
    </w:p>
    <w:p w14:paraId="25B62E27">
      <w:pPr>
        <w:spacing w:line="580" w:lineRule="exact"/>
        <w:ind w:firstLine="640"/>
        <w:jc w:val="both"/>
      </w:pPr>
      <w:r>
        <w:rPr>
          <w:rFonts w:ascii="仿宋_GB2312" w:hAnsi="仿宋_GB2312" w:eastAsia="仿宋_GB2312"/>
          <w:b w:val="0"/>
          <w:sz w:val="32"/>
        </w:rPr>
        <w:t>5.住房保障支出(类)33.38万元,占7.43%。</w:t>
      </w:r>
    </w:p>
    <w:p w14:paraId="6D55FF61">
      <w:pPr>
        <w:spacing w:line="640" w:lineRule="exact"/>
        <w:ind w:firstLine="640"/>
        <w:jc w:val="both"/>
        <w:outlineLvl w:val="3"/>
      </w:pPr>
      <w:r>
        <w:rPr>
          <w:rFonts w:ascii="楷体_GB2312" w:hAnsi="楷体_GB2312" w:eastAsia="楷体_GB2312"/>
          <w:b/>
          <w:sz w:val="32"/>
        </w:rPr>
        <w:t>（三）一般公共预算财政拨款支出决算具体情况</w:t>
      </w:r>
    </w:p>
    <w:p w14:paraId="1DBB112E">
      <w:pPr>
        <w:spacing w:line="580" w:lineRule="exact"/>
        <w:ind w:firstLine="640"/>
        <w:jc w:val="both"/>
      </w:pPr>
      <w:r>
        <w:rPr>
          <w:rFonts w:ascii="仿宋_GB2312" w:hAnsi="仿宋_GB2312" w:eastAsia="仿宋_GB2312"/>
          <w:b w:val="0"/>
          <w:sz w:val="32"/>
        </w:rPr>
        <w:t>1.文化旅游体育与传媒支出(类)文化和旅游(款)其他文化和旅游支出(项):支出决算数为2.50万元，比上年决算减少0.45万元，下降15.25%,主要原因是：本年中央补助地方美术馆、公共图书馆、文化馆[站]免费开放补助资金（中央和自治区）项目资金较上年减少。</w:t>
      </w:r>
    </w:p>
    <w:p w14:paraId="650DDC60">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2.社会保障和就业支出(类)行政事业单位养老支出(款)事业单位离退休(项):支出决算数为8.15万元，比上年决算增加2.13万元，增长35.38%,主要原因是：本年增加退休人员基础绩效奖，退休费支出增加。</w:t>
      </w:r>
    </w:p>
    <w:p w14:paraId="53BEA69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40.23万元，比上年决算增加3.01万元，增长8.09%,主要原因是：本年在职人员工资基数调增，养老缴费基数上涨，相应支出增加。</w:t>
      </w:r>
    </w:p>
    <w:p w14:paraId="7EDD0077">
      <w:pPr>
        <w:spacing w:line="580" w:lineRule="exact"/>
        <w:ind w:firstLine="640"/>
        <w:jc w:val="both"/>
      </w:pPr>
      <w:r>
        <w:rPr>
          <w:rFonts w:ascii="仿宋_GB2312" w:hAnsi="仿宋_GB2312" w:eastAsia="仿宋_GB2312"/>
          <w:b w:val="0"/>
          <w:sz w:val="32"/>
        </w:rPr>
        <w:t>4.卫生健康支出(类)行政事业单位医疗(款)事业单位医疗(项):支出决算数为16.87万元，比上年决算增加0.02万元，增长0.12%,主要原因是：本年在职人员工资基数调增，医疗缴费基数上涨，相应支出增加。</w:t>
      </w:r>
    </w:p>
    <w:p w14:paraId="1F5EEF59">
      <w:pPr>
        <w:spacing w:line="580" w:lineRule="exact"/>
        <w:ind w:firstLine="640"/>
        <w:jc w:val="both"/>
      </w:pPr>
      <w:r>
        <w:rPr>
          <w:rFonts w:ascii="仿宋_GB2312" w:hAnsi="仿宋_GB2312" w:eastAsia="仿宋_GB2312"/>
          <w:b w:val="0"/>
          <w:sz w:val="32"/>
        </w:rPr>
        <w:t>5.农林水支出(类)林业和草原(款)事业机构(项):支出决算数为348.23万元，比上年决算增加43.94万元，增长14.44%,主要原因是：本年补发基本工资调标部分资金，补发2017年绩效、2020年下半年绩效及2023年考核奖；本年在职人员工资基数调增，相关人员经费增加。</w:t>
      </w:r>
    </w:p>
    <w:p w14:paraId="1C0F350A">
      <w:pPr>
        <w:spacing w:line="580" w:lineRule="exact"/>
        <w:ind w:firstLine="640"/>
        <w:jc w:val="both"/>
      </w:pPr>
      <w:r>
        <w:rPr>
          <w:rFonts w:ascii="仿宋_GB2312" w:hAnsi="仿宋_GB2312" w:eastAsia="仿宋_GB2312"/>
          <w:b w:val="0"/>
          <w:sz w:val="32"/>
        </w:rPr>
        <w:t>6.住房保障支出(类)住房改革支出(款)住房公积金(项):支出决算数为33.38万元，比上年决算增加3.00万元，增长9.87%,主要原因是：本年在职人员工资基数调增，公积金缴费基数上涨，相应支出增加。</w:t>
      </w:r>
    </w:p>
    <w:p w14:paraId="00CDA529">
      <w:pPr>
        <w:spacing w:line="640" w:lineRule="exact"/>
        <w:ind w:firstLine="640"/>
        <w:jc w:val="both"/>
        <w:outlineLvl w:val="2"/>
      </w:pPr>
      <w:r>
        <w:rPr>
          <w:rFonts w:ascii="黑体" w:hAnsi="黑体" w:eastAsia="黑体"/>
          <w:sz w:val="32"/>
        </w:rPr>
        <w:t>六、一般公共预算财政拨款基本支出决算情况说明</w:t>
      </w:r>
    </w:p>
    <w:p w14:paraId="41E3CFAD">
      <w:pPr>
        <w:spacing w:line="580" w:lineRule="exact"/>
        <w:ind w:firstLine="640"/>
        <w:jc w:val="both"/>
      </w:pPr>
      <w:r>
        <w:rPr>
          <w:rFonts w:ascii="仿宋_GB2312" w:hAnsi="仿宋_GB2312" w:eastAsia="仿宋_GB2312"/>
          <w:b w:val="0"/>
          <w:sz w:val="32"/>
        </w:rPr>
        <w:t>2024年度一般公共预算财政拨款基本支出446.85万元，其中：</w:t>
      </w:r>
      <w:r>
        <w:rPr>
          <w:rFonts w:ascii="仿宋_GB2312" w:hAnsi="仿宋_GB2312" w:eastAsia="仿宋_GB2312"/>
          <w:b/>
          <w:sz w:val="32"/>
        </w:rPr>
        <w:t>人员经费435.30万元，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14:paraId="3AC5D6AB">
      <w:pPr>
        <w:spacing w:line="580" w:lineRule="exact"/>
        <w:ind w:firstLine="640"/>
        <w:jc w:val="both"/>
      </w:pPr>
      <w:r>
        <w:rPr>
          <w:rFonts w:ascii="仿宋_GB2312" w:hAnsi="仿宋_GB2312" w:eastAsia="仿宋_GB2312"/>
          <w:b/>
          <w:sz w:val="32"/>
        </w:rPr>
        <w:t>公用经费11.55万元，</w:t>
      </w:r>
      <w:r>
        <w:rPr>
          <w:rFonts w:ascii="仿宋_GB2312" w:hAnsi="仿宋_GB2312" w:eastAsia="仿宋_GB2312"/>
          <w:b w:val="0"/>
          <w:sz w:val="32"/>
        </w:rPr>
        <w:t>包括：办公费、印刷费、水费、电费、邮电费、取暖费、维修（护）费、专用材料费、工会经费、公务用车运行维护费、其他交通费用、办公设备购置。</w:t>
      </w:r>
    </w:p>
    <w:p w14:paraId="1B360686">
      <w:pPr>
        <w:spacing w:line="640" w:lineRule="exact"/>
        <w:ind w:firstLine="640"/>
        <w:jc w:val="both"/>
        <w:outlineLvl w:val="2"/>
      </w:pPr>
      <w:r>
        <w:rPr>
          <w:rFonts w:ascii="黑体" w:hAnsi="黑体" w:eastAsia="黑体"/>
          <w:sz w:val="32"/>
        </w:rPr>
        <w:t>七、政府性基金预算财政拨款收入支出决算情况说明</w:t>
      </w:r>
    </w:p>
    <w:p w14:paraId="5674E88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8C9610">
      <w:pPr>
        <w:spacing w:line="640" w:lineRule="exact"/>
        <w:ind w:firstLine="640"/>
        <w:jc w:val="both"/>
        <w:outlineLvl w:val="2"/>
      </w:pPr>
      <w:r>
        <w:rPr>
          <w:rFonts w:ascii="黑体" w:hAnsi="黑体" w:eastAsia="黑体"/>
          <w:sz w:val="32"/>
        </w:rPr>
        <w:t>八、国有资本经营预算财政拨款收入支出决算情况说明</w:t>
      </w:r>
    </w:p>
    <w:p w14:paraId="7EBDA7C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2AB6F1F">
      <w:pPr>
        <w:spacing w:line="640" w:lineRule="exact"/>
        <w:ind w:firstLine="640"/>
        <w:jc w:val="both"/>
        <w:outlineLvl w:val="2"/>
      </w:pPr>
      <w:r>
        <w:rPr>
          <w:rFonts w:ascii="黑体" w:hAnsi="黑体" w:eastAsia="黑体"/>
          <w:sz w:val="32"/>
        </w:rPr>
        <w:t>九、财政拨款“三公”经费支出决算情况说明</w:t>
      </w:r>
    </w:p>
    <w:p w14:paraId="654DBA24">
      <w:pPr>
        <w:spacing w:line="580" w:lineRule="exact"/>
        <w:ind w:firstLine="640"/>
        <w:jc w:val="both"/>
      </w:pPr>
      <w:r>
        <w:rPr>
          <w:rFonts w:ascii="仿宋_GB2312" w:hAnsi="仿宋_GB2312" w:eastAsia="仿宋_GB2312"/>
          <w:b/>
          <w:sz w:val="32"/>
        </w:rPr>
        <w:t>2024年度财政拨款“三公”经费支出0.27万元，</w:t>
      </w:r>
      <w:r>
        <w:rPr>
          <w:rFonts w:ascii="仿宋_GB2312" w:hAnsi="仿宋_GB2312" w:eastAsia="仿宋_GB2312"/>
          <w:b w:val="0"/>
          <w:sz w:val="32"/>
        </w:rPr>
        <w:t>比上年增加0.23万元，增长575.00%，主要原因是：因业务需求，借用自然资源局车辆，本年增加燃料费、车辆年审费、保险费。其中：因公出国（境）费支出0.00万元，占0.00%，比上年增加0.00万元，增长0.00%，主要原因是：2023年与2024年均未安排因公出国（境）费支出。公务用车购置及运行维护费支出0.27万元，占100.00%，比上年增加0.23万元，增长575.00%，主要原因是：因业务需求，借用自然资源局车辆，本年增加燃料费、车辆年审费、保险费。公务接待费支出0.00万元，占0.00%，比上年增加0.00万元，增长0.00%，主要原因是：2023年与2024年均未安排公务接待费支出。</w:t>
      </w:r>
    </w:p>
    <w:p w14:paraId="22F3EE4F">
      <w:pPr>
        <w:spacing w:line="580" w:lineRule="exact"/>
        <w:ind w:firstLine="640"/>
        <w:jc w:val="both"/>
      </w:pPr>
      <w:r>
        <w:rPr>
          <w:rFonts w:ascii="仿宋_GB2312" w:hAnsi="仿宋_GB2312" w:eastAsia="仿宋_GB2312"/>
          <w:b/>
          <w:sz w:val="32"/>
        </w:rPr>
        <w:t>具体情况如下：</w:t>
      </w:r>
    </w:p>
    <w:p w14:paraId="3F89C4D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0604CA">
      <w:pPr>
        <w:spacing w:line="580" w:lineRule="exact"/>
        <w:ind w:firstLine="640"/>
        <w:jc w:val="both"/>
      </w:pPr>
      <w:r>
        <w:rPr>
          <w:rFonts w:ascii="仿宋_GB2312" w:hAnsi="仿宋_GB2312" w:eastAsia="仿宋_GB2312"/>
          <w:b w:val="0"/>
          <w:sz w:val="32"/>
        </w:rPr>
        <w:t>公务用车购置及运行维护费0.27万元，其中：公务用车购置费0.00万元，公务用车运行维护费0.27万元。公务用车运行维护费开支内容包括车辆加油费、维修费、保险费、审车费、过路费等。公务用车购置数0辆，公务用车保有量1辆。国有资产占用情况中固定资产车辆0辆，与公务用车保有量差异原因是：借用其他单位车辆，车辆费用由本单位支付。</w:t>
      </w:r>
    </w:p>
    <w:p w14:paraId="6F986BE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86494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0.27万元，决算数0.27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0.27万元，决算数0.27万元，预决算差异率0.00%，主要原因是：严格按照预算执行，预决算无差异。公务接待费全年预算数0.00万元，决算数0.00万元，预决算差异率0.00%，主要原因是：本单位无公务接待费。</w:t>
      </w:r>
    </w:p>
    <w:p w14:paraId="5EF4EC53">
      <w:pPr>
        <w:spacing w:line="640" w:lineRule="exact"/>
        <w:ind w:firstLine="640"/>
        <w:jc w:val="both"/>
        <w:outlineLvl w:val="2"/>
      </w:pPr>
      <w:r>
        <w:rPr>
          <w:rFonts w:ascii="黑体" w:hAnsi="黑体" w:eastAsia="黑体"/>
          <w:sz w:val="32"/>
        </w:rPr>
        <w:t>十、其他重要事项的情况说明</w:t>
      </w:r>
    </w:p>
    <w:p w14:paraId="3A8B2939">
      <w:pPr>
        <w:spacing w:line="640" w:lineRule="exact"/>
        <w:ind w:firstLine="640"/>
        <w:jc w:val="both"/>
        <w:outlineLvl w:val="3"/>
      </w:pPr>
      <w:r>
        <w:rPr>
          <w:rFonts w:ascii="楷体_GB2312" w:hAnsi="楷体_GB2312" w:eastAsia="楷体_GB2312"/>
          <w:b/>
          <w:sz w:val="32"/>
        </w:rPr>
        <w:t>（一）机关运行经费及公用经费支出情况</w:t>
      </w:r>
    </w:p>
    <w:p w14:paraId="63E29A3B">
      <w:pPr>
        <w:spacing w:line="580" w:lineRule="exact"/>
        <w:ind w:firstLine="640"/>
        <w:jc w:val="both"/>
      </w:pPr>
      <w:r>
        <w:rPr>
          <w:rFonts w:ascii="仿宋_GB2312" w:hAnsi="仿宋_GB2312" w:eastAsia="仿宋_GB2312"/>
          <w:b w:val="0"/>
          <w:sz w:val="32"/>
        </w:rPr>
        <w:t>2024年度托里县巴尔鲁克山林场（事业单位）公用经费支出11.55万元，比上年减少4.</w:t>
      </w:r>
      <w:bookmarkStart w:id="0" w:name="_GoBack"/>
      <w:r>
        <w:rPr>
          <w:rFonts w:ascii="仿宋_GB2312" w:hAnsi="仿宋_GB2312" w:eastAsia="仿宋_GB2312"/>
          <w:b w:val="0"/>
          <w:sz w:val="32"/>
        </w:rPr>
        <w:t>28万元，下降27.04%，主要原因是：严控经费支出，厉行节约，减少</w:t>
      </w:r>
      <w:r>
        <w:rPr>
          <w:rFonts w:hint="eastAsia" w:ascii="仿宋_GB2312" w:hAnsi="仿宋_GB2312" w:eastAsia="仿宋_GB2312"/>
          <w:b w:val="0"/>
          <w:sz w:val="32"/>
          <w:lang w:val="en-US" w:eastAsia="zh-CN"/>
        </w:rPr>
        <w:t>办公</w:t>
      </w:r>
      <w:r>
        <w:rPr>
          <w:rFonts w:ascii="仿宋_GB2312" w:hAnsi="仿宋_GB2312" w:eastAsia="仿宋_GB2312"/>
          <w:b w:val="0"/>
          <w:sz w:val="32"/>
        </w:rPr>
        <w:t>经费支出</w:t>
      </w:r>
      <w:bookmarkEnd w:id="0"/>
      <w:r>
        <w:rPr>
          <w:rFonts w:ascii="仿宋_GB2312" w:hAnsi="仿宋_GB2312" w:eastAsia="仿宋_GB2312"/>
          <w:b w:val="0"/>
          <w:sz w:val="32"/>
        </w:rPr>
        <w:t>。</w:t>
      </w:r>
    </w:p>
    <w:p w14:paraId="69B2E138">
      <w:pPr>
        <w:spacing w:line="640" w:lineRule="exact"/>
        <w:ind w:firstLine="640"/>
        <w:jc w:val="both"/>
        <w:outlineLvl w:val="3"/>
      </w:pPr>
      <w:r>
        <w:rPr>
          <w:rFonts w:ascii="楷体_GB2312" w:hAnsi="楷体_GB2312" w:eastAsia="楷体_GB2312"/>
          <w:b/>
          <w:sz w:val="32"/>
        </w:rPr>
        <w:t>（二）政府采购情况</w:t>
      </w:r>
    </w:p>
    <w:p w14:paraId="53091544">
      <w:pPr>
        <w:spacing w:line="580" w:lineRule="exact"/>
        <w:ind w:firstLine="640"/>
        <w:jc w:val="both"/>
      </w:pPr>
      <w:r>
        <w:rPr>
          <w:rFonts w:ascii="仿宋_GB2312" w:hAnsi="仿宋_GB2312" w:eastAsia="仿宋_GB2312"/>
          <w:b w:val="0"/>
          <w:sz w:val="32"/>
        </w:rPr>
        <w:t>2024年度政府采购支出总额9.47万元，其中：政府采购货物支出8.24万元、政府采购工程支出0.00万元、政府采购服务支出1.22万元。</w:t>
      </w:r>
    </w:p>
    <w:p w14:paraId="10E2E769">
      <w:pPr>
        <w:spacing w:line="580" w:lineRule="exact"/>
        <w:ind w:firstLine="640"/>
        <w:jc w:val="both"/>
      </w:pPr>
      <w:r>
        <w:rPr>
          <w:rFonts w:ascii="仿宋_GB2312" w:hAnsi="仿宋_GB2312" w:eastAsia="仿宋_GB2312"/>
          <w:b w:val="0"/>
          <w:sz w:val="32"/>
        </w:rPr>
        <w:t>授予中小企业合同金额8.22万元，占政府采购支出总额的86.80%，其中：授予小微企业合同金额6.72万元，占政府采购支出总额的70.96%。</w:t>
      </w:r>
    </w:p>
    <w:p w14:paraId="29AEF8CF">
      <w:pPr>
        <w:spacing w:line="640" w:lineRule="exact"/>
        <w:ind w:firstLine="640"/>
        <w:jc w:val="both"/>
        <w:outlineLvl w:val="3"/>
      </w:pPr>
      <w:r>
        <w:rPr>
          <w:rFonts w:ascii="楷体_GB2312" w:hAnsi="楷体_GB2312" w:eastAsia="楷体_GB2312"/>
          <w:b/>
          <w:sz w:val="32"/>
        </w:rPr>
        <w:t>（三）国有资产占用情况说明</w:t>
      </w:r>
    </w:p>
    <w:p w14:paraId="74602685">
      <w:pPr>
        <w:spacing w:line="580" w:lineRule="exact"/>
        <w:ind w:firstLine="640"/>
        <w:jc w:val="both"/>
      </w:pPr>
      <w:r>
        <w:rPr>
          <w:rFonts w:ascii="仿宋_GB2312" w:hAnsi="仿宋_GB2312" w:eastAsia="仿宋_GB2312"/>
          <w:b w:val="0"/>
          <w:sz w:val="32"/>
        </w:rPr>
        <w:t>截至2024年12月31日，房屋340.00平方米，价值5.23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EBA2BA1">
      <w:pPr>
        <w:spacing w:line="640" w:lineRule="exact"/>
        <w:ind w:firstLine="640"/>
        <w:jc w:val="both"/>
        <w:outlineLvl w:val="2"/>
      </w:pPr>
      <w:r>
        <w:rPr>
          <w:rFonts w:ascii="黑体" w:hAnsi="黑体" w:eastAsia="黑体"/>
          <w:sz w:val="32"/>
        </w:rPr>
        <w:t>十一、预算绩效的情况说明</w:t>
      </w:r>
    </w:p>
    <w:p w14:paraId="1B3CEE6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449.35万元，实际执行总额449.35万元；预算绩效评价项目1个，全年预算数2.50万元，全年执行数2.50万元。预算绩效管理取得的成效：一是资金使用效益显著提升。扭转了“重投入、轻产出”的倾向，通过设定清晰的绩效目标，让资金投向更精准，避免了闲置、浪费等问题。二是结合具体任务细化支出，更贴合实际需求，确保资金按计划使用，减少了超支情况。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资产管理方面。资产管理制度不规范、不完整。下一步改进措施：一是建议以规章规则的形式，出台绩效管理制度，对绩效管理的目的、意义、性质和特点，以及组织实施绩效管理的程序、步骤、方法、原则和要求进行统一的规定。二是合理设置年度任务。提高各处室对科室中长期规划的重视程度，增强相关规划的落地性、导向性。三是探索符合科室工作特点的评价指标体系。在设定绩效目标时选取相关性强的量化指标，并注重选取符合实际工作情况的指标值。具体附整体支出绩效自评表，项目支出绩效自评表和评价报告。</w:t>
      </w:r>
    </w:p>
    <w:p w14:paraId="6BF4AD4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532E242">
        <w:tblPrEx>
          <w:tblCellMar>
            <w:top w:w="0" w:type="dxa"/>
            <w:left w:w="108" w:type="dxa"/>
            <w:bottom w:w="0" w:type="dxa"/>
            <w:right w:w="108" w:type="dxa"/>
          </w:tblCellMar>
        </w:tblPrEx>
        <w:tc>
          <w:tcPr>
            <w:tcW w:w="8840" w:type="dxa"/>
            <w:gridSpan w:val="8"/>
            <w:vAlign w:val="center"/>
          </w:tcPr>
          <w:p w14:paraId="6102A58A">
            <w:pPr>
              <w:jc w:val="center"/>
            </w:pPr>
            <w:r>
              <w:rPr>
                <w:rFonts w:ascii="宋体" w:hAnsi="宋体" w:eastAsia="宋体"/>
                <w:sz w:val="24"/>
              </w:rPr>
              <w:t>单位整体支出绩效自评表</w:t>
            </w:r>
          </w:p>
        </w:tc>
      </w:tr>
      <w:tr w14:paraId="6DBC064C">
        <w:tblPrEx>
          <w:tblCellMar>
            <w:top w:w="0" w:type="dxa"/>
            <w:left w:w="108" w:type="dxa"/>
            <w:bottom w:w="0" w:type="dxa"/>
            <w:right w:w="108" w:type="dxa"/>
          </w:tblCellMar>
        </w:tblPrEx>
        <w:tc>
          <w:tcPr>
            <w:tcW w:w="8840" w:type="dxa"/>
            <w:gridSpan w:val="8"/>
            <w:vAlign w:val="center"/>
          </w:tcPr>
          <w:p w14:paraId="72B9711C">
            <w:pPr>
              <w:jc w:val="center"/>
            </w:pPr>
            <w:r>
              <w:rPr>
                <w:rFonts w:ascii="宋体" w:hAnsi="宋体" w:eastAsia="宋体"/>
                <w:sz w:val="24"/>
              </w:rPr>
              <w:t>（2024年度）</w:t>
            </w:r>
          </w:p>
        </w:tc>
      </w:tr>
      <w:tr w14:paraId="21E67F1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C66F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11DFD">
            <w:pPr>
              <w:jc w:val="center"/>
            </w:pPr>
            <w:r>
              <w:rPr>
                <w:rFonts w:ascii="宋体" w:hAnsi="宋体" w:eastAsia="宋体"/>
                <w:sz w:val="16"/>
              </w:rPr>
              <w:t>托里县巴尔鲁克山林场</w:t>
            </w:r>
          </w:p>
        </w:tc>
      </w:tr>
      <w:tr w14:paraId="7D133F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B7D6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660F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88FC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F8ACE">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979B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22A0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C618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72707">
            <w:pPr>
              <w:jc w:val="center"/>
            </w:pPr>
            <w:r>
              <w:rPr>
                <w:rFonts w:ascii="宋体" w:hAnsi="宋体" w:eastAsia="宋体"/>
                <w:sz w:val="16"/>
              </w:rPr>
              <w:t>得分</w:t>
            </w:r>
          </w:p>
        </w:tc>
      </w:tr>
      <w:tr w14:paraId="0422C5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458E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4AF8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F94BB">
            <w:pPr>
              <w:jc w:val="center"/>
            </w:pPr>
            <w:r>
              <w:rPr>
                <w:rFonts w:ascii="宋体" w:hAnsi="宋体" w:eastAsia="宋体"/>
                <w:sz w:val="16"/>
              </w:rPr>
              <w:t>425.01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CF42D">
            <w:pPr>
              <w:jc w:val="center"/>
            </w:pPr>
            <w:r>
              <w:rPr>
                <w:rFonts w:ascii="宋体" w:hAnsi="宋体" w:eastAsia="宋体"/>
                <w:sz w:val="16"/>
              </w:rPr>
              <w:t>449.35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AABE8">
            <w:pPr>
              <w:jc w:val="center"/>
            </w:pPr>
            <w:r>
              <w:rPr>
                <w:rFonts w:ascii="宋体" w:hAnsi="宋体" w:eastAsia="宋体"/>
                <w:sz w:val="16"/>
              </w:rPr>
              <w:t>449.35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FD28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2B4D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D9C00">
            <w:pPr>
              <w:jc w:val="center"/>
            </w:pPr>
            <w:r>
              <w:rPr>
                <w:rFonts w:ascii="宋体" w:hAnsi="宋体" w:eastAsia="宋体"/>
                <w:sz w:val="16"/>
              </w:rPr>
              <w:t>10</w:t>
            </w:r>
          </w:p>
        </w:tc>
      </w:tr>
      <w:tr w14:paraId="586F01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CA6B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3C357">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FF543">
            <w:pPr>
              <w:jc w:val="center"/>
            </w:pPr>
            <w:r>
              <w:rPr>
                <w:rFonts w:ascii="宋体" w:hAnsi="宋体" w:eastAsia="宋体"/>
                <w:sz w:val="16"/>
              </w:rPr>
              <w:t>4.55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363D9">
            <w:pPr>
              <w:jc w:val="center"/>
            </w:pPr>
            <w:r>
              <w:rPr>
                <w:rFonts w:ascii="宋体" w:hAnsi="宋体" w:eastAsia="宋体"/>
                <w:sz w:val="16"/>
              </w:rPr>
              <w:t>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10B23">
            <w:pPr>
              <w:jc w:val="center"/>
            </w:pPr>
            <w:r>
              <w:rPr>
                <w:rFonts w:ascii="宋体" w:hAnsi="宋体" w:eastAsia="宋体"/>
                <w:sz w:val="16"/>
              </w:rPr>
              <w:t>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BDEA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9551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7FF14">
            <w:pPr>
              <w:jc w:val="center"/>
            </w:pPr>
            <w:r>
              <w:rPr>
                <w:rFonts w:ascii="宋体" w:hAnsi="宋体" w:eastAsia="宋体"/>
                <w:sz w:val="16"/>
              </w:rPr>
              <w:t>-</w:t>
            </w:r>
          </w:p>
        </w:tc>
      </w:tr>
      <w:tr w14:paraId="02301A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4C8C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31479">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7126A">
            <w:pPr>
              <w:jc w:val="center"/>
            </w:pPr>
            <w:r>
              <w:rPr>
                <w:rFonts w:ascii="宋体" w:hAnsi="宋体" w:eastAsia="宋体"/>
                <w:sz w:val="16"/>
              </w:rPr>
              <w:t>420.46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80506">
            <w:pPr>
              <w:jc w:val="center"/>
            </w:pPr>
            <w:r>
              <w:rPr>
                <w:rFonts w:ascii="宋体" w:hAnsi="宋体" w:eastAsia="宋体"/>
                <w:sz w:val="16"/>
              </w:rPr>
              <w:t>446.85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FDCDC">
            <w:pPr>
              <w:jc w:val="center"/>
            </w:pPr>
            <w:r>
              <w:rPr>
                <w:rFonts w:ascii="宋体" w:hAnsi="宋体" w:eastAsia="宋体"/>
                <w:sz w:val="16"/>
              </w:rPr>
              <w:t>446.85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063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5A8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0ED3F">
            <w:pPr>
              <w:jc w:val="center"/>
            </w:pPr>
            <w:r>
              <w:rPr>
                <w:rFonts w:ascii="宋体" w:hAnsi="宋体" w:eastAsia="宋体"/>
                <w:sz w:val="16"/>
              </w:rPr>
              <w:t>-</w:t>
            </w:r>
          </w:p>
        </w:tc>
      </w:tr>
      <w:tr w14:paraId="01B0CC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006E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4C00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A0EE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A012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5FB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922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91C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7CB48">
            <w:pPr>
              <w:jc w:val="center"/>
            </w:pPr>
            <w:r>
              <w:rPr>
                <w:rFonts w:ascii="宋体" w:hAnsi="宋体" w:eastAsia="宋体"/>
                <w:sz w:val="16"/>
              </w:rPr>
              <w:t>-</w:t>
            </w:r>
          </w:p>
        </w:tc>
      </w:tr>
      <w:tr w14:paraId="2DD9960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58B12">
            <w:pPr>
              <w:jc w:val="center"/>
            </w:pPr>
            <w:r>
              <w:rPr>
                <w:rFonts w:ascii="宋体" w:hAnsi="宋体" w:eastAsia="宋体"/>
                <w:sz w:val="16"/>
              </w:rPr>
              <w:t>年度总目标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F9F81A">
            <w:pPr>
              <w:jc w:val="center"/>
            </w:pPr>
            <w:r>
              <w:rPr>
                <w:rFonts w:ascii="宋体" w:hAnsi="宋体" w:eastAsia="宋体"/>
                <w:sz w:val="16"/>
              </w:rPr>
              <w:t>预期目标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EB033C">
            <w:pPr>
              <w:jc w:val="center"/>
            </w:pPr>
            <w:r>
              <w:rPr>
                <w:rFonts w:ascii="宋体" w:hAnsi="宋体" w:eastAsia="宋体"/>
                <w:sz w:val="16"/>
              </w:rPr>
              <w:t>实际完成情况</w:t>
            </w:r>
          </w:p>
        </w:tc>
      </w:tr>
      <w:tr w14:paraId="6362B2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461D9A"/>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A9A93C">
            <w:pPr>
              <w:jc w:val="both"/>
            </w:pPr>
            <w:r>
              <w:rPr>
                <w:rFonts w:ascii="宋体" w:hAnsi="宋体" w:eastAsia="宋体"/>
                <w:sz w:val="16"/>
              </w:rPr>
              <w:t>1）贯彻执行国家及自治区基本森林生态环境建设，基本森林资源保护和国土绿化等林业工作方针，政策，根据上级林业发展战略制定长期发展规划，森林草原防火，安全生产宣传活动次数4次。（2）负责组织指导植树造林，飞播造林和封山育林及森林经营工作。（3）负责以植树种草等生物措施防治水土流失和防治石漠化工作。（4）管理山区林业综合开发，从事森林病虫害防治，森林植物检疫工作。（5）负责森林分类经营和生态公益林的工作，森林</w:t>
            </w:r>
            <w:r>
              <w:rPr>
                <w:rFonts w:hint="eastAsia" w:ascii="宋体" w:hAnsi="宋体"/>
                <w:sz w:val="16"/>
                <w:lang w:eastAsia="zh-CN"/>
              </w:rPr>
              <w:t>有害</w:t>
            </w:r>
            <w:r>
              <w:rPr>
                <w:rFonts w:ascii="宋体" w:hAnsi="宋体" w:eastAsia="宋体"/>
                <w:sz w:val="16"/>
              </w:rPr>
              <w:t>生物监测工作完成率97。（6）从事林业资源调查设计，动态检测及经营管理工作。（7）负责森林防火，检查巡护破坏森林资源，野生动植物资源及森林火灾等工作，林区防火隐患排查率100%。</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FCF5C4">
            <w:pPr>
              <w:jc w:val="both"/>
            </w:pPr>
            <w:r>
              <w:rPr>
                <w:rFonts w:ascii="宋体" w:hAnsi="宋体" w:eastAsia="宋体"/>
                <w:sz w:val="16"/>
              </w:rPr>
              <w:t>2024年度托里县巴尔鲁克山林场全年履职尽责，严格贯彻落实森林草原防火、野生动植物保护、安全生产等隐患排查整治工作为目标；全年</w:t>
            </w:r>
            <w:r>
              <w:rPr>
                <w:rFonts w:hint="eastAsia" w:ascii="宋体" w:hAnsi="宋体"/>
                <w:sz w:val="16"/>
                <w:lang w:eastAsia="zh-CN"/>
              </w:rPr>
              <w:t>夏季</w:t>
            </w:r>
            <w:r>
              <w:rPr>
                <w:rFonts w:ascii="宋体" w:hAnsi="宋体" w:eastAsia="宋体"/>
                <w:sz w:val="16"/>
              </w:rPr>
              <w:t>到来林区牧民</w:t>
            </w:r>
            <w:r>
              <w:rPr>
                <w:rFonts w:hint="eastAsia" w:ascii="宋体" w:hAnsi="宋体"/>
                <w:sz w:val="16"/>
                <w:lang w:eastAsia="zh-CN"/>
              </w:rPr>
              <w:t>专程</w:t>
            </w:r>
            <w:r>
              <w:rPr>
                <w:rFonts w:ascii="宋体" w:hAnsi="宋体" w:eastAsia="宋体"/>
                <w:sz w:val="16"/>
              </w:rPr>
              <w:t>来到林区、深入开展森林草原防火宣传教育活动，各种形式对辖区内群众掌握森林资源意识；推动了广大各族群众积极开展林区有害生物防治监测工作</w:t>
            </w:r>
            <w:r>
              <w:rPr>
                <w:rFonts w:hint="eastAsia" w:ascii="宋体" w:hAnsi="宋体"/>
                <w:sz w:val="16"/>
                <w:lang w:eastAsia="zh-CN"/>
              </w:rPr>
              <w:t>。</w:t>
            </w:r>
            <w:r>
              <w:rPr>
                <w:rFonts w:ascii="宋体" w:hAnsi="宋体" w:eastAsia="宋体"/>
                <w:sz w:val="16"/>
              </w:rPr>
              <w:t>开展文化活动8次，举办文化展览宣传活动4次，开展森林草原防护，安全生产宣传活动4次，</w:t>
            </w:r>
            <w:r>
              <w:rPr>
                <w:rFonts w:hint="eastAsia" w:ascii="宋体" w:hAnsi="宋体"/>
                <w:sz w:val="16"/>
                <w:lang w:eastAsia="zh-CN"/>
              </w:rPr>
              <w:t>森林有</w:t>
            </w:r>
            <w:r>
              <w:rPr>
                <w:rFonts w:ascii="宋体" w:hAnsi="宋体" w:eastAsia="宋体"/>
                <w:sz w:val="16"/>
              </w:rPr>
              <w:t>害生物监测工作完成率97%，林区防火隐患排查率100%。</w:t>
            </w:r>
          </w:p>
        </w:tc>
      </w:tr>
      <w:tr w14:paraId="5DB5CE3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1B3C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5C27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9A32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EDC3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56469">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08F0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FCEE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B182D">
            <w:pPr>
              <w:jc w:val="center"/>
            </w:pPr>
            <w:r>
              <w:rPr>
                <w:rFonts w:ascii="宋体" w:hAnsi="宋体" w:eastAsia="宋体"/>
                <w:sz w:val="16"/>
              </w:rPr>
              <w:t>得分</w:t>
            </w:r>
          </w:p>
        </w:tc>
      </w:tr>
      <w:tr w14:paraId="55B35E4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380A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7146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39AB7">
            <w:pPr>
              <w:jc w:val="center"/>
            </w:pPr>
            <w:r>
              <w:rPr>
                <w:rFonts w:ascii="宋体" w:hAnsi="宋体" w:eastAsia="宋体"/>
                <w:sz w:val="16"/>
              </w:rPr>
              <w:t>开展文化活动次数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36414">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3A44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E7AF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79222">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A302B">
            <w:pPr>
              <w:jc w:val="center"/>
            </w:pPr>
            <w:r>
              <w:rPr>
                <w:rFonts w:ascii="宋体" w:hAnsi="宋体" w:eastAsia="宋体"/>
                <w:sz w:val="16"/>
              </w:rPr>
              <w:t>15</w:t>
            </w:r>
          </w:p>
        </w:tc>
      </w:tr>
      <w:tr w14:paraId="20234E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68918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235E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C9175">
            <w:pPr>
              <w:jc w:val="center"/>
            </w:pPr>
            <w:r>
              <w:rPr>
                <w:rFonts w:ascii="宋体" w:hAnsi="宋体" w:eastAsia="宋体"/>
                <w:sz w:val="16"/>
              </w:rPr>
              <w:t>举办文化展览宣传活动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D379C">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3CC2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E11B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2F54D">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22A2D">
            <w:pPr>
              <w:jc w:val="center"/>
            </w:pPr>
            <w:r>
              <w:rPr>
                <w:rFonts w:ascii="宋体" w:hAnsi="宋体" w:eastAsia="宋体"/>
                <w:sz w:val="16"/>
              </w:rPr>
              <w:t>15</w:t>
            </w:r>
          </w:p>
        </w:tc>
      </w:tr>
      <w:tr w14:paraId="6DE653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8E97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408A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D4FC0">
            <w:pPr>
              <w:jc w:val="center"/>
            </w:pPr>
            <w:r>
              <w:rPr>
                <w:rFonts w:ascii="宋体" w:hAnsi="宋体" w:eastAsia="宋体"/>
                <w:sz w:val="16"/>
              </w:rPr>
              <w:t>零星业务设备更新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E8975">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F95C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EB30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B896B">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E07E0">
            <w:pPr>
              <w:jc w:val="center"/>
            </w:pPr>
            <w:r>
              <w:rPr>
                <w:rFonts w:ascii="宋体" w:hAnsi="宋体" w:eastAsia="宋体"/>
                <w:sz w:val="16"/>
              </w:rPr>
              <w:t>15</w:t>
            </w:r>
          </w:p>
        </w:tc>
      </w:tr>
      <w:tr w14:paraId="0EB6AE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45619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5654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B4536">
            <w:pPr>
              <w:jc w:val="center"/>
            </w:pPr>
            <w:r>
              <w:rPr>
                <w:rFonts w:ascii="宋体" w:hAnsi="宋体" w:eastAsia="宋体"/>
                <w:sz w:val="16"/>
              </w:rPr>
              <w:t>森林草原防护，安全生产宣传活动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EF677">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9841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DDE6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4BA68">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F624A">
            <w:pPr>
              <w:jc w:val="center"/>
            </w:pPr>
            <w:r>
              <w:rPr>
                <w:rFonts w:ascii="宋体" w:hAnsi="宋体" w:eastAsia="宋体"/>
                <w:sz w:val="16"/>
              </w:rPr>
              <w:t>15</w:t>
            </w:r>
          </w:p>
        </w:tc>
      </w:tr>
      <w:tr w14:paraId="76A9B5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B16AE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42E4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D7ADD">
            <w:pPr>
              <w:jc w:val="center"/>
            </w:pPr>
            <w:r>
              <w:rPr>
                <w:rFonts w:ascii="宋体" w:hAnsi="宋体" w:eastAsia="宋体"/>
                <w:sz w:val="16"/>
              </w:rPr>
              <w:t>森林</w:t>
            </w:r>
            <w:r>
              <w:rPr>
                <w:rFonts w:hint="eastAsia" w:ascii="宋体" w:hAnsi="宋体"/>
                <w:sz w:val="16"/>
                <w:lang w:eastAsia="zh-CN"/>
              </w:rPr>
              <w:t>有害</w:t>
            </w:r>
            <w:r>
              <w:rPr>
                <w:rFonts w:ascii="宋体" w:hAnsi="宋体" w:eastAsia="宋体"/>
                <w:sz w:val="16"/>
              </w:rPr>
              <w:t>生物监测工作完成率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E5B85">
            <w:pPr>
              <w:jc w:val="center"/>
            </w:pPr>
            <w:r>
              <w:rPr>
                <w:rFonts w:ascii="宋体" w:hAnsi="宋体" w:eastAsia="宋体"/>
                <w:sz w:val="16"/>
              </w:rPr>
              <w:t>&gt;=97%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073A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3CD6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55D55">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3963D">
            <w:pPr>
              <w:jc w:val="center"/>
            </w:pPr>
            <w:r>
              <w:rPr>
                <w:rFonts w:ascii="宋体" w:hAnsi="宋体" w:eastAsia="宋体"/>
                <w:sz w:val="16"/>
              </w:rPr>
              <w:t>15</w:t>
            </w:r>
          </w:p>
        </w:tc>
      </w:tr>
      <w:tr w14:paraId="265B57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C070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EE72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3D1FD">
            <w:pPr>
              <w:jc w:val="center"/>
            </w:pPr>
            <w:r>
              <w:rPr>
                <w:rFonts w:ascii="宋体" w:hAnsi="宋体" w:eastAsia="宋体"/>
                <w:sz w:val="16"/>
              </w:rPr>
              <w:t>林区防火隐患排查率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D262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3785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986B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9621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04D53">
            <w:pPr>
              <w:jc w:val="center"/>
            </w:pPr>
            <w:r>
              <w:rPr>
                <w:rFonts w:ascii="宋体" w:hAnsi="宋体" w:eastAsia="宋体"/>
                <w:sz w:val="16"/>
              </w:rPr>
              <w:t>15</w:t>
            </w:r>
          </w:p>
        </w:tc>
      </w:tr>
    </w:tbl>
    <w:p w14:paraId="481E671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16A9685">
        <w:tblPrEx>
          <w:tblCellMar>
            <w:top w:w="0" w:type="dxa"/>
            <w:left w:w="108" w:type="dxa"/>
            <w:bottom w:w="0" w:type="dxa"/>
            <w:right w:w="108" w:type="dxa"/>
          </w:tblCellMar>
        </w:tblPrEx>
        <w:tc>
          <w:tcPr>
            <w:tcW w:w="8848" w:type="dxa"/>
            <w:gridSpan w:val="14"/>
            <w:vAlign w:val="center"/>
          </w:tcPr>
          <w:p w14:paraId="0D92B0B0">
            <w:pPr>
              <w:jc w:val="center"/>
            </w:pPr>
            <w:r>
              <w:rPr>
                <w:rFonts w:ascii="宋体" w:hAnsi="宋体" w:eastAsia="宋体"/>
                <w:sz w:val="24"/>
              </w:rPr>
              <w:t>项目支出绩效自评表</w:t>
            </w:r>
          </w:p>
        </w:tc>
      </w:tr>
      <w:tr w14:paraId="5F85DEF7">
        <w:tblPrEx>
          <w:tblCellMar>
            <w:top w:w="0" w:type="dxa"/>
            <w:left w:w="108" w:type="dxa"/>
            <w:bottom w:w="0" w:type="dxa"/>
            <w:right w:w="108" w:type="dxa"/>
          </w:tblCellMar>
        </w:tblPrEx>
        <w:tc>
          <w:tcPr>
            <w:tcW w:w="8848" w:type="dxa"/>
            <w:gridSpan w:val="14"/>
            <w:vAlign w:val="center"/>
          </w:tcPr>
          <w:p w14:paraId="3C24A085">
            <w:pPr>
              <w:jc w:val="center"/>
            </w:pPr>
            <w:r>
              <w:rPr>
                <w:rFonts w:ascii="宋体" w:hAnsi="宋体" w:eastAsia="宋体"/>
                <w:sz w:val="24"/>
              </w:rPr>
              <w:t>(2024年度)</w:t>
            </w:r>
          </w:p>
        </w:tc>
      </w:tr>
      <w:tr w14:paraId="0707C7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63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31A3F3">
            <w:pPr>
              <w:jc w:val="center"/>
            </w:pPr>
            <w:r>
              <w:rPr>
                <w:rFonts w:ascii="宋体" w:hAnsi="宋体" w:eastAsia="宋体"/>
                <w:sz w:val="16"/>
              </w:rPr>
              <w:t>托里县巴尔鲁克山林场2024年文化站免费开放补助资金</w:t>
            </w:r>
          </w:p>
        </w:tc>
      </w:tr>
      <w:tr w14:paraId="379DD1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57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4851F">
            <w:pPr>
              <w:jc w:val="center"/>
            </w:pPr>
            <w:r>
              <w:rPr>
                <w:rFonts w:ascii="宋体" w:hAnsi="宋体" w:eastAsia="宋体"/>
                <w:sz w:val="16"/>
              </w:rPr>
              <w:t>托里县巴尔鲁克山林场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6C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7FB266">
            <w:pPr>
              <w:jc w:val="center"/>
            </w:pPr>
            <w:r>
              <w:rPr>
                <w:rFonts w:ascii="宋体" w:hAnsi="宋体" w:eastAsia="宋体"/>
                <w:sz w:val="16"/>
              </w:rPr>
              <w:t>托里县巴尔鲁克山林场</w:t>
            </w:r>
          </w:p>
        </w:tc>
      </w:tr>
      <w:tr w14:paraId="49F674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DA7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D9C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C53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10F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E4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92C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DBB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D56C">
            <w:pPr>
              <w:jc w:val="center"/>
            </w:pPr>
            <w:r>
              <w:rPr>
                <w:rFonts w:ascii="宋体" w:hAnsi="宋体" w:eastAsia="宋体"/>
                <w:sz w:val="16"/>
              </w:rPr>
              <w:t>得分</w:t>
            </w:r>
          </w:p>
        </w:tc>
      </w:tr>
      <w:tr w14:paraId="534AA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19A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78D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A3F16">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50590">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DFB49">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11B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743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9374">
            <w:pPr>
              <w:jc w:val="center"/>
            </w:pPr>
            <w:r>
              <w:rPr>
                <w:rFonts w:ascii="宋体" w:hAnsi="宋体" w:eastAsia="宋体"/>
                <w:sz w:val="16"/>
              </w:rPr>
              <w:t>10.00</w:t>
            </w:r>
          </w:p>
        </w:tc>
      </w:tr>
      <w:tr w14:paraId="165A5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EC6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F5A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88908">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FF23F">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79181">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2E3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9A3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55BD">
            <w:pPr>
              <w:jc w:val="center"/>
            </w:pPr>
            <w:r>
              <w:rPr>
                <w:rFonts w:ascii="宋体" w:hAnsi="宋体" w:eastAsia="宋体"/>
                <w:sz w:val="16"/>
              </w:rPr>
              <w:t>—</w:t>
            </w:r>
          </w:p>
        </w:tc>
      </w:tr>
      <w:tr w14:paraId="625E8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C55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ADE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C94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881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2EA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47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995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FD96">
            <w:pPr>
              <w:jc w:val="center"/>
            </w:pPr>
            <w:r>
              <w:rPr>
                <w:rFonts w:ascii="宋体" w:hAnsi="宋体" w:eastAsia="宋体"/>
                <w:sz w:val="16"/>
              </w:rPr>
              <w:t>—</w:t>
            </w:r>
          </w:p>
        </w:tc>
      </w:tr>
      <w:tr w14:paraId="3955D4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80F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F2A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2C99B4">
            <w:pPr>
              <w:jc w:val="center"/>
            </w:pPr>
            <w:r>
              <w:rPr>
                <w:rFonts w:ascii="宋体" w:hAnsi="宋体" w:eastAsia="宋体"/>
                <w:sz w:val="16"/>
              </w:rPr>
              <w:t>实际完成情况</w:t>
            </w:r>
          </w:p>
        </w:tc>
      </w:tr>
      <w:tr w14:paraId="64687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44D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41F02">
            <w:pPr>
              <w:jc w:val="both"/>
            </w:pPr>
            <w:r>
              <w:rPr>
                <w:rFonts w:ascii="宋体" w:hAnsi="宋体" w:eastAsia="宋体"/>
                <w:sz w:val="16"/>
              </w:rPr>
              <w:t>2024年文化站免费开放补助资金项目资金2.55万元，开展文化活动8次，举办文化展览宣传活动4次，促进各民族之间友好往来，共同发展，有利于促进社会稳定，民族团结，提高农牧民爱国情怀，提升农牧民审美价值观不断进一步丰富群众的精神文化生活，社会公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B50731">
            <w:pPr>
              <w:jc w:val="both"/>
            </w:pPr>
            <w:r>
              <w:rPr>
                <w:rFonts w:ascii="宋体" w:hAnsi="宋体" w:eastAsia="宋体"/>
                <w:sz w:val="16"/>
              </w:rPr>
              <w:t>开展文化活动8次，举办文化展览宣传活动4次，实施完成林场各族人民群众的精神文化生活；通过项目实施，旨在增强公民鉴赏能力，提高各族群众思想道德和科学文化素质；同时达到发挥“三馆一站”作用，保障各族群众基本权益，促进社会和谐稳定；促进各民族之间友好往来，共同发展，有利于促进社会稳定，民族团结，提高农牧民爱国情怀，提升农牧民审美价值观不断进一步丰富群众的精神文化生活，社会公众满意度95%。</w:t>
            </w:r>
          </w:p>
        </w:tc>
      </w:tr>
      <w:tr w14:paraId="22BEFE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B6A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BB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01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B8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42B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1D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AC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DB3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F1A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64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C38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005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EC6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8B18">
            <w:pPr>
              <w:jc w:val="center"/>
            </w:pPr>
            <w:r>
              <w:rPr>
                <w:rFonts w:ascii="宋体" w:hAnsi="宋体" w:eastAsia="宋体"/>
                <w:sz w:val="16"/>
              </w:rPr>
              <w:t>偏差原因分析及改进措施</w:t>
            </w:r>
          </w:p>
        </w:tc>
      </w:tr>
      <w:tr w14:paraId="7A5120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DF2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A20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C44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EC96">
            <w:pPr>
              <w:jc w:val="center"/>
            </w:pPr>
            <w:r>
              <w:rPr>
                <w:rFonts w:ascii="宋体" w:hAnsi="宋体" w:eastAsia="宋体"/>
                <w:sz w:val="16"/>
              </w:rPr>
              <w:t>组织文化体育活动次数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A301">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1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72D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F28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D7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E6C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2DF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C7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50A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F10C">
            <w:pPr>
              <w:jc w:val="center"/>
            </w:pPr>
          </w:p>
        </w:tc>
      </w:tr>
      <w:tr w14:paraId="4EB93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054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20B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5F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50D7">
            <w:pPr>
              <w:jc w:val="center"/>
            </w:pPr>
            <w:r>
              <w:rPr>
                <w:rFonts w:ascii="宋体" w:hAnsi="宋体" w:eastAsia="宋体"/>
                <w:sz w:val="16"/>
              </w:rPr>
              <w:t>举办文化展览宣传活动次数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F361">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66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4F5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E39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CE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137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7E1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70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E3D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1E6B">
            <w:pPr>
              <w:jc w:val="center"/>
            </w:pPr>
          </w:p>
        </w:tc>
      </w:tr>
      <w:tr w14:paraId="745B0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F2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C9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CE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9166">
            <w:pPr>
              <w:jc w:val="center"/>
            </w:pPr>
            <w:r>
              <w:rPr>
                <w:rFonts w:ascii="宋体" w:hAnsi="宋体" w:eastAsia="宋体"/>
                <w:sz w:val="16"/>
              </w:rPr>
              <w:t>群众知晓率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6179">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4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6CC9">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8A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B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838E">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3346">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C3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67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B403">
            <w:pPr>
              <w:jc w:val="center"/>
            </w:pPr>
          </w:p>
        </w:tc>
      </w:tr>
      <w:tr w14:paraId="6D8CC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57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886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BAD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96D5">
            <w:pPr>
              <w:jc w:val="center"/>
            </w:pPr>
            <w:r>
              <w:rPr>
                <w:rFonts w:ascii="宋体" w:hAnsi="宋体" w:eastAsia="宋体"/>
                <w:sz w:val="16"/>
              </w:rPr>
              <w:t>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78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5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FB9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2E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85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0CC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43D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B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48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C90C">
            <w:pPr>
              <w:jc w:val="center"/>
            </w:pPr>
          </w:p>
        </w:tc>
      </w:tr>
      <w:tr w14:paraId="2B5D7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00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9A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D74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927E">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42C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6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4F00">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45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5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ED3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042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8C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5B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117D">
            <w:pPr>
              <w:jc w:val="center"/>
            </w:pPr>
          </w:p>
        </w:tc>
      </w:tr>
      <w:tr w14:paraId="6ADC9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A6C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933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277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D170">
            <w:pPr>
              <w:jc w:val="center"/>
            </w:pPr>
            <w:r>
              <w:rPr>
                <w:rFonts w:ascii="宋体" w:hAnsi="宋体" w:eastAsia="宋体"/>
                <w:sz w:val="16"/>
              </w:rPr>
              <w:t>组织文化体育活动需要经费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67C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09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E4CA">
            <w:pPr>
              <w:jc w:val="center"/>
            </w:pPr>
            <w:r>
              <w:rPr>
                <w:rFonts w:ascii="宋体" w:hAnsi="宋体" w:eastAsia="宋体"/>
                <w:sz w:val="16"/>
              </w:rPr>
              <w: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08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5F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9C7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324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17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8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551C">
            <w:pPr>
              <w:jc w:val="center"/>
            </w:pPr>
          </w:p>
        </w:tc>
      </w:tr>
      <w:tr w14:paraId="25D806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077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B7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AF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5024">
            <w:pPr>
              <w:jc w:val="center"/>
            </w:pPr>
            <w:r>
              <w:rPr>
                <w:rFonts w:ascii="宋体" w:hAnsi="宋体" w:eastAsia="宋体"/>
                <w:sz w:val="16"/>
              </w:rPr>
              <w:t>举办文化展览宣传需要经费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274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CA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5951">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8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A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6804">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FDFA">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7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0D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4C75">
            <w:pPr>
              <w:jc w:val="center"/>
            </w:pPr>
          </w:p>
        </w:tc>
      </w:tr>
      <w:tr w14:paraId="3B3B1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7E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58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02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C4F8">
            <w:pPr>
              <w:jc w:val="center"/>
            </w:pPr>
            <w:r>
              <w:rPr>
                <w:rFonts w:ascii="宋体" w:hAnsi="宋体" w:eastAsia="宋体"/>
                <w:sz w:val="16"/>
              </w:rPr>
              <w:t>提高各民族群众科学文化素质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0C3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AC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EBD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7C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C8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97A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0BF7">
            <w:pPr>
              <w:jc w:val="center"/>
            </w:pPr>
            <w:r>
              <w:rPr>
                <w:rFonts w:ascii="宋体" w:hAnsi="宋体" w:eastAsia="宋体"/>
                <w:sz w:val="16"/>
              </w:rPr>
              <w:t>达到预期指标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3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A6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544E">
            <w:pPr>
              <w:jc w:val="center"/>
            </w:pPr>
          </w:p>
        </w:tc>
      </w:tr>
      <w:tr w14:paraId="669B6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A6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7C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61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330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0B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2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8E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1A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8B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2E4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AF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8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D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2C5C">
            <w:pPr>
              <w:jc w:val="center"/>
            </w:pPr>
          </w:p>
        </w:tc>
      </w:tr>
      <w:tr w14:paraId="6B06A95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AF70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D2BF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BD47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533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B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370A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5F7A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30F9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7A9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D96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77488"/>
        </w:tc>
      </w:tr>
    </w:tbl>
    <w:p w14:paraId="2CD30E7A">
      <w:r>
        <w:br w:type="page"/>
      </w:r>
    </w:p>
    <w:p w14:paraId="51FADEB8">
      <w:pPr>
        <w:spacing w:line="640" w:lineRule="exact"/>
        <w:ind w:firstLine="640"/>
        <w:jc w:val="both"/>
        <w:outlineLvl w:val="2"/>
      </w:pPr>
      <w:r>
        <w:rPr>
          <w:rFonts w:ascii="黑体" w:hAnsi="黑体" w:eastAsia="黑体"/>
          <w:sz w:val="32"/>
        </w:rPr>
        <w:t>十二、其他需说明的事项</w:t>
      </w:r>
    </w:p>
    <w:p w14:paraId="1363E913">
      <w:pPr>
        <w:spacing w:line="580" w:lineRule="exact"/>
        <w:ind w:firstLine="640"/>
        <w:jc w:val="both"/>
      </w:pPr>
      <w:r>
        <w:rPr>
          <w:rFonts w:ascii="仿宋_GB2312" w:hAnsi="仿宋_GB2312" w:eastAsia="仿宋_GB2312"/>
          <w:b w:val="0"/>
          <w:sz w:val="32"/>
        </w:rPr>
        <w:t>本单位无其他需说明的事项。</w:t>
      </w:r>
    </w:p>
    <w:p w14:paraId="74C68A33">
      <w:r>
        <w:br w:type="page"/>
      </w:r>
    </w:p>
    <w:p w14:paraId="1F9A2AA0">
      <w:pPr>
        <w:spacing w:line="240" w:lineRule="auto"/>
        <w:jc w:val="center"/>
        <w:outlineLvl w:val="1"/>
      </w:pPr>
      <w:r>
        <w:rPr>
          <w:rFonts w:ascii="黑体" w:hAnsi="黑体" w:eastAsia="黑体"/>
          <w:sz w:val="32"/>
        </w:rPr>
        <w:t>第三部分 专业名词解释</w:t>
      </w:r>
    </w:p>
    <w:p w14:paraId="151E6C4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DA59C5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0B9BE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D3730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01CDF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18CEA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7DCD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3C7FA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A7D4B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2487D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0C182D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8D8EDA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9C363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DC020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6687A7E">
      <w:r>
        <w:br w:type="page"/>
      </w:r>
    </w:p>
    <w:p w14:paraId="269C6215">
      <w:pPr>
        <w:spacing w:line="240" w:lineRule="auto"/>
        <w:jc w:val="center"/>
        <w:outlineLvl w:val="1"/>
      </w:pPr>
      <w:r>
        <w:rPr>
          <w:rFonts w:ascii="黑体" w:hAnsi="黑体" w:eastAsia="黑体"/>
          <w:sz w:val="32"/>
        </w:rPr>
        <w:t>第四部分 部门决算报表（见附表）</w:t>
      </w:r>
    </w:p>
    <w:p w14:paraId="30727E96">
      <w:pPr>
        <w:spacing w:line="240" w:lineRule="auto"/>
        <w:ind w:firstLine="640"/>
        <w:jc w:val="both"/>
      </w:pPr>
      <w:r>
        <w:rPr>
          <w:rFonts w:ascii="仿宋_GB2312" w:hAnsi="仿宋_GB2312" w:eastAsia="仿宋_GB2312"/>
          <w:b w:val="0"/>
          <w:sz w:val="32"/>
        </w:rPr>
        <w:t>一、《收入支出决算总表》</w:t>
      </w:r>
    </w:p>
    <w:p w14:paraId="65E104DA">
      <w:pPr>
        <w:spacing w:line="240" w:lineRule="auto"/>
        <w:ind w:firstLine="640"/>
        <w:jc w:val="both"/>
      </w:pPr>
      <w:r>
        <w:rPr>
          <w:rFonts w:ascii="仿宋_GB2312" w:hAnsi="仿宋_GB2312" w:eastAsia="仿宋_GB2312"/>
          <w:b w:val="0"/>
          <w:sz w:val="32"/>
        </w:rPr>
        <w:t>二、《收入决算表》</w:t>
      </w:r>
    </w:p>
    <w:p w14:paraId="221170B0">
      <w:pPr>
        <w:spacing w:line="240" w:lineRule="auto"/>
        <w:ind w:firstLine="640"/>
        <w:jc w:val="both"/>
      </w:pPr>
      <w:r>
        <w:rPr>
          <w:rFonts w:ascii="仿宋_GB2312" w:hAnsi="仿宋_GB2312" w:eastAsia="仿宋_GB2312"/>
          <w:b w:val="0"/>
          <w:sz w:val="32"/>
        </w:rPr>
        <w:t>三、《支出决算表》</w:t>
      </w:r>
    </w:p>
    <w:p w14:paraId="2C32F922">
      <w:pPr>
        <w:spacing w:line="240" w:lineRule="auto"/>
        <w:ind w:firstLine="640"/>
        <w:jc w:val="both"/>
      </w:pPr>
      <w:r>
        <w:rPr>
          <w:rFonts w:ascii="仿宋_GB2312" w:hAnsi="仿宋_GB2312" w:eastAsia="仿宋_GB2312"/>
          <w:b w:val="0"/>
          <w:sz w:val="32"/>
        </w:rPr>
        <w:t>四、《财政拨款收入支出决算总表》</w:t>
      </w:r>
    </w:p>
    <w:p w14:paraId="71534631">
      <w:pPr>
        <w:spacing w:line="240" w:lineRule="auto"/>
        <w:ind w:firstLine="640"/>
        <w:jc w:val="both"/>
      </w:pPr>
      <w:r>
        <w:rPr>
          <w:rFonts w:ascii="仿宋_GB2312" w:hAnsi="仿宋_GB2312" w:eastAsia="仿宋_GB2312"/>
          <w:b w:val="0"/>
          <w:sz w:val="32"/>
        </w:rPr>
        <w:t>五、《一般公共预算财政拨款支出决算表》</w:t>
      </w:r>
    </w:p>
    <w:p w14:paraId="6412378D">
      <w:pPr>
        <w:spacing w:line="240" w:lineRule="auto"/>
        <w:ind w:firstLine="640"/>
        <w:jc w:val="both"/>
      </w:pPr>
      <w:r>
        <w:rPr>
          <w:rFonts w:ascii="仿宋_GB2312" w:hAnsi="仿宋_GB2312" w:eastAsia="仿宋_GB2312"/>
          <w:b w:val="0"/>
          <w:sz w:val="32"/>
        </w:rPr>
        <w:t>六、《一般公共预算财政拨款基本支出决算表》</w:t>
      </w:r>
    </w:p>
    <w:p w14:paraId="321C3AEC">
      <w:pPr>
        <w:spacing w:line="240" w:lineRule="auto"/>
        <w:ind w:firstLine="640"/>
        <w:jc w:val="both"/>
      </w:pPr>
      <w:r>
        <w:rPr>
          <w:rFonts w:ascii="仿宋_GB2312" w:hAnsi="仿宋_GB2312" w:eastAsia="仿宋_GB2312"/>
          <w:b w:val="0"/>
          <w:sz w:val="32"/>
        </w:rPr>
        <w:t>七、《政府性基金预算财政拨款收入支出决算表》</w:t>
      </w:r>
    </w:p>
    <w:p w14:paraId="4AF59B72">
      <w:pPr>
        <w:spacing w:line="240" w:lineRule="auto"/>
        <w:ind w:firstLine="640"/>
        <w:jc w:val="both"/>
      </w:pPr>
      <w:r>
        <w:rPr>
          <w:rFonts w:ascii="仿宋_GB2312" w:hAnsi="仿宋_GB2312" w:eastAsia="仿宋_GB2312"/>
          <w:b w:val="0"/>
          <w:sz w:val="32"/>
        </w:rPr>
        <w:t>八、《国有资本经营预算财政拨款收入支出决算表》</w:t>
      </w:r>
    </w:p>
    <w:p w14:paraId="1C2C46C1">
      <w:pPr>
        <w:spacing w:line="240" w:lineRule="auto"/>
        <w:ind w:firstLine="640"/>
        <w:jc w:val="both"/>
      </w:pPr>
      <w:r>
        <w:rPr>
          <w:rFonts w:ascii="仿宋_GB2312" w:hAnsi="仿宋_GB2312" w:eastAsia="仿宋_GB2312"/>
          <w:b w:val="0"/>
          <w:sz w:val="32"/>
        </w:rPr>
        <w:t>九、《财政拨款“三公”经费支出决算表》</w:t>
      </w:r>
    </w:p>
    <w:p w14:paraId="66A11501">
      <w:pPr>
        <w:spacing w:line="240" w:lineRule="auto"/>
        <w:ind w:firstLine="640"/>
        <w:jc w:val="both"/>
      </w:pPr>
    </w:p>
    <w:p w14:paraId="081E4860">
      <w:pPr>
        <w:spacing w:line="240" w:lineRule="auto"/>
        <w:ind w:firstLine="640"/>
        <w:jc w:val="both"/>
      </w:pPr>
    </w:p>
    <w:p w14:paraId="72A5B1D8">
      <w:pPr>
        <w:spacing w:line="240" w:lineRule="auto"/>
        <w:ind w:firstLine="640"/>
        <w:jc w:val="both"/>
      </w:pPr>
    </w:p>
    <w:p w14:paraId="47A04DCE">
      <w:pPr>
        <w:spacing w:line="240" w:lineRule="auto"/>
        <w:ind w:firstLine="640"/>
        <w:jc w:val="both"/>
      </w:pPr>
    </w:p>
    <w:p w14:paraId="508EF38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5C3D44-B9D5-488D-8F29-DAE2817449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A7B7536-6E2E-4020-B5BB-D14B50BD982B}"/>
  </w:font>
  <w:font w:name="仿宋_GB2312">
    <w:panose1 w:val="02010609030101010101"/>
    <w:charset w:val="86"/>
    <w:family w:val="modern"/>
    <w:pitch w:val="default"/>
    <w:sig w:usb0="00000001" w:usb1="080E0000" w:usb2="00000000" w:usb3="00000000" w:csb0="00040000" w:csb1="00000000"/>
    <w:embedRegular r:id="rId3" w:fontKey="{12C12146-AB25-496B-97C3-FEC161EC88C2}"/>
  </w:font>
  <w:font w:name="楷体_GB2312">
    <w:altName w:val="楷体"/>
    <w:panose1 w:val="00000000000000000000"/>
    <w:charset w:val="00"/>
    <w:family w:val="auto"/>
    <w:pitch w:val="default"/>
    <w:sig w:usb0="00000000" w:usb1="00000000" w:usb2="00000000" w:usb3="00000000" w:csb0="00000000" w:csb1="00000000"/>
    <w:embedRegular r:id="rId4" w:fontKey="{000DF5D0-79EE-41B7-BA67-2AC313115C6D}"/>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965739"/>
    <w:rsid w:val="6FA70555"/>
    <w:rsid w:val="71473612"/>
    <w:rsid w:val="71734E15"/>
    <w:rsid w:val="718F7F65"/>
    <w:rsid w:val="73423603"/>
    <w:rsid w:val="737A5923"/>
    <w:rsid w:val="73DE4104"/>
    <w:rsid w:val="73FB6630"/>
    <w:rsid w:val="74CE04EC"/>
    <w:rsid w:val="74E76DCD"/>
    <w:rsid w:val="757D4A41"/>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4680</Words>
  <Characters>5347</Characters>
  <Lines>0</Lines>
  <Paragraphs>0</Paragraphs>
  <TotalTime>80</TotalTime>
  <ScaleCrop>false</ScaleCrop>
  <LinksUpToDate>false</LinksUpToDate>
  <CharactersWithSpaces>5355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2025-10-31T10:03:35Z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