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托里县城建监察大队2024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98FAF92">
      <w:r>
        <w:br w:type="page"/>
      </w:r>
    </w:p>
    <w:p w14:paraId="32487E1C">
      <w:pPr>
        <w:spacing w:line="640" w:lineRule="exact"/>
        <w:jc w:val="center"/>
        <w:outlineLvl w:val="1"/>
      </w:pPr>
      <w:r>
        <w:rPr>
          <w:rFonts w:ascii="黑体" w:hAnsi="黑体" w:eastAsia="黑体"/>
          <w:sz w:val="32"/>
        </w:rPr>
        <w:t>第一部分 单位概况</w:t>
      </w:r>
    </w:p>
    <w:p w14:paraId="4A1B6433">
      <w:pPr>
        <w:spacing w:line="640" w:lineRule="exact"/>
        <w:ind w:firstLine="640"/>
        <w:jc w:val="both"/>
        <w:outlineLvl w:val="2"/>
      </w:pPr>
      <w:r>
        <w:rPr>
          <w:rFonts w:ascii="黑体" w:hAnsi="黑体" w:eastAsia="黑体"/>
          <w:sz w:val="32"/>
        </w:rPr>
        <w:t>一、主要职能</w:t>
      </w:r>
    </w:p>
    <w:p w14:paraId="1C58F334">
      <w:pPr>
        <w:spacing w:line="580" w:lineRule="exact"/>
        <w:ind w:firstLine="640"/>
        <w:jc w:val="both"/>
      </w:pPr>
      <w:r>
        <w:rPr>
          <w:rFonts w:ascii="仿宋_GB2312" w:hAnsi="仿宋_GB2312" w:eastAsia="仿宋_GB2312"/>
          <w:sz w:val="32"/>
        </w:rPr>
        <w:t>（1）贯彻执行落实国家、自治区有关城市建设管理方面的</w:t>
      </w:r>
      <w:r>
        <w:rPr>
          <w:rFonts w:hint="eastAsia" w:ascii="仿宋_GB2312" w:hAnsi="仿宋_GB2312" w:eastAsia="仿宋_GB2312"/>
          <w:sz w:val="32"/>
          <w:lang w:eastAsia="zh-CN"/>
        </w:rPr>
        <w:t>法律法规</w:t>
      </w:r>
      <w:r>
        <w:rPr>
          <w:rFonts w:ascii="仿宋_GB2312" w:hAnsi="仿宋_GB2312" w:eastAsia="仿宋_GB2312"/>
          <w:sz w:val="32"/>
        </w:rPr>
        <w:t>和规章。</w:t>
      </w:r>
    </w:p>
    <w:p w14:paraId="004BBBEE">
      <w:pPr>
        <w:spacing w:line="580" w:lineRule="exact"/>
        <w:ind w:firstLine="640"/>
        <w:jc w:val="both"/>
      </w:pPr>
      <w:r>
        <w:rPr>
          <w:rFonts w:ascii="仿宋_GB2312" w:hAnsi="仿宋_GB2312" w:eastAsia="仿宋_GB2312"/>
          <w:sz w:val="32"/>
        </w:rPr>
        <w:t>（2）负责城市规划区内的违法违章建设管理监察。</w:t>
      </w:r>
    </w:p>
    <w:p w14:paraId="5249A84E">
      <w:pPr>
        <w:spacing w:line="580" w:lineRule="exact"/>
        <w:ind w:firstLine="640"/>
        <w:jc w:val="both"/>
      </w:pPr>
      <w:r>
        <w:rPr>
          <w:rFonts w:ascii="仿宋_GB2312" w:hAnsi="仿宋_GB2312" w:eastAsia="仿宋_GB2312"/>
          <w:sz w:val="32"/>
        </w:rPr>
        <w:t>（3）负责城市规划区内的市容环境卫生管理监察。</w:t>
      </w:r>
    </w:p>
    <w:p w14:paraId="3A63231B">
      <w:pPr>
        <w:spacing w:line="580" w:lineRule="exact"/>
        <w:ind w:firstLine="640"/>
        <w:jc w:val="both"/>
      </w:pPr>
      <w:r>
        <w:rPr>
          <w:rFonts w:ascii="仿宋_GB2312" w:hAnsi="仿宋_GB2312" w:eastAsia="仿宋_GB2312"/>
          <w:sz w:val="32"/>
        </w:rPr>
        <w:t>（4）负责城市规划区内的园林绿化管理监察。</w:t>
      </w:r>
    </w:p>
    <w:p w14:paraId="1E531A26">
      <w:pPr>
        <w:spacing w:line="580" w:lineRule="exact"/>
        <w:ind w:firstLine="640"/>
        <w:jc w:val="both"/>
      </w:pPr>
      <w:r>
        <w:rPr>
          <w:rFonts w:ascii="仿宋_GB2312" w:hAnsi="仿宋_GB2312" w:eastAsia="仿宋_GB2312"/>
          <w:sz w:val="32"/>
        </w:rPr>
        <w:t>（5）负责城市规划区内的市政工程管理监察。</w:t>
      </w:r>
    </w:p>
    <w:p w14:paraId="15A4B15E">
      <w:pPr>
        <w:spacing w:line="580" w:lineRule="exact"/>
        <w:ind w:firstLine="640"/>
        <w:jc w:val="both"/>
      </w:pPr>
      <w:r>
        <w:rPr>
          <w:rFonts w:ascii="仿宋_GB2312" w:hAnsi="仿宋_GB2312" w:eastAsia="仿宋_GB2312"/>
          <w:sz w:val="32"/>
        </w:rPr>
        <w:t>（6）负责城市规划区内的公用事业管理监察。</w:t>
      </w:r>
    </w:p>
    <w:p w14:paraId="17B31758">
      <w:pPr>
        <w:spacing w:line="580" w:lineRule="exact"/>
        <w:ind w:firstLine="640"/>
        <w:jc w:val="both"/>
      </w:pPr>
      <w:r>
        <w:rPr>
          <w:rFonts w:ascii="仿宋_GB2312" w:hAnsi="仿宋_GB2312" w:eastAsia="仿宋_GB2312"/>
          <w:sz w:val="32"/>
        </w:rPr>
        <w:t>（7）负责城市规划区内的建筑市场管理监察。</w:t>
      </w:r>
    </w:p>
    <w:p w14:paraId="3A36B2A5">
      <w:pPr>
        <w:spacing w:line="640" w:lineRule="exact"/>
        <w:ind w:firstLine="640"/>
        <w:jc w:val="both"/>
        <w:outlineLvl w:val="2"/>
      </w:pPr>
      <w:r>
        <w:rPr>
          <w:rFonts w:ascii="黑体" w:hAnsi="黑体" w:eastAsia="黑体"/>
          <w:sz w:val="32"/>
        </w:rPr>
        <w:t>二、机构设置及人员情况</w:t>
      </w:r>
    </w:p>
    <w:p w14:paraId="5B9A3321">
      <w:pPr>
        <w:spacing w:line="580" w:lineRule="exact"/>
        <w:ind w:firstLine="640"/>
        <w:jc w:val="both"/>
      </w:pPr>
      <w:r>
        <w:rPr>
          <w:rFonts w:ascii="仿宋_GB2312" w:hAnsi="仿宋_GB2312" w:eastAsia="仿宋_GB2312"/>
          <w:sz w:val="32"/>
        </w:rPr>
        <w:t>托里县城建监察大队2024年度，实有人数18人，其中：在职人员14人，增加1人；离休人员0人，增加0人；退休人员4人,增加1人。</w:t>
      </w:r>
    </w:p>
    <w:p w14:paraId="3472997D">
      <w:pPr>
        <w:spacing w:line="580" w:lineRule="exact"/>
        <w:ind w:firstLine="640"/>
        <w:jc w:val="both"/>
      </w:pPr>
      <w:r>
        <w:rPr>
          <w:rFonts w:ascii="仿宋_GB2312" w:hAnsi="仿宋_GB2312" w:eastAsia="仿宋_GB2312"/>
          <w:sz w:val="32"/>
        </w:rPr>
        <w:t>托里县城建监察大队无下属预算单位，下设5个科室，分别是：大队长办公室、财务室、办公室、一中队、二中队。</w:t>
      </w:r>
    </w:p>
    <w:p w14:paraId="294972AB">
      <w:r>
        <w:br w:type="page"/>
      </w:r>
    </w:p>
    <w:p w14:paraId="37E1934F">
      <w:pPr>
        <w:spacing w:line="240" w:lineRule="auto"/>
        <w:jc w:val="center"/>
        <w:outlineLvl w:val="1"/>
      </w:pPr>
      <w:r>
        <w:rPr>
          <w:rFonts w:ascii="黑体" w:hAnsi="黑体" w:eastAsia="黑体"/>
          <w:sz w:val="32"/>
        </w:rPr>
        <w:t>第二部分 部门决算情况说明</w:t>
      </w:r>
    </w:p>
    <w:p w14:paraId="192303A7">
      <w:pPr>
        <w:spacing w:line="640" w:lineRule="exact"/>
        <w:ind w:firstLine="640"/>
        <w:jc w:val="both"/>
        <w:outlineLvl w:val="2"/>
      </w:pPr>
      <w:r>
        <w:rPr>
          <w:rFonts w:ascii="黑体" w:hAnsi="黑体" w:eastAsia="黑体"/>
          <w:sz w:val="32"/>
        </w:rPr>
        <w:t>一、收入支出决算总体情况说明</w:t>
      </w:r>
    </w:p>
    <w:p w14:paraId="28D1059D">
      <w:pPr>
        <w:spacing w:line="580" w:lineRule="exact"/>
        <w:ind w:firstLine="640"/>
        <w:jc w:val="both"/>
      </w:pPr>
      <w:r>
        <w:rPr>
          <w:rFonts w:ascii="仿宋_GB2312" w:hAnsi="仿宋_GB2312" w:eastAsia="仿宋_GB2312"/>
          <w:b/>
          <w:sz w:val="32"/>
        </w:rPr>
        <w:t>2024年度收入总计395.64万元，</w:t>
      </w:r>
      <w:r>
        <w:rPr>
          <w:rFonts w:ascii="仿宋_GB2312" w:hAnsi="仿宋_GB2312" w:eastAsia="仿宋_GB2312"/>
          <w:b w:val="0"/>
          <w:sz w:val="32"/>
        </w:rPr>
        <w:t>其中：本年收入合计395.64万元，使用非财政拨款结余（含专用结余）0.00万元，年初结转和结余0.00万元。</w:t>
      </w:r>
    </w:p>
    <w:p w14:paraId="3F915ABB">
      <w:pPr>
        <w:spacing w:line="580" w:lineRule="exact"/>
        <w:ind w:firstLine="640"/>
        <w:jc w:val="both"/>
      </w:pPr>
      <w:r>
        <w:rPr>
          <w:rFonts w:ascii="仿宋_GB2312" w:hAnsi="仿宋_GB2312" w:eastAsia="仿宋_GB2312"/>
          <w:b/>
          <w:sz w:val="32"/>
        </w:rPr>
        <w:t>2024年度支出总计395.64万元，</w:t>
      </w:r>
      <w:r>
        <w:rPr>
          <w:rFonts w:ascii="仿宋_GB2312" w:hAnsi="仿宋_GB2312" w:eastAsia="仿宋_GB2312"/>
          <w:b w:val="0"/>
          <w:sz w:val="32"/>
        </w:rPr>
        <w:t>其中：本年支出合计395.64万元，结余分配0.00万元，年末结转和结余0.01万元。</w:t>
      </w:r>
    </w:p>
    <w:p w14:paraId="6A1202B5">
      <w:pPr>
        <w:spacing w:line="580" w:lineRule="exact"/>
        <w:ind w:firstLine="640"/>
        <w:jc w:val="both"/>
      </w:pPr>
      <w:r>
        <w:rPr>
          <w:rFonts w:ascii="仿宋_GB2312" w:hAnsi="仿宋_GB2312" w:eastAsia="仿宋_GB2312"/>
          <w:b w:val="0"/>
          <w:sz w:val="32"/>
        </w:rPr>
        <w:t>收入支出总体与上年相比，减少25.54万元，下降6.06%，主要原因是：本年减少城市维护建设税返还城区路灯电费项目、2023年项目类采购彩钢板房用于全县住宅小区值班室项目。</w:t>
      </w:r>
    </w:p>
    <w:p w14:paraId="67DBEE7E">
      <w:pPr>
        <w:spacing w:line="640" w:lineRule="exact"/>
        <w:ind w:firstLine="640"/>
        <w:jc w:val="both"/>
        <w:outlineLvl w:val="2"/>
      </w:pPr>
      <w:r>
        <w:rPr>
          <w:rFonts w:ascii="黑体" w:hAnsi="黑体" w:eastAsia="黑体"/>
          <w:sz w:val="32"/>
        </w:rPr>
        <w:t>二、收入决算情况说明</w:t>
      </w:r>
    </w:p>
    <w:p w14:paraId="26186CF2">
      <w:pPr>
        <w:spacing w:line="580" w:lineRule="exact"/>
        <w:ind w:firstLine="640"/>
        <w:jc w:val="both"/>
      </w:pPr>
      <w:r>
        <w:rPr>
          <w:rFonts w:ascii="仿宋_GB2312" w:hAnsi="仿宋_GB2312" w:eastAsia="仿宋_GB2312"/>
          <w:b/>
          <w:sz w:val="32"/>
        </w:rPr>
        <w:t>本年收入395.64万元，</w:t>
      </w:r>
      <w:r>
        <w:rPr>
          <w:rFonts w:ascii="仿宋_GB2312" w:hAnsi="仿宋_GB2312" w:eastAsia="仿宋_GB2312"/>
          <w:b w:val="0"/>
          <w:sz w:val="32"/>
        </w:rPr>
        <w:t>其中：财政拨款收入366.64万元，占92.67%；上级补助收入0.00万元，占0.00%；事业收入0.00万元，占0.00%；经营收入0.00万元，占0.00%；附属单位上缴收入0.00万元，占0.00%；其他收入29.00万元，占7.33%。</w:t>
      </w:r>
    </w:p>
    <w:p w14:paraId="639AB0C9">
      <w:pPr>
        <w:spacing w:line="640" w:lineRule="exact"/>
        <w:ind w:firstLine="640"/>
        <w:jc w:val="both"/>
        <w:outlineLvl w:val="2"/>
      </w:pPr>
      <w:r>
        <w:rPr>
          <w:rFonts w:ascii="黑体" w:hAnsi="黑体" w:eastAsia="黑体"/>
          <w:sz w:val="32"/>
        </w:rPr>
        <w:t>三、支出决算情况说明</w:t>
      </w:r>
    </w:p>
    <w:p w14:paraId="23E89F0B">
      <w:pPr>
        <w:spacing w:line="580" w:lineRule="exact"/>
        <w:ind w:firstLine="640"/>
        <w:jc w:val="both"/>
      </w:pPr>
      <w:r>
        <w:rPr>
          <w:rFonts w:ascii="仿宋_GB2312" w:hAnsi="仿宋_GB2312" w:eastAsia="仿宋_GB2312"/>
          <w:b/>
          <w:sz w:val="32"/>
        </w:rPr>
        <w:t>本年支出395.64万元，</w:t>
      </w:r>
      <w:r>
        <w:rPr>
          <w:rFonts w:ascii="仿宋_GB2312" w:hAnsi="仿宋_GB2312" w:eastAsia="仿宋_GB2312"/>
          <w:b w:val="0"/>
          <w:sz w:val="32"/>
        </w:rPr>
        <w:t>其中：基本支出345.79万元，占87.40%；项目支出49.84万元，占12.60%；上缴上级支出0.00万元，占0.00%；经营支出0.00万元，占0.00%；对附属单位补助支出0.00万元，占0.00%。</w:t>
      </w:r>
    </w:p>
    <w:p w14:paraId="1DB44AC6">
      <w:pPr>
        <w:spacing w:line="640" w:lineRule="exact"/>
        <w:ind w:firstLine="640"/>
        <w:jc w:val="both"/>
        <w:outlineLvl w:val="2"/>
      </w:pPr>
      <w:r>
        <w:rPr>
          <w:rFonts w:ascii="黑体" w:hAnsi="黑体" w:eastAsia="黑体"/>
          <w:sz w:val="32"/>
        </w:rPr>
        <w:t>四、财政拨款收入支出决算总体情况说明</w:t>
      </w:r>
    </w:p>
    <w:p w14:paraId="52A78B74">
      <w:pPr>
        <w:spacing w:line="580" w:lineRule="exact"/>
        <w:ind w:firstLine="640"/>
        <w:jc w:val="both"/>
      </w:pPr>
      <w:r>
        <w:rPr>
          <w:rFonts w:ascii="仿宋_GB2312" w:hAnsi="仿宋_GB2312" w:eastAsia="仿宋_GB2312"/>
          <w:b/>
          <w:sz w:val="32"/>
        </w:rPr>
        <w:t>2024年度财政拨款收入总计366.64万元，</w:t>
      </w:r>
      <w:r>
        <w:rPr>
          <w:rFonts w:ascii="仿宋_GB2312" w:hAnsi="仿宋_GB2312" w:eastAsia="仿宋_GB2312"/>
          <w:b w:val="0"/>
          <w:sz w:val="32"/>
        </w:rPr>
        <w:t>其中：年初财政拨款结转和结余0.00万元，本年财政拨款收入366.64万元。</w:t>
      </w:r>
      <w:r>
        <w:rPr>
          <w:rFonts w:ascii="仿宋_GB2312" w:hAnsi="仿宋_GB2312" w:eastAsia="仿宋_GB2312"/>
          <w:b/>
          <w:sz w:val="32"/>
        </w:rPr>
        <w:t>财政拨款支出总计366.64万元，</w:t>
      </w:r>
      <w:r>
        <w:rPr>
          <w:rFonts w:ascii="仿宋_GB2312" w:hAnsi="仿宋_GB2312" w:eastAsia="仿宋_GB2312"/>
          <w:b w:val="0"/>
          <w:sz w:val="32"/>
        </w:rPr>
        <w:t>其中：年末财政拨款结转和结余0.00万元，本年财政拨款支出366.64万元。</w:t>
      </w:r>
    </w:p>
    <w:p w14:paraId="069CF04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54.53万元，下降12.95%，主要原因是：本年减少城市维护建设税返还城区路灯电费项目、2023年项目类采购彩钢板房用于全县住宅小区值班室项目；本年编外人员减少4人、在职转退休1人，相应人员工资及经费减少。</w:t>
      </w:r>
      <w:r>
        <w:rPr>
          <w:rFonts w:ascii="仿宋_GB2312" w:hAnsi="仿宋_GB2312" w:eastAsia="仿宋_GB2312"/>
          <w:b/>
          <w:sz w:val="32"/>
        </w:rPr>
        <w:t>与年初预算相比，</w:t>
      </w:r>
      <w:r>
        <w:rPr>
          <w:rFonts w:ascii="仿宋_GB2312" w:hAnsi="仿宋_GB2312" w:eastAsia="仿宋_GB2312"/>
          <w:b w:val="0"/>
          <w:sz w:val="32"/>
        </w:rPr>
        <w:t>年初预算数326.59万元，决算数366.64万元，预决算差异率12.26%，主要原因是：年中追加</w:t>
      </w:r>
      <w:r>
        <w:rPr>
          <w:rFonts w:ascii="仿宋_GB2312" w:hAnsi="仿宋_GB2312" w:eastAsia="仿宋_GB2312"/>
          <w:b w:val="0"/>
          <w:spacing w:val="6"/>
          <w:sz w:val="32"/>
        </w:rPr>
        <w:t>人员工资、社保、公积金基数调增部分资金，导致预决算存在差异。</w:t>
      </w:r>
    </w:p>
    <w:p w14:paraId="7B8726C7">
      <w:pPr>
        <w:spacing w:line="640" w:lineRule="exact"/>
        <w:ind w:firstLine="640"/>
        <w:jc w:val="both"/>
        <w:outlineLvl w:val="2"/>
      </w:pPr>
      <w:r>
        <w:rPr>
          <w:rFonts w:ascii="黑体" w:hAnsi="黑体" w:eastAsia="黑体"/>
          <w:sz w:val="32"/>
        </w:rPr>
        <w:t>五、一般公共预算财政拨款支出决算情况说明</w:t>
      </w:r>
    </w:p>
    <w:p w14:paraId="6A6D6A39">
      <w:pPr>
        <w:spacing w:line="640" w:lineRule="exact"/>
        <w:ind w:firstLine="640"/>
        <w:jc w:val="both"/>
        <w:outlineLvl w:val="3"/>
      </w:pPr>
      <w:r>
        <w:rPr>
          <w:rFonts w:ascii="楷体_GB2312" w:hAnsi="楷体_GB2312" w:eastAsia="楷体_GB2312"/>
          <w:b/>
          <w:sz w:val="32"/>
        </w:rPr>
        <w:t>（一）一般公共预算财政拨款支出决算总体情况</w:t>
      </w:r>
    </w:p>
    <w:p w14:paraId="64FD0FCD">
      <w:pPr>
        <w:spacing w:line="580" w:lineRule="exact"/>
        <w:ind w:firstLine="640"/>
        <w:jc w:val="both"/>
      </w:pPr>
      <w:r>
        <w:rPr>
          <w:rFonts w:ascii="仿宋_GB2312" w:hAnsi="仿宋_GB2312" w:eastAsia="仿宋_GB2312"/>
          <w:b/>
          <w:sz w:val="32"/>
        </w:rPr>
        <w:t>2024年度一般公共预算财政拨款支出366.64万元，</w:t>
      </w:r>
      <w:r>
        <w:rPr>
          <w:rFonts w:ascii="仿宋_GB2312" w:hAnsi="仿宋_GB2312" w:eastAsia="仿宋_GB2312"/>
          <w:b w:val="0"/>
          <w:sz w:val="32"/>
        </w:rPr>
        <w:t>占本年支出合计的92.67%。</w:t>
      </w:r>
      <w:r>
        <w:rPr>
          <w:rFonts w:ascii="仿宋_GB2312" w:hAnsi="仿宋_GB2312" w:eastAsia="仿宋_GB2312"/>
          <w:b/>
          <w:sz w:val="32"/>
        </w:rPr>
        <w:t>与上年相比，</w:t>
      </w:r>
      <w:r>
        <w:rPr>
          <w:rFonts w:ascii="仿宋_GB2312" w:hAnsi="仿宋_GB2312" w:eastAsia="仿宋_GB2312"/>
          <w:b w:val="0"/>
          <w:sz w:val="32"/>
        </w:rPr>
        <w:t>减少54.53万元，下降12.95%，主要原因是：本年减少城市维护建设税返还城区路灯电费项目、2023年项目类采购彩钢板房用于全县住宅小区值班室项目；本年编外人员减少4人、在职转退休1人，相应人员工资及经费减少。</w:t>
      </w:r>
      <w:r>
        <w:rPr>
          <w:rFonts w:ascii="仿宋_GB2312" w:hAnsi="仿宋_GB2312" w:eastAsia="仿宋_GB2312"/>
          <w:b/>
          <w:sz w:val="32"/>
        </w:rPr>
        <w:t>与年初预算相比,</w:t>
      </w:r>
      <w:r>
        <w:rPr>
          <w:rFonts w:ascii="仿宋_GB2312" w:hAnsi="仿宋_GB2312" w:eastAsia="仿宋_GB2312"/>
          <w:b w:val="0"/>
          <w:sz w:val="32"/>
        </w:rPr>
        <w:t>年初预算数326.59万元，决算数366.64万元，预决算差异率12.26%，主要原因是：年中追加人员工资、社保、公积金基数调增部分资金，导致预决算存在差异。</w:t>
      </w:r>
    </w:p>
    <w:p w14:paraId="462B4CFC">
      <w:pPr>
        <w:spacing w:line="640" w:lineRule="exact"/>
        <w:ind w:firstLine="640"/>
        <w:jc w:val="both"/>
        <w:outlineLvl w:val="3"/>
      </w:pPr>
      <w:r>
        <w:rPr>
          <w:rFonts w:ascii="楷体_GB2312" w:hAnsi="楷体_GB2312" w:eastAsia="楷体_GB2312"/>
          <w:b/>
          <w:sz w:val="32"/>
        </w:rPr>
        <w:t>（二）一般公共预算财政拨款支出决算结构情况</w:t>
      </w:r>
    </w:p>
    <w:p w14:paraId="38BC4AAD">
      <w:pPr>
        <w:spacing w:line="580" w:lineRule="exact"/>
        <w:ind w:firstLine="640"/>
        <w:jc w:val="both"/>
      </w:pPr>
      <w:r>
        <w:rPr>
          <w:rFonts w:ascii="仿宋_GB2312" w:hAnsi="仿宋_GB2312" w:eastAsia="仿宋_GB2312"/>
          <w:b w:val="0"/>
          <w:sz w:val="32"/>
        </w:rPr>
        <w:t>1.社会保障和就业支出(类)35.98万元,占9.81%。</w:t>
      </w:r>
    </w:p>
    <w:p w14:paraId="4492ABB6">
      <w:pPr>
        <w:spacing w:line="580" w:lineRule="exact"/>
        <w:ind w:firstLine="640"/>
        <w:jc w:val="both"/>
      </w:pPr>
      <w:r>
        <w:rPr>
          <w:rFonts w:ascii="仿宋_GB2312" w:hAnsi="仿宋_GB2312" w:eastAsia="仿宋_GB2312"/>
          <w:b w:val="0"/>
          <w:sz w:val="32"/>
        </w:rPr>
        <w:t>2.卫生健康支出(类)15.50万元,占4.23%。</w:t>
      </w:r>
    </w:p>
    <w:p w14:paraId="14E699AB">
      <w:pPr>
        <w:spacing w:line="580" w:lineRule="exact"/>
        <w:ind w:firstLine="640"/>
        <w:jc w:val="both"/>
      </w:pPr>
      <w:r>
        <w:rPr>
          <w:rFonts w:ascii="仿宋_GB2312" w:hAnsi="仿宋_GB2312" w:eastAsia="仿宋_GB2312"/>
          <w:b w:val="0"/>
          <w:sz w:val="32"/>
        </w:rPr>
        <w:t>3.城乡社区支出(类)295.99万元,占80.73%。</w:t>
      </w:r>
    </w:p>
    <w:p w14:paraId="54AE4B22">
      <w:pPr>
        <w:spacing w:line="580" w:lineRule="exact"/>
        <w:ind w:firstLine="640"/>
        <w:jc w:val="both"/>
      </w:pPr>
      <w:r>
        <w:rPr>
          <w:rFonts w:ascii="仿宋_GB2312" w:hAnsi="仿宋_GB2312" w:eastAsia="仿宋_GB2312"/>
          <w:b w:val="0"/>
          <w:sz w:val="32"/>
        </w:rPr>
        <w:t>4.住房保障支出(类)19.16万元,占5.23%。</w:t>
      </w:r>
    </w:p>
    <w:p w14:paraId="2C8B6C7B">
      <w:pPr>
        <w:spacing w:line="640" w:lineRule="exact"/>
        <w:ind w:firstLine="640"/>
        <w:jc w:val="both"/>
        <w:outlineLvl w:val="3"/>
      </w:pPr>
      <w:r>
        <w:rPr>
          <w:rFonts w:ascii="楷体_GB2312" w:hAnsi="楷体_GB2312" w:eastAsia="楷体_GB2312"/>
          <w:b/>
          <w:sz w:val="32"/>
        </w:rPr>
        <w:t>（三）一般公共预算财政拨款支出决算具体情况</w:t>
      </w:r>
    </w:p>
    <w:p w14:paraId="42BB8DCB">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1.社会保障和就业支出(类)行政事业单位养老支出(款)行政单位离退休(项):支出决算数为2.74万元，比上年决算增加0.27万元，增长10.93%,主要原因是：本年退休人员增加，退休费支出增加。</w:t>
      </w:r>
    </w:p>
    <w:p w14:paraId="4868E1C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24.03万元，比上年决算增加0.79万元，增长3.40%,主要原因是：本年在职人员增加，养老保险缴费较上年增加。</w:t>
      </w:r>
    </w:p>
    <w:p w14:paraId="378002FE">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8.36万元，比上年决算减少5.19万元，下降38.30%,主要原因是：本年新增退休人员较上年减少，职业年金缴费较上年减少。</w:t>
      </w:r>
    </w:p>
    <w:p w14:paraId="6F579AF5">
      <w:pPr>
        <w:spacing w:line="580" w:lineRule="exact"/>
        <w:ind w:firstLine="640"/>
        <w:jc w:val="both"/>
      </w:pPr>
      <w:r>
        <w:rPr>
          <w:rFonts w:ascii="仿宋_GB2312" w:hAnsi="仿宋_GB2312" w:eastAsia="仿宋_GB2312"/>
          <w:b w:val="0"/>
          <w:sz w:val="32"/>
        </w:rPr>
        <w:t>4.社会保障和就业支出(类)就业补助(款)社会保险补贴(项):支出决算数为0.84万元，比上年决算增加0.84万元，增长100.00%,主要原因是：本年新增公益性岗位，社会保险补贴增加。</w:t>
      </w:r>
    </w:p>
    <w:p w14:paraId="2C46E5DF">
      <w:pPr>
        <w:spacing w:line="580" w:lineRule="exact"/>
        <w:ind w:firstLine="640"/>
        <w:jc w:val="both"/>
      </w:pPr>
      <w:r>
        <w:rPr>
          <w:rFonts w:ascii="仿宋_GB2312" w:hAnsi="仿宋_GB2312" w:eastAsia="仿宋_GB2312"/>
          <w:b w:val="0"/>
          <w:sz w:val="32"/>
        </w:rPr>
        <w:t>5.卫生健康支出(类)行政事业单位医疗(款)行政单位医疗(项):支出决算数为10.33万元，比上年决算减少0.18万元，下降1.71%,主要原因是：本年在职人员调入调出，人员职级不同，缴费基数不同，导致行政单位医疗支出较上年减少。</w:t>
      </w:r>
    </w:p>
    <w:p w14:paraId="31EA4BD3">
      <w:pPr>
        <w:spacing w:line="580" w:lineRule="exact"/>
        <w:ind w:firstLine="640"/>
        <w:jc w:val="both"/>
      </w:pPr>
      <w:r>
        <w:rPr>
          <w:rFonts w:ascii="仿宋_GB2312" w:hAnsi="仿宋_GB2312" w:eastAsia="仿宋_GB2312"/>
          <w:b w:val="0"/>
          <w:sz w:val="32"/>
        </w:rPr>
        <w:t>6.卫生健康支出(类)行政事业单位医疗(款)公务员医疗补助(项):支出决算数为5.17万元，比上年决算减少0.09万元，下降1.71%,主要原因是：本年在职人员调入调出，人员职级不同，缴费基数不同，公务员医疗补助较上年减少。</w:t>
      </w:r>
    </w:p>
    <w:p w14:paraId="2D0B0AD7">
      <w:pPr>
        <w:spacing w:line="580" w:lineRule="exact"/>
        <w:ind w:firstLine="640"/>
        <w:jc w:val="both"/>
      </w:pPr>
      <w:r>
        <w:rPr>
          <w:rFonts w:ascii="仿宋_GB2312" w:hAnsi="仿宋_GB2312" w:eastAsia="仿宋_GB2312"/>
          <w:b w:val="0"/>
          <w:sz w:val="32"/>
        </w:rPr>
        <w:t>7.城乡社区支出(类)城乡社区管理事务(款)行政运行(项):支出决算数为275.99万元，比上年决算减少36.99万元，下降11.82%,主要原因是：本年编外人员减少4人、在职转退休1人，退休人员职级高，新调入人员职级低，工资基数不同，相对应人员工资及经费减少。</w:t>
      </w:r>
    </w:p>
    <w:p w14:paraId="6F716D84">
      <w:pPr>
        <w:spacing w:line="580" w:lineRule="exact"/>
        <w:ind w:firstLine="640"/>
        <w:jc w:val="both"/>
      </w:pPr>
      <w:r>
        <w:rPr>
          <w:rFonts w:ascii="仿宋_GB2312" w:hAnsi="仿宋_GB2312" w:eastAsia="仿宋_GB2312"/>
          <w:b w:val="0"/>
          <w:sz w:val="32"/>
        </w:rPr>
        <w:t>8.城乡社区支出(类)城乡社区公共设施(款)其他城乡社区公共设施支出(项):支出决算数为20.00万元，比上年决算减少15.00万元，下降42.86%,主要原因是：本年减少城市维护建设税返还城区路灯电费项目、2023年项目类采购彩钢板房用于全县住宅小区值班室项目。</w:t>
      </w:r>
    </w:p>
    <w:p w14:paraId="20FA3CC3">
      <w:pPr>
        <w:spacing w:line="580" w:lineRule="exact"/>
        <w:ind w:firstLine="640"/>
        <w:jc w:val="both"/>
      </w:pPr>
      <w:r>
        <w:rPr>
          <w:rFonts w:ascii="仿宋_GB2312" w:hAnsi="仿宋_GB2312" w:eastAsia="仿宋_GB2312"/>
          <w:b w:val="0"/>
          <w:sz w:val="32"/>
        </w:rPr>
        <w:t>9.住房保障支出(类)住房改革支出(款)住房公积金(项):支出决算数为19.16万元，比上年决算增加1.00万元，增长5.51%,主要原因是：本年在职人员增加1人，同时工资基数调增，公积金缴费基数上涨，相应支出增加。</w:t>
      </w:r>
    </w:p>
    <w:p w14:paraId="7A13F87B">
      <w:pPr>
        <w:spacing w:line="640" w:lineRule="exact"/>
        <w:ind w:firstLine="640"/>
        <w:jc w:val="both"/>
        <w:outlineLvl w:val="2"/>
      </w:pPr>
      <w:r>
        <w:rPr>
          <w:rFonts w:ascii="黑体" w:hAnsi="黑体" w:eastAsia="黑体"/>
          <w:sz w:val="32"/>
        </w:rPr>
        <w:t>六、一般公共预算财政拨款基本支出决算情况说明</w:t>
      </w:r>
    </w:p>
    <w:p w14:paraId="5A46E7D4">
      <w:pPr>
        <w:spacing w:line="580" w:lineRule="exact"/>
        <w:ind w:firstLine="640"/>
        <w:jc w:val="both"/>
      </w:pPr>
      <w:r>
        <w:rPr>
          <w:rFonts w:ascii="仿宋_GB2312" w:hAnsi="仿宋_GB2312" w:eastAsia="仿宋_GB2312"/>
          <w:b w:val="0"/>
          <w:sz w:val="32"/>
        </w:rPr>
        <w:t>2024年度一般公共预算财政拨款基本支出345.79万元，其中：</w:t>
      </w:r>
      <w:r>
        <w:rPr>
          <w:rFonts w:ascii="仿宋_GB2312" w:hAnsi="仿宋_GB2312" w:eastAsia="仿宋_GB2312"/>
          <w:b/>
          <w:sz w:val="32"/>
        </w:rPr>
        <w:t>人员经费333.73万元，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w:t>
      </w:r>
      <w:bookmarkStart w:id="0" w:name="_GoBack"/>
      <w:r>
        <w:rPr>
          <w:rFonts w:ascii="仿宋_GB2312" w:hAnsi="仿宋_GB2312" w:eastAsia="仿宋_GB2312"/>
          <w:b w:val="0"/>
          <w:spacing w:val="6"/>
          <w:sz w:val="32"/>
        </w:rPr>
        <w:t>金、其他工资福利支出、退休费、生活补助、医疗费补助、奖励金。</w:t>
      </w:r>
      <w:bookmarkEnd w:id="0"/>
    </w:p>
    <w:p w14:paraId="3D408C6E">
      <w:pPr>
        <w:spacing w:line="580" w:lineRule="exact"/>
        <w:ind w:firstLine="640"/>
        <w:jc w:val="both"/>
      </w:pPr>
      <w:r>
        <w:rPr>
          <w:rFonts w:ascii="仿宋_GB2312" w:hAnsi="仿宋_GB2312" w:eastAsia="仿宋_GB2312"/>
          <w:b/>
          <w:sz w:val="32"/>
        </w:rPr>
        <w:t>公用经费12.06万元，</w:t>
      </w:r>
      <w:r>
        <w:rPr>
          <w:rFonts w:ascii="仿宋_GB2312" w:hAnsi="仿宋_GB2312" w:eastAsia="仿宋_GB2312"/>
          <w:b w:val="0"/>
          <w:sz w:val="32"/>
        </w:rPr>
        <w:t>包括：办公费、手续费、电费、邮电费、取暖费、培训费、工会经费、其他交通费用。</w:t>
      </w:r>
    </w:p>
    <w:p w14:paraId="1706EFA6">
      <w:pPr>
        <w:spacing w:line="640" w:lineRule="exact"/>
        <w:ind w:firstLine="640"/>
        <w:jc w:val="both"/>
        <w:outlineLvl w:val="2"/>
      </w:pPr>
      <w:r>
        <w:rPr>
          <w:rFonts w:ascii="黑体" w:hAnsi="黑体" w:eastAsia="黑体"/>
          <w:sz w:val="32"/>
        </w:rPr>
        <w:t>七、政府性基金预算财政拨款收入支出决算情况说明</w:t>
      </w:r>
    </w:p>
    <w:p w14:paraId="493AC82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8175A26">
      <w:pPr>
        <w:spacing w:line="640" w:lineRule="exact"/>
        <w:ind w:firstLine="640"/>
        <w:jc w:val="both"/>
        <w:outlineLvl w:val="2"/>
      </w:pPr>
      <w:r>
        <w:rPr>
          <w:rFonts w:ascii="黑体" w:hAnsi="黑体" w:eastAsia="黑体"/>
          <w:sz w:val="32"/>
        </w:rPr>
        <w:t>八、国有资本经营预算财政拨款收入支出决算情况说明</w:t>
      </w:r>
    </w:p>
    <w:p w14:paraId="4EE3E1D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040AD2F">
      <w:pPr>
        <w:spacing w:line="640" w:lineRule="exact"/>
        <w:ind w:firstLine="640"/>
        <w:jc w:val="both"/>
        <w:outlineLvl w:val="2"/>
      </w:pPr>
      <w:r>
        <w:rPr>
          <w:rFonts w:ascii="黑体" w:hAnsi="黑体" w:eastAsia="黑体"/>
          <w:sz w:val="32"/>
        </w:rPr>
        <w:t>九、财政拨款“三公”经费支出决算情况说明</w:t>
      </w:r>
    </w:p>
    <w:p w14:paraId="78629D2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33C14DC">
      <w:pPr>
        <w:spacing w:line="580" w:lineRule="exact"/>
        <w:ind w:firstLine="640"/>
        <w:jc w:val="both"/>
      </w:pPr>
      <w:r>
        <w:rPr>
          <w:rFonts w:ascii="仿宋_GB2312" w:hAnsi="仿宋_GB2312" w:eastAsia="仿宋_GB2312"/>
          <w:b/>
          <w:sz w:val="32"/>
        </w:rPr>
        <w:t>具体情况如下：</w:t>
      </w:r>
    </w:p>
    <w:p w14:paraId="3C9391E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17F3EF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6辆，与公务用车保有量差异原因是：单位业务用车，车辆费用未使用财政拨款公务用车运行维护费支付，由其他交通费经费保障。</w:t>
      </w:r>
    </w:p>
    <w:p w14:paraId="4DC5BBB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9FB333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B347B22">
      <w:pPr>
        <w:spacing w:line="640" w:lineRule="exact"/>
        <w:ind w:firstLine="640"/>
        <w:jc w:val="both"/>
        <w:outlineLvl w:val="2"/>
      </w:pPr>
      <w:r>
        <w:rPr>
          <w:rFonts w:ascii="黑体" w:hAnsi="黑体" w:eastAsia="黑体"/>
          <w:sz w:val="32"/>
        </w:rPr>
        <w:t>十、其他重要事项的情况说明</w:t>
      </w:r>
    </w:p>
    <w:p w14:paraId="09E2ED5D">
      <w:pPr>
        <w:spacing w:line="640" w:lineRule="exact"/>
        <w:ind w:firstLine="640"/>
        <w:jc w:val="both"/>
        <w:outlineLvl w:val="3"/>
      </w:pPr>
      <w:r>
        <w:rPr>
          <w:rFonts w:ascii="楷体_GB2312" w:hAnsi="楷体_GB2312" w:eastAsia="楷体_GB2312"/>
          <w:b/>
          <w:sz w:val="32"/>
        </w:rPr>
        <w:t>（一）机关运行经费及公用经费支出情况</w:t>
      </w:r>
    </w:p>
    <w:p w14:paraId="3F58EDD6">
      <w:pPr>
        <w:spacing w:line="580" w:lineRule="exact"/>
        <w:ind w:firstLine="640"/>
        <w:jc w:val="both"/>
      </w:pPr>
      <w:r>
        <w:rPr>
          <w:rFonts w:ascii="仿宋_GB2312" w:hAnsi="仿宋_GB2312" w:eastAsia="仿宋_GB2312"/>
          <w:b w:val="0"/>
          <w:sz w:val="32"/>
        </w:rPr>
        <w:t>2024年度托里县城建监察大队（行政单位和参照公务员法管理事业单位）机关运行经费支出12.06万元，比上年减少5.11万元，下降29.76%，主要原因是：严格控制公用经费，合理节约办公用品，减少不必要开支。</w:t>
      </w:r>
    </w:p>
    <w:p w14:paraId="042C1046">
      <w:pPr>
        <w:spacing w:line="640" w:lineRule="exact"/>
        <w:ind w:firstLine="640"/>
        <w:jc w:val="both"/>
        <w:outlineLvl w:val="3"/>
      </w:pPr>
      <w:r>
        <w:rPr>
          <w:rFonts w:ascii="楷体_GB2312" w:hAnsi="楷体_GB2312" w:eastAsia="楷体_GB2312"/>
          <w:b/>
          <w:sz w:val="32"/>
        </w:rPr>
        <w:t>（二）政府采购情况</w:t>
      </w:r>
    </w:p>
    <w:p w14:paraId="4F307125">
      <w:pPr>
        <w:spacing w:line="580" w:lineRule="exact"/>
        <w:ind w:firstLine="640"/>
        <w:jc w:val="both"/>
      </w:pPr>
      <w:r>
        <w:rPr>
          <w:rFonts w:ascii="仿宋_GB2312" w:hAnsi="仿宋_GB2312" w:eastAsia="仿宋_GB2312"/>
          <w:b w:val="0"/>
          <w:sz w:val="32"/>
        </w:rPr>
        <w:t>2024年度政府采购支出总额36.37万元，其中：政府采购货物支出1.61万元、政府采购工程支出0.00万元、政府采购服务支出34.76万元。</w:t>
      </w:r>
    </w:p>
    <w:p w14:paraId="003823BF">
      <w:pPr>
        <w:spacing w:line="580" w:lineRule="exact"/>
        <w:ind w:firstLine="640"/>
        <w:jc w:val="both"/>
      </w:pPr>
      <w:r>
        <w:rPr>
          <w:rFonts w:ascii="仿宋_GB2312" w:hAnsi="仿宋_GB2312" w:eastAsia="仿宋_GB2312"/>
          <w:b w:val="0"/>
          <w:sz w:val="32"/>
        </w:rPr>
        <w:t>授予中小企业合同金额33.41万元，占政府采购支出总额的91.86%，其中：授予小微企业合同金额33.41万元，占政府采购支出总额的91.86%。</w:t>
      </w:r>
    </w:p>
    <w:p w14:paraId="766A2C25">
      <w:pPr>
        <w:spacing w:line="640" w:lineRule="exact"/>
        <w:ind w:firstLine="640"/>
        <w:jc w:val="both"/>
        <w:outlineLvl w:val="3"/>
      </w:pPr>
      <w:r>
        <w:rPr>
          <w:rFonts w:ascii="楷体_GB2312" w:hAnsi="楷体_GB2312" w:eastAsia="楷体_GB2312"/>
          <w:b/>
          <w:sz w:val="32"/>
        </w:rPr>
        <w:t>（三）国有资产占用情况说明</w:t>
      </w:r>
    </w:p>
    <w:p w14:paraId="36828D6D">
      <w:pPr>
        <w:spacing w:line="580" w:lineRule="exact"/>
        <w:ind w:firstLine="640"/>
        <w:jc w:val="both"/>
      </w:pPr>
      <w:r>
        <w:rPr>
          <w:rFonts w:ascii="仿宋_GB2312" w:hAnsi="仿宋_GB2312" w:eastAsia="仿宋_GB2312"/>
          <w:b w:val="0"/>
          <w:sz w:val="32"/>
        </w:rPr>
        <w:t>截至2024年12月31日，房屋0.00平方米，价值0.00万元。车辆6辆，价值77.89万元，其中：副部（省）级及以上领导用车0辆、主要负责人用车0辆、机要通信用车0辆、应急保障用车0辆、执法执勤用车5辆、特种专业技术用车1辆、离退休干部服务用车0辆、其他用车0辆，其他用车主要是：本单位无其他用车。单价100万元（含）以上设备（不含车辆）0台（套）。</w:t>
      </w:r>
    </w:p>
    <w:p w14:paraId="5C82B843">
      <w:pPr>
        <w:spacing w:line="640" w:lineRule="exact"/>
        <w:ind w:firstLine="640"/>
        <w:jc w:val="both"/>
        <w:outlineLvl w:val="2"/>
      </w:pPr>
      <w:r>
        <w:rPr>
          <w:rFonts w:ascii="黑体" w:hAnsi="黑体" w:eastAsia="黑体"/>
          <w:sz w:val="32"/>
        </w:rPr>
        <w:t>十一、预算绩效的情况说明</w:t>
      </w:r>
    </w:p>
    <w:p w14:paraId="72D90B2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395.64万元，实际执行总额395.64万元；预算绩效评价项目3个，全年预算数49.84万元，全年执行数49.84万元。预算绩效管理取得的成效：一是</w:t>
      </w:r>
      <w:r>
        <w:rPr>
          <w:rFonts w:hint="eastAsia" w:ascii="仿宋_GB2312" w:hAnsi="仿宋_GB2312" w:eastAsia="仿宋_GB2312"/>
          <w:b w:val="0"/>
          <w:sz w:val="32"/>
          <w:lang w:eastAsia="zh-CN"/>
        </w:rPr>
        <w:t>本单位</w:t>
      </w:r>
      <w:r>
        <w:rPr>
          <w:rFonts w:ascii="仿宋_GB2312" w:hAnsi="仿宋_GB2312" w:eastAsia="仿宋_GB2312"/>
          <w:b w:val="0"/>
          <w:sz w:val="32"/>
        </w:rPr>
        <w:t>承担城市维护建设税返还城区路灯电费项目，以保证城区道路照明设施安全运行，不仅对居民出行、夜间车辆交通安全、维护社会治安起到保障作用，还同时亮化区容、区貌，提升城市人居环境质量和人民生活质量；二是项目效益明显，城建监察大队从业务管理、资金管理、资金使用等方面加强对项目管理，不断完善机制、明确责任，已较好完成路灯红绿灯电费资金绩效评价的任务和目标，确保项目资金安全可靠，合规合法。项目基本达到既定目标，资金使用绩效良好。发现的问题及原因：一是责任落实不到位；二是绩效管理工作做</w:t>
      </w:r>
      <w:r>
        <w:rPr>
          <w:rFonts w:hint="eastAsia" w:ascii="仿宋_GB2312" w:hAnsi="仿宋_GB2312" w:eastAsia="仿宋_GB2312"/>
          <w:b w:val="0"/>
          <w:sz w:val="32"/>
          <w:lang w:eastAsia="zh-CN"/>
        </w:rPr>
        <w:t>得</w:t>
      </w:r>
      <w:r>
        <w:rPr>
          <w:rFonts w:ascii="仿宋_GB2312" w:hAnsi="仿宋_GB2312" w:eastAsia="仿宋_GB2312"/>
          <w:b w:val="0"/>
          <w:sz w:val="32"/>
        </w:rPr>
        <w:t>不够细致，制度不够完善。下一步改进措施：一是进一步培养和提高职业业务水平；二是责任到人，落实监管责任，充分发挥主人翁责任意识；三是将本单位绩效管理工作纳入年终绩效管理积分制；四是落实法人责任制，监管并举，夯实责任，明确任务，确保取得实效。五是以绩效目标实现为导向，进一步加强制度建设，提升自评质量，积极完成绩效工作，健全绩效管理工作机制，明确责任分工，努力提高绩效管理水平。具体附整体支出绩效自评表，项目支出绩效自评表和评价报告。</w:t>
      </w:r>
    </w:p>
    <w:p w14:paraId="5B7030C3">
      <w:r>
        <w:br w:type="page"/>
      </w:r>
    </w:p>
    <w:tbl>
      <w:tblPr>
        <w:tblStyle w:val="9"/>
        <w:tblW w:w="0" w:type="auto"/>
        <w:tblInd w:w="0" w:type="dxa"/>
        <w:tblLayout w:type="fixed"/>
        <w:tblCellMar>
          <w:top w:w="0" w:type="dxa"/>
          <w:left w:w="108" w:type="dxa"/>
          <w:bottom w:w="0" w:type="dxa"/>
          <w:right w:w="108" w:type="dxa"/>
        </w:tblCellMar>
      </w:tblPr>
      <w:tblGrid>
        <w:gridCol w:w="1105"/>
        <w:gridCol w:w="1105"/>
        <w:gridCol w:w="1518"/>
        <w:gridCol w:w="949"/>
        <w:gridCol w:w="1189"/>
        <w:gridCol w:w="764"/>
        <w:gridCol w:w="1105"/>
        <w:gridCol w:w="1105"/>
      </w:tblGrid>
      <w:tr w14:paraId="256D59C8">
        <w:tblPrEx>
          <w:tblCellMar>
            <w:top w:w="0" w:type="dxa"/>
            <w:left w:w="108" w:type="dxa"/>
            <w:bottom w:w="0" w:type="dxa"/>
            <w:right w:w="108" w:type="dxa"/>
          </w:tblCellMar>
        </w:tblPrEx>
        <w:tc>
          <w:tcPr>
            <w:tcW w:w="8840" w:type="dxa"/>
            <w:gridSpan w:val="8"/>
            <w:vAlign w:val="center"/>
          </w:tcPr>
          <w:p w14:paraId="33008173">
            <w:pPr>
              <w:jc w:val="center"/>
            </w:pPr>
            <w:r>
              <w:rPr>
                <w:rFonts w:ascii="宋体" w:hAnsi="宋体" w:eastAsia="宋体"/>
                <w:sz w:val="24"/>
              </w:rPr>
              <w:t>单位整体支出绩效自评表</w:t>
            </w:r>
          </w:p>
        </w:tc>
      </w:tr>
      <w:tr w14:paraId="11698499">
        <w:tblPrEx>
          <w:tblCellMar>
            <w:top w:w="0" w:type="dxa"/>
            <w:left w:w="108" w:type="dxa"/>
            <w:bottom w:w="0" w:type="dxa"/>
            <w:right w:w="108" w:type="dxa"/>
          </w:tblCellMar>
        </w:tblPrEx>
        <w:tc>
          <w:tcPr>
            <w:tcW w:w="8840" w:type="dxa"/>
            <w:gridSpan w:val="8"/>
            <w:vAlign w:val="center"/>
          </w:tcPr>
          <w:p w14:paraId="76EAE242">
            <w:pPr>
              <w:jc w:val="center"/>
            </w:pPr>
            <w:r>
              <w:rPr>
                <w:rFonts w:ascii="宋体" w:hAnsi="宋体" w:eastAsia="宋体"/>
                <w:sz w:val="24"/>
              </w:rPr>
              <w:t>（2024年度）</w:t>
            </w:r>
          </w:p>
        </w:tc>
      </w:tr>
      <w:tr w14:paraId="0FFCBE8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5AA5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11D418">
            <w:pPr>
              <w:jc w:val="center"/>
            </w:pPr>
            <w:r>
              <w:rPr>
                <w:rFonts w:ascii="宋体" w:hAnsi="宋体" w:eastAsia="宋体"/>
                <w:sz w:val="16"/>
              </w:rPr>
              <w:t>托里县城建监察大队</w:t>
            </w:r>
          </w:p>
        </w:tc>
      </w:tr>
      <w:tr w14:paraId="6B25DB0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42D1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1BA8B">
            <w:pPr>
              <w:jc w:val="center"/>
            </w:pPr>
            <w:r>
              <w:rPr>
                <w:rFonts w:ascii="宋体" w:hAnsi="宋体" w:eastAsia="宋体"/>
                <w:sz w:val="16"/>
              </w:rPr>
              <w:t>资金来源</w:t>
            </w:r>
          </w:p>
        </w:tc>
        <w:tc>
          <w:tcPr>
            <w:tcW w:w="1518" w:type="dxa"/>
            <w:tcBorders>
              <w:top w:val="single" w:color="auto" w:sz="10" w:space="0"/>
              <w:left w:val="single" w:color="auto" w:sz="10" w:space="0"/>
              <w:bottom w:val="single" w:color="auto" w:sz="10" w:space="0"/>
              <w:right w:val="single" w:color="auto" w:sz="10" w:space="0"/>
              <w:insideV w:val="single" w:sz="10" w:space="0"/>
            </w:tcBorders>
            <w:vAlign w:val="center"/>
          </w:tcPr>
          <w:p w14:paraId="5C4C6C4B">
            <w:pPr>
              <w:jc w:val="center"/>
            </w:pPr>
            <w:r>
              <w:rPr>
                <w:rFonts w:ascii="宋体" w:hAnsi="宋体" w:eastAsia="宋体"/>
                <w:sz w:val="16"/>
              </w:rPr>
              <w:t>年初预算数</w:t>
            </w:r>
          </w:p>
        </w:tc>
        <w:tc>
          <w:tcPr>
            <w:tcW w:w="949" w:type="dxa"/>
            <w:tcBorders>
              <w:top w:val="single" w:color="auto" w:sz="10" w:space="0"/>
              <w:left w:val="single" w:color="auto" w:sz="10" w:space="0"/>
              <w:bottom w:val="single" w:color="auto" w:sz="10" w:space="0"/>
              <w:right w:val="single" w:color="auto" w:sz="10" w:space="0"/>
              <w:insideV w:val="single" w:sz="10" w:space="0"/>
            </w:tcBorders>
            <w:vAlign w:val="center"/>
          </w:tcPr>
          <w:p w14:paraId="52428AA6">
            <w:pPr>
              <w:jc w:val="center"/>
            </w:pPr>
            <w:r>
              <w:rPr>
                <w:rFonts w:ascii="宋体" w:hAnsi="宋体" w:eastAsia="宋体"/>
                <w:sz w:val="16"/>
              </w:rPr>
              <w:t>预算数</w:t>
            </w:r>
          </w:p>
        </w:tc>
        <w:tc>
          <w:tcPr>
            <w:tcW w:w="1189" w:type="dxa"/>
            <w:tcBorders>
              <w:top w:val="single" w:color="auto" w:sz="10" w:space="0"/>
              <w:left w:val="single" w:color="auto" w:sz="10" w:space="0"/>
              <w:bottom w:val="single" w:color="auto" w:sz="10" w:space="0"/>
              <w:right w:val="single" w:color="auto" w:sz="10" w:space="0"/>
              <w:insideV w:val="single" w:sz="10" w:space="0"/>
            </w:tcBorders>
            <w:vAlign w:val="center"/>
          </w:tcPr>
          <w:p w14:paraId="41201611">
            <w:pPr>
              <w:jc w:val="center"/>
            </w:pPr>
            <w:r>
              <w:rPr>
                <w:rFonts w:ascii="宋体" w:hAnsi="宋体" w:eastAsia="宋体"/>
                <w:sz w:val="16"/>
              </w:rPr>
              <w:t>执行数</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08C703B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B450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24C8DF">
            <w:pPr>
              <w:jc w:val="center"/>
            </w:pPr>
            <w:r>
              <w:rPr>
                <w:rFonts w:ascii="宋体" w:hAnsi="宋体" w:eastAsia="宋体"/>
                <w:sz w:val="16"/>
              </w:rPr>
              <w:t>得分</w:t>
            </w:r>
          </w:p>
        </w:tc>
      </w:tr>
      <w:tr w14:paraId="133530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65E9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2C596">
            <w:pPr>
              <w:jc w:val="center"/>
            </w:pPr>
            <w:r>
              <w:rPr>
                <w:rFonts w:ascii="宋体" w:hAnsi="宋体" w:eastAsia="宋体"/>
                <w:sz w:val="16"/>
              </w:rPr>
              <w:t>年度总资金</w:t>
            </w:r>
          </w:p>
        </w:tc>
        <w:tc>
          <w:tcPr>
            <w:tcW w:w="1518" w:type="dxa"/>
            <w:tcBorders>
              <w:top w:val="single" w:color="auto" w:sz="10" w:space="0"/>
              <w:left w:val="single" w:color="auto" w:sz="10" w:space="0"/>
              <w:bottom w:val="single" w:color="auto" w:sz="10" w:space="0"/>
              <w:right w:val="single" w:color="auto" w:sz="10" w:space="0"/>
              <w:insideV w:val="single" w:sz="10" w:space="0"/>
            </w:tcBorders>
            <w:vAlign w:val="center"/>
          </w:tcPr>
          <w:p w14:paraId="2A0DD42C">
            <w:pPr>
              <w:jc w:val="center"/>
            </w:pPr>
            <w:r>
              <w:rPr>
                <w:rFonts w:ascii="宋体" w:hAnsi="宋体" w:eastAsia="宋体"/>
                <w:sz w:val="16"/>
              </w:rPr>
              <w:t>326.59</w:t>
            </w:r>
          </w:p>
        </w:tc>
        <w:tc>
          <w:tcPr>
            <w:tcW w:w="949" w:type="dxa"/>
            <w:tcBorders>
              <w:top w:val="single" w:color="auto" w:sz="10" w:space="0"/>
              <w:left w:val="single" w:color="auto" w:sz="10" w:space="0"/>
              <w:bottom w:val="single" w:color="auto" w:sz="10" w:space="0"/>
              <w:right w:val="single" w:color="auto" w:sz="10" w:space="0"/>
              <w:insideV w:val="single" w:sz="10" w:space="0"/>
            </w:tcBorders>
            <w:vAlign w:val="center"/>
          </w:tcPr>
          <w:p w14:paraId="54A035D6">
            <w:pPr>
              <w:jc w:val="center"/>
            </w:pPr>
            <w:r>
              <w:rPr>
                <w:rFonts w:ascii="宋体" w:hAnsi="宋体" w:eastAsia="宋体"/>
                <w:sz w:val="16"/>
              </w:rPr>
              <w:t>395.64</w:t>
            </w:r>
          </w:p>
        </w:tc>
        <w:tc>
          <w:tcPr>
            <w:tcW w:w="1189" w:type="dxa"/>
            <w:tcBorders>
              <w:top w:val="single" w:color="auto" w:sz="10" w:space="0"/>
              <w:left w:val="single" w:color="auto" w:sz="10" w:space="0"/>
              <w:bottom w:val="single" w:color="auto" w:sz="10" w:space="0"/>
              <w:right w:val="single" w:color="auto" w:sz="10" w:space="0"/>
              <w:insideV w:val="single" w:sz="10" w:space="0"/>
            </w:tcBorders>
            <w:vAlign w:val="center"/>
          </w:tcPr>
          <w:p w14:paraId="1CC14C58">
            <w:pPr>
              <w:jc w:val="center"/>
            </w:pPr>
            <w:r>
              <w:rPr>
                <w:rFonts w:ascii="宋体" w:hAnsi="宋体" w:eastAsia="宋体"/>
                <w:sz w:val="16"/>
              </w:rPr>
              <w:t>395.64</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429063D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CE354">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A997D">
            <w:pPr>
              <w:jc w:val="center"/>
            </w:pPr>
            <w:r>
              <w:rPr>
                <w:rFonts w:ascii="宋体" w:hAnsi="宋体" w:eastAsia="宋体"/>
                <w:sz w:val="16"/>
              </w:rPr>
              <w:t>10</w:t>
            </w:r>
          </w:p>
        </w:tc>
      </w:tr>
      <w:tr w14:paraId="5954336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C97A0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7DD2B6">
            <w:pPr>
              <w:jc w:val="center"/>
            </w:pPr>
            <w:r>
              <w:rPr>
                <w:rFonts w:ascii="宋体" w:hAnsi="宋体" w:eastAsia="宋体"/>
                <w:sz w:val="16"/>
              </w:rPr>
              <w:t>其中：上级安排（万元）</w:t>
            </w:r>
          </w:p>
        </w:tc>
        <w:tc>
          <w:tcPr>
            <w:tcW w:w="1518" w:type="dxa"/>
            <w:tcBorders>
              <w:top w:val="single" w:color="auto" w:sz="10" w:space="0"/>
              <w:left w:val="single" w:color="auto" w:sz="10" w:space="0"/>
              <w:bottom w:val="single" w:color="auto" w:sz="10" w:space="0"/>
              <w:right w:val="single" w:color="auto" w:sz="10" w:space="0"/>
              <w:insideV w:val="single" w:sz="10" w:space="0"/>
            </w:tcBorders>
            <w:vAlign w:val="center"/>
          </w:tcPr>
          <w:p w14:paraId="287C7ED8">
            <w:pPr>
              <w:jc w:val="center"/>
            </w:pPr>
            <w:r>
              <w:rPr>
                <w:rFonts w:ascii="宋体" w:hAnsi="宋体" w:eastAsia="宋体"/>
                <w:sz w:val="16"/>
              </w:rPr>
              <w:t>0.00</w:t>
            </w:r>
          </w:p>
        </w:tc>
        <w:tc>
          <w:tcPr>
            <w:tcW w:w="949" w:type="dxa"/>
            <w:tcBorders>
              <w:top w:val="single" w:color="auto" w:sz="10" w:space="0"/>
              <w:left w:val="single" w:color="auto" w:sz="10" w:space="0"/>
              <w:bottom w:val="single" w:color="auto" w:sz="10" w:space="0"/>
              <w:right w:val="single" w:color="auto" w:sz="10" w:space="0"/>
              <w:insideV w:val="single" w:sz="10" w:space="0"/>
            </w:tcBorders>
            <w:vAlign w:val="center"/>
          </w:tcPr>
          <w:p w14:paraId="72E62077">
            <w:pPr>
              <w:jc w:val="center"/>
            </w:pPr>
            <w:r>
              <w:rPr>
                <w:rFonts w:ascii="宋体" w:hAnsi="宋体" w:eastAsia="宋体"/>
                <w:sz w:val="16"/>
              </w:rPr>
              <w:t>0.84</w:t>
            </w:r>
          </w:p>
        </w:tc>
        <w:tc>
          <w:tcPr>
            <w:tcW w:w="1189" w:type="dxa"/>
            <w:tcBorders>
              <w:top w:val="single" w:color="auto" w:sz="10" w:space="0"/>
              <w:left w:val="single" w:color="auto" w:sz="10" w:space="0"/>
              <w:bottom w:val="single" w:color="auto" w:sz="10" w:space="0"/>
              <w:right w:val="single" w:color="auto" w:sz="10" w:space="0"/>
              <w:insideV w:val="single" w:sz="10" w:space="0"/>
            </w:tcBorders>
            <w:vAlign w:val="center"/>
          </w:tcPr>
          <w:p w14:paraId="5FC80291">
            <w:pPr>
              <w:jc w:val="center"/>
            </w:pPr>
            <w:r>
              <w:rPr>
                <w:rFonts w:ascii="宋体" w:hAnsi="宋体" w:eastAsia="宋体"/>
                <w:sz w:val="16"/>
              </w:rPr>
              <w:t>0.84</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7967758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6566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22243">
            <w:pPr>
              <w:jc w:val="center"/>
            </w:pPr>
            <w:r>
              <w:rPr>
                <w:rFonts w:ascii="宋体" w:hAnsi="宋体" w:eastAsia="宋体"/>
                <w:sz w:val="16"/>
              </w:rPr>
              <w:t>-</w:t>
            </w:r>
          </w:p>
        </w:tc>
      </w:tr>
      <w:tr w14:paraId="7B399B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AC62A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D9C6F">
            <w:pPr>
              <w:jc w:val="center"/>
            </w:pPr>
            <w:r>
              <w:rPr>
                <w:rFonts w:ascii="宋体" w:hAnsi="宋体" w:eastAsia="宋体"/>
                <w:sz w:val="16"/>
              </w:rPr>
              <w:t>本级安排（万元）</w:t>
            </w:r>
          </w:p>
        </w:tc>
        <w:tc>
          <w:tcPr>
            <w:tcW w:w="1518" w:type="dxa"/>
            <w:tcBorders>
              <w:top w:val="single" w:color="auto" w:sz="10" w:space="0"/>
              <w:left w:val="single" w:color="auto" w:sz="10" w:space="0"/>
              <w:bottom w:val="single" w:color="auto" w:sz="10" w:space="0"/>
              <w:right w:val="single" w:color="auto" w:sz="10" w:space="0"/>
              <w:insideV w:val="single" w:sz="10" w:space="0"/>
            </w:tcBorders>
            <w:vAlign w:val="center"/>
          </w:tcPr>
          <w:p w14:paraId="5DD0F9B3">
            <w:pPr>
              <w:jc w:val="center"/>
            </w:pPr>
            <w:r>
              <w:rPr>
                <w:rFonts w:ascii="宋体" w:hAnsi="宋体" w:eastAsia="宋体"/>
                <w:sz w:val="16"/>
              </w:rPr>
              <w:t>326.59</w:t>
            </w:r>
          </w:p>
        </w:tc>
        <w:tc>
          <w:tcPr>
            <w:tcW w:w="949" w:type="dxa"/>
            <w:tcBorders>
              <w:top w:val="single" w:color="auto" w:sz="10" w:space="0"/>
              <w:left w:val="single" w:color="auto" w:sz="10" w:space="0"/>
              <w:bottom w:val="single" w:color="auto" w:sz="10" w:space="0"/>
              <w:right w:val="single" w:color="auto" w:sz="10" w:space="0"/>
              <w:insideV w:val="single" w:sz="10" w:space="0"/>
            </w:tcBorders>
            <w:vAlign w:val="center"/>
          </w:tcPr>
          <w:p w14:paraId="42B5E260">
            <w:pPr>
              <w:jc w:val="center"/>
            </w:pPr>
            <w:r>
              <w:rPr>
                <w:rFonts w:ascii="宋体" w:hAnsi="宋体" w:eastAsia="宋体"/>
                <w:sz w:val="16"/>
              </w:rPr>
              <w:t>394.80</w:t>
            </w:r>
          </w:p>
        </w:tc>
        <w:tc>
          <w:tcPr>
            <w:tcW w:w="1189" w:type="dxa"/>
            <w:tcBorders>
              <w:top w:val="single" w:color="auto" w:sz="10" w:space="0"/>
              <w:left w:val="single" w:color="auto" w:sz="10" w:space="0"/>
              <w:bottom w:val="single" w:color="auto" w:sz="10" w:space="0"/>
              <w:right w:val="single" w:color="auto" w:sz="10" w:space="0"/>
              <w:insideV w:val="single" w:sz="10" w:space="0"/>
            </w:tcBorders>
            <w:vAlign w:val="center"/>
          </w:tcPr>
          <w:p w14:paraId="0D40FB77">
            <w:pPr>
              <w:jc w:val="center"/>
            </w:pPr>
            <w:r>
              <w:rPr>
                <w:rFonts w:ascii="宋体" w:hAnsi="宋体" w:eastAsia="宋体"/>
                <w:sz w:val="16"/>
              </w:rPr>
              <w:t>394.80</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75FBB57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3123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6DBCE">
            <w:pPr>
              <w:jc w:val="center"/>
            </w:pPr>
            <w:r>
              <w:rPr>
                <w:rFonts w:ascii="宋体" w:hAnsi="宋体" w:eastAsia="宋体"/>
                <w:sz w:val="16"/>
              </w:rPr>
              <w:t>-</w:t>
            </w:r>
          </w:p>
        </w:tc>
      </w:tr>
      <w:tr w14:paraId="6F03A3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6E1E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F682C">
            <w:pPr>
              <w:jc w:val="center"/>
            </w:pPr>
            <w:r>
              <w:rPr>
                <w:rFonts w:ascii="宋体" w:hAnsi="宋体" w:eastAsia="宋体"/>
                <w:sz w:val="16"/>
              </w:rPr>
              <w:t>其他资金（万元）</w:t>
            </w:r>
          </w:p>
        </w:tc>
        <w:tc>
          <w:tcPr>
            <w:tcW w:w="1518" w:type="dxa"/>
            <w:tcBorders>
              <w:top w:val="single" w:color="auto" w:sz="10" w:space="0"/>
              <w:left w:val="single" w:color="auto" w:sz="10" w:space="0"/>
              <w:bottom w:val="single" w:color="auto" w:sz="10" w:space="0"/>
              <w:right w:val="single" w:color="auto" w:sz="10" w:space="0"/>
              <w:insideV w:val="single" w:sz="10" w:space="0"/>
            </w:tcBorders>
            <w:vAlign w:val="center"/>
          </w:tcPr>
          <w:p w14:paraId="17C43DE3">
            <w:pPr>
              <w:jc w:val="center"/>
            </w:pPr>
            <w:r>
              <w:rPr>
                <w:rFonts w:ascii="宋体" w:hAnsi="宋体" w:eastAsia="宋体"/>
                <w:sz w:val="16"/>
              </w:rPr>
              <w:t>0.00</w:t>
            </w:r>
          </w:p>
        </w:tc>
        <w:tc>
          <w:tcPr>
            <w:tcW w:w="949" w:type="dxa"/>
            <w:tcBorders>
              <w:top w:val="single" w:color="auto" w:sz="10" w:space="0"/>
              <w:left w:val="single" w:color="auto" w:sz="10" w:space="0"/>
              <w:bottom w:val="single" w:color="auto" w:sz="10" w:space="0"/>
              <w:right w:val="single" w:color="auto" w:sz="10" w:space="0"/>
              <w:insideV w:val="single" w:sz="10" w:space="0"/>
            </w:tcBorders>
            <w:vAlign w:val="center"/>
          </w:tcPr>
          <w:p w14:paraId="7FC7673E">
            <w:pPr>
              <w:jc w:val="center"/>
            </w:pPr>
            <w:r>
              <w:rPr>
                <w:rFonts w:ascii="宋体" w:hAnsi="宋体" w:eastAsia="宋体"/>
                <w:sz w:val="16"/>
              </w:rPr>
              <w:t>0.00</w:t>
            </w:r>
          </w:p>
        </w:tc>
        <w:tc>
          <w:tcPr>
            <w:tcW w:w="1189" w:type="dxa"/>
            <w:tcBorders>
              <w:top w:val="single" w:color="auto" w:sz="10" w:space="0"/>
              <w:left w:val="single" w:color="auto" w:sz="10" w:space="0"/>
              <w:bottom w:val="single" w:color="auto" w:sz="10" w:space="0"/>
              <w:right w:val="single" w:color="auto" w:sz="10" w:space="0"/>
              <w:insideV w:val="single" w:sz="10" w:space="0"/>
            </w:tcBorders>
            <w:vAlign w:val="center"/>
          </w:tcPr>
          <w:p w14:paraId="18EE755D">
            <w:pPr>
              <w:jc w:val="center"/>
            </w:pPr>
            <w:r>
              <w:rPr>
                <w:rFonts w:ascii="宋体" w:hAnsi="宋体" w:eastAsia="宋体"/>
                <w:sz w:val="16"/>
              </w:rPr>
              <w:t>0.00</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1591844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1023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555D73">
            <w:pPr>
              <w:jc w:val="center"/>
            </w:pPr>
            <w:r>
              <w:rPr>
                <w:rFonts w:ascii="宋体" w:hAnsi="宋体" w:eastAsia="宋体"/>
                <w:sz w:val="16"/>
              </w:rPr>
              <w:t>-</w:t>
            </w:r>
          </w:p>
        </w:tc>
      </w:tr>
      <w:tr w14:paraId="64C3C85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7863F">
            <w:pPr>
              <w:jc w:val="center"/>
            </w:pPr>
            <w:r>
              <w:rPr>
                <w:rFonts w:ascii="宋体" w:hAnsi="宋体" w:eastAsia="宋体"/>
                <w:sz w:val="16"/>
              </w:rPr>
              <w:t>年度总目标</w:t>
            </w:r>
          </w:p>
        </w:tc>
        <w:tc>
          <w:tcPr>
            <w:tcW w:w="35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A0D348">
            <w:pPr>
              <w:jc w:val="center"/>
            </w:pPr>
            <w:r>
              <w:rPr>
                <w:rFonts w:ascii="宋体" w:hAnsi="宋体" w:eastAsia="宋体"/>
                <w:sz w:val="16"/>
              </w:rPr>
              <w:t>预期目标</w:t>
            </w:r>
          </w:p>
        </w:tc>
        <w:tc>
          <w:tcPr>
            <w:tcW w:w="416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C563AC">
            <w:pPr>
              <w:jc w:val="center"/>
            </w:pPr>
            <w:r>
              <w:rPr>
                <w:rFonts w:ascii="宋体" w:hAnsi="宋体" w:eastAsia="宋体"/>
                <w:sz w:val="16"/>
              </w:rPr>
              <w:t>实际完成情况</w:t>
            </w:r>
          </w:p>
        </w:tc>
      </w:tr>
      <w:tr w14:paraId="5979DD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6B5CC1"/>
        </w:tc>
        <w:tc>
          <w:tcPr>
            <w:tcW w:w="35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0D963A">
            <w:pPr>
              <w:jc w:val="both"/>
            </w:pPr>
            <w:r>
              <w:rPr>
                <w:rFonts w:ascii="宋体" w:hAnsi="宋体" w:eastAsia="宋体"/>
                <w:sz w:val="16"/>
              </w:rPr>
              <w:t>2024年在县委、县政府的正确领导下，在住建局党组的直接带领下，完整准确贯彻新时代党的治疆方略，特别是社会稳定长治久安总目标，扎实推进各项重点工作任务。1.加强监察城市公用事业、市容环境卫生,签订《“门前五包”责任书》达到1200户、《商户自治》达到1200家，城市园林绿化、市政工程、建筑市场管理，治理流动商贩达到300处，加强水利、环境和公共设施管理；2.持续加大市容市貌管理、加强建筑垃圾处置力度，处置面积达到10万立方米，严格户外广告审批工作，推进智慧城市建设，向精细化管理挺进；3.进一步加大市政设施的改造建设力度；4.进一步加大城管执法队伍的自身建设。</w:t>
            </w:r>
          </w:p>
        </w:tc>
        <w:tc>
          <w:tcPr>
            <w:tcW w:w="416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9F6490">
            <w:pPr>
              <w:jc w:val="both"/>
            </w:pPr>
            <w:r>
              <w:rPr>
                <w:rFonts w:ascii="宋体" w:hAnsi="宋体" w:eastAsia="宋体"/>
                <w:sz w:val="16"/>
              </w:rPr>
              <w:t>2024年在县委、县政府的正确领导下，在住建局党组的直接带领下，扎实推进各项重点工作任务。加强了监察城市公用事业、市容环境卫生、城市园林绿化、市政工程、建筑市场管理，加强水利、环境和公共设施管理签订了签订《“门前五包”责任书》1200户；持续加大了市容市貌管理力度，推进智慧城市建设，向精细化管理挺进，审批户外广告120个、签订《商户自治》1200家；进一步加大了市政设施的改造建设力度，完成建筑垃圾处置面积10万平方米、治理流动商贩场所数量300处；进一步加大l城管执法队伍的自身建设。</w:t>
            </w:r>
          </w:p>
        </w:tc>
      </w:tr>
      <w:tr w14:paraId="3622E6B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56DF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A9132">
            <w:pPr>
              <w:jc w:val="center"/>
            </w:pPr>
            <w:r>
              <w:rPr>
                <w:rFonts w:ascii="宋体" w:hAnsi="宋体" w:eastAsia="宋体"/>
                <w:sz w:val="16"/>
              </w:rPr>
              <w:t>二级指标</w:t>
            </w:r>
          </w:p>
        </w:tc>
        <w:tc>
          <w:tcPr>
            <w:tcW w:w="1518" w:type="dxa"/>
            <w:tcBorders>
              <w:top w:val="single" w:color="auto" w:sz="10" w:space="0"/>
              <w:left w:val="single" w:color="auto" w:sz="10" w:space="0"/>
              <w:bottom w:val="single" w:color="auto" w:sz="10" w:space="0"/>
              <w:right w:val="single" w:color="auto" w:sz="10" w:space="0"/>
              <w:insideV w:val="single" w:sz="10" w:space="0"/>
            </w:tcBorders>
            <w:vAlign w:val="center"/>
          </w:tcPr>
          <w:p w14:paraId="74B9AE71">
            <w:pPr>
              <w:jc w:val="center"/>
            </w:pPr>
            <w:r>
              <w:rPr>
                <w:rFonts w:ascii="宋体" w:hAnsi="宋体" w:eastAsia="宋体"/>
                <w:sz w:val="16"/>
              </w:rPr>
              <w:t>三级指标</w:t>
            </w:r>
          </w:p>
        </w:tc>
        <w:tc>
          <w:tcPr>
            <w:tcW w:w="949" w:type="dxa"/>
            <w:tcBorders>
              <w:top w:val="single" w:color="auto" w:sz="10" w:space="0"/>
              <w:left w:val="single" w:color="auto" w:sz="10" w:space="0"/>
              <w:bottom w:val="single" w:color="auto" w:sz="10" w:space="0"/>
              <w:right w:val="single" w:color="auto" w:sz="10" w:space="0"/>
              <w:insideV w:val="single" w:sz="10" w:space="0"/>
            </w:tcBorders>
            <w:vAlign w:val="center"/>
          </w:tcPr>
          <w:p w14:paraId="55048C37">
            <w:pPr>
              <w:jc w:val="center"/>
            </w:pPr>
            <w:r>
              <w:rPr>
                <w:rFonts w:ascii="宋体" w:hAnsi="宋体" w:eastAsia="宋体"/>
                <w:sz w:val="16"/>
              </w:rPr>
              <w:t>指标值</w:t>
            </w:r>
          </w:p>
        </w:tc>
        <w:tc>
          <w:tcPr>
            <w:tcW w:w="1189" w:type="dxa"/>
            <w:tcBorders>
              <w:top w:val="single" w:color="auto" w:sz="10" w:space="0"/>
              <w:left w:val="single" w:color="auto" w:sz="10" w:space="0"/>
              <w:bottom w:val="single" w:color="auto" w:sz="10" w:space="0"/>
              <w:right w:val="single" w:color="auto" w:sz="10" w:space="0"/>
              <w:insideV w:val="single" w:sz="10" w:space="0"/>
            </w:tcBorders>
            <w:vAlign w:val="center"/>
          </w:tcPr>
          <w:p w14:paraId="5FA86987">
            <w:pPr>
              <w:jc w:val="center"/>
            </w:pPr>
            <w:r>
              <w:rPr>
                <w:rFonts w:ascii="宋体" w:hAnsi="宋体" w:eastAsia="宋体"/>
                <w:sz w:val="16"/>
              </w:rPr>
              <w:t>指标设定依据</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2DA90D4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3C38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23363">
            <w:pPr>
              <w:jc w:val="center"/>
            </w:pPr>
            <w:r>
              <w:rPr>
                <w:rFonts w:ascii="宋体" w:hAnsi="宋体" w:eastAsia="宋体"/>
                <w:sz w:val="16"/>
              </w:rPr>
              <w:t>得分</w:t>
            </w:r>
          </w:p>
        </w:tc>
      </w:tr>
      <w:tr w14:paraId="5243037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D9EA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95B6DB">
            <w:pPr>
              <w:jc w:val="center"/>
            </w:pPr>
            <w:r>
              <w:rPr>
                <w:rFonts w:ascii="宋体" w:hAnsi="宋体" w:eastAsia="宋体"/>
                <w:sz w:val="16"/>
              </w:rPr>
              <w:t>数量指标</w:t>
            </w:r>
          </w:p>
        </w:tc>
        <w:tc>
          <w:tcPr>
            <w:tcW w:w="1518" w:type="dxa"/>
            <w:tcBorders>
              <w:top w:val="single" w:color="auto" w:sz="10" w:space="0"/>
              <w:left w:val="single" w:color="auto" w:sz="10" w:space="0"/>
              <w:bottom w:val="single" w:color="auto" w:sz="10" w:space="0"/>
              <w:right w:val="single" w:color="auto" w:sz="10" w:space="0"/>
              <w:insideV w:val="single" w:sz="10" w:space="0"/>
            </w:tcBorders>
            <w:vAlign w:val="center"/>
          </w:tcPr>
          <w:p w14:paraId="030CDAE6">
            <w:pPr>
              <w:jc w:val="center"/>
            </w:pPr>
            <w:r>
              <w:rPr>
                <w:rFonts w:ascii="宋体" w:hAnsi="宋体" w:eastAsia="宋体"/>
                <w:sz w:val="16"/>
              </w:rPr>
              <w:t>签订《门前五包责任书》任务户数</w:t>
            </w:r>
          </w:p>
        </w:tc>
        <w:tc>
          <w:tcPr>
            <w:tcW w:w="949" w:type="dxa"/>
            <w:tcBorders>
              <w:top w:val="single" w:color="auto" w:sz="10" w:space="0"/>
              <w:left w:val="single" w:color="auto" w:sz="10" w:space="0"/>
              <w:bottom w:val="single" w:color="auto" w:sz="10" w:space="0"/>
              <w:right w:val="single" w:color="auto" w:sz="10" w:space="0"/>
              <w:insideV w:val="single" w:sz="10" w:space="0"/>
            </w:tcBorders>
            <w:vAlign w:val="center"/>
          </w:tcPr>
          <w:p w14:paraId="1C6C8366">
            <w:pPr>
              <w:jc w:val="center"/>
            </w:pPr>
            <w:r>
              <w:rPr>
                <w:rFonts w:ascii="宋体" w:hAnsi="宋体" w:eastAsia="宋体"/>
                <w:sz w:val="16"/>
              </w:rPr>
              <w:t>&gt;=1200户</w:t>
            </w:r>
          </w:p>
        </w:tc>
        <w:tc>
          <w:tcPr>
            <w:tcW w:w="1189" w:type="dxa"/>
            <w:tcBorders>
              <w:top w:val="single" w:color="auto" w:sz="10" w:space="0"/>
              <w:left w:val="single" w:color="auto" w:sz="10" w:space="0"/>
              <w:bottom w:val="single" w:color="auto" w:sz="10" w:space="0"/>
              <w:right w:val="single" w:color="auto" w:sz="10" w:space="0"/>
              <w:insideV w:val="single" w:sz="10" w:space="0"/>
            </w:tcBorders>
            <w:vAlign w:val="center"/>
          </w:tcPr>
          <w:p w14:paraId="4933DAB5">
            <w:pPr>
              <w:jc w:val="center"/>
            </w:pPr>
            <w:r>
              <w:rPr>
                <w:rFonts w:ascii="宋体" w:hAnsi="宋体" w:eastAsia="宋体"/>
                <w:sz w:val="16"/>
              </w:rPr>
              <w:t>2024年工作计划</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297CFE3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4316B">
            <w:pPr>
              <w:jc w:val="center"/>
            </w:pPr>
            <w:r>
              <w:rPr>
                <w:rFonts w:ascii="宋体" w:hAnsi="宋体" w:eastAsia="宋体"/>
                <w:sz w:val="16"/>
              </w:rPr>
              <w:t>1200户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5272B">
            <w:pPr>
              <w:jc w:val="center"/>
            </w:pPr>
            <w:r>
              <w:rPr>
                <w:rFonts w:ascii="宋体" w:hAnsi="宋体" w:eastAsia="宋体"/>
                <w:sz w:val="16"/>
              </w:rPr>
              <w:t>18</w:t>
            </w:r>
          </w:p>
        </w:tc>
      </w:tr>
      <w:tr w14:paraId="1A75248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1DC47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CA3BA7"/>
        </w:tc>
        <w:tc>
          <w:tcPr>
            <w:tcW w:w="1518" w:type="dxa"/>
            <w:tcBorders>
              <w:top w:val="single" w:color="auto" w:sz="10" w:space="0"/>
              <w:left w:val="single" w:color="auto" w:sz="10" w:space="0"/>
              <w:bottom w:val="single" w:color="auto" w:sz="10" w:space="0"/>
              <w:right w:val="single" w:color="auto" w:sz="10" w:space="0"/>
              <w:insideV w:val="single" w:sz="10" w:space="0"/>
            </w:tcBorders>
            <w:vAlign w:val="center"/>
          </w:tcPr>
          <w:p w14:paraId="24C2CA9C">
            <w:pPr>
              <w:jc w:val="center"/>
            </w:pPr>
            <w:r>
              <w:rPr>
                <w:rFonts w:ascii="宋体" w:hAnsi="宋体" w:eastAsia="宋体"/>
                <w:sz w:val="16"/>
              </w:rPr>
              <w:t>签订《商户自治》任务家庭数</w:t>
            </w:r>
          </w:p>
        </w:tc>
        <w:tc>
          <w:tcPr>
            <w:tcW w:w="949" w:type="dxa"/>
            <w:tcBorders>
              <w:top w:val="single" w:color="auto" w:sz="10" w:space="0"/>
              <w:left w:val="single" w:color="auto" w:sz="10" w:space="0"/>
              <w:bottom w:val="single" w:color="auto" w:sz="10" w:space="0"/>
              <w:right w:val="single" w:color="auto" w:sz="10" w:space="0"/>
              <w:insideV w:val="single" w:sz="10" w:space="0"/>
            </w:tcBorders>
            <w:vAlign w:val="center"/>
          </w:tcPr>
          <w:p w14:paraId="417F0EB9">
            <w:pPr>
              <w:jc w:val="center"/>
            </w:pPr>
            <w:r>
              <w:rPr>
                <w:rFonts w:ascii="宋体" w:hAnsi="宋体" w:eastAsia="宋体"/>
                <w:sz w:val="16"/>
              </w:rPr>
              <w:t>&gt;=1200家</w:t>
            </w:r>
          </w:p>
        </w:tc>
        <w:tc>
          <w:tcPr>
            <w:tcW w:w="1189" w:type="dxa"/>
            <w:tcBorders>
              <w:top w:val="single" w:color="auto" w:sz="10" w:space="0"/>
              <w:left w:val="single" w:color="auto" w:sz="10" w:space="0"/>
              <w:bottom w:val="single" w:color="auto" w:sz="10" w:space="0"/>
              <w:right w:val="single" w:color="auto" w:sz="10" w:space="0"/>
              <w:insideV w:val="single" w:sz="10" w:space="0"/>
            </w:tcBorders>
            <w:vAlign w:val="center"/>
          </w:tcPr>
          <w:p w14:paraId="6928432A">
            <w:pPr>
              <w:jc w:val="center"/>
            </w:pPr>
            <w:r>
              <w:rPr>
                <w:rFonts w:ascii="宋体" w:hAnsi="宋体" w:eastAsia="宋体"/>
                <w:sz w:val="16"/>
              </w:rPr>
              <w:t>2025年工作计划</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6E7A9436">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39C19">
            <w:pPr>
              <w:jc w:val="center"/>
            </w:pPr>
            <w:r>
              <w:rPr>
                <w:rFonts w:ascii="宋体" w:hAnsi="宋体" w:eastAsia="宋体"/>
                <w:sz w:val="16"/>
              </w:rPr>
              <w:t>1200家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CBB95">
            <w:pPr>
              <w:jc w:val="center"/>
            </w:pPr>
            <w:r>
              <w:rPr>
                <w:rFonts w:ascii="宋体" w:hAnsi="宋体" w:eastAsia="宋体"/>
                <w:sz w:val="16"/>
              </w:rPr>
              <w:t>18</w:t>
            </w:r>
          </w:p>
        </w:tc>
      </w:tr>
      <w:tr w14:paraId="5158BC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C1366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9FB346"/>
        </w:tc>
        <w:tc>
          <w:tcPr>
            <w:tcW w:w="1518" w:type="dxa"/>
            <w:tcBorders>
              <w:top w:val="single" w:color="auto" w:sz="10" w:space="0"/>
              <w:left w:val="single" w:color="auto" w:sz="10" w:space="0"/>
              <w:bottom w:val="single" w:color="auto" w:sz="10" w:space="0"/>
              <w:right w:val="single" w:color="auto" w:sz="10" w:space="0"/>
              <w:insideV w:val="single" w:sz="10" w:space="0"/>
            </w:tcBorders>
            <w:vAlign w:val="center"/>
          </w:tcPr>
          <w:p w14:paraId="579993D3">
            <w:pPr>
              <w:jc w:val="center"/>
            </w:pPr>
            <w:r>
              <w:rPr>
                <w:rFonts w:ascii="宋体" w:hAnsi="宋体" w:eastAsia="宋体"/>
                <w:sz w:val="16"/>
              </w:rPr>
              <w:t>建筑垃圾处置面积</w:t>
            </w:r>
          </w:p>
        </w:tc>
        <w:tc>
          <w:tcPr>
            <w:tcW w:w="949" w:type="dxa"/>
            <w:tcBorders>
              <w:top w:val="single" w:color="auto" w:sz="10" w:space="0"/>
              <w:left w:val="single" w:color="auto" w:sz="10" w:space="0"/>
              <w:bottom w:val="single" w:color="auto" w:sz="10" w:space="0"/>
              <w:right w:val="single" w:color="auto" w:sz="10" w:space="0"/>
              <w:insideV w:val="single" w:sz="10" w:space="0"/>
            </w:tcBorders>
            <w:vAlign w:val="center"/>
          </w:tcPr>
          <w:p w14:paraId="76799367">
            <w:pPr>
              <w:jc w:val="center"/>
            </w:pPr>
            <w:r>
              <w:rPr>
                <w:rFonts w:ascii="宋体" w:hAnsi="宋体" w:eastAsia="宋体"/>
                <w:sz w:val="16"/>
              </w:rPr>
              <w:t>&gt;=10万平方米</w:t>
            </w:r>
          </w:p>
        </w:tc>
        <w:tc>
          <w:tcPr>
            <w:tcW w:w="1189" w:type="dxa"/>
            <w:tcBorders>
              <w:top w:val="single" w:color="auto" w:sz="10" w:space="0"/>
              <w:left w:val="single" w:color="auto" w:sz="10" w:space="0"/>
              <w:bottom w:val="single" w:color="auto" w:sz="10" w:space="0"/>
              <w:right w:val="single" w:color="auto" w:sz="10" w:space="0"/>
              <w:insideV w:val="single" w:sz="10" w:space="0"/>
            </w:tcBorders>
            <w:vAlign w:val="center"/>
          </w:tcPr>
          <w:p w14:paraId="6037461F">
            <w:pPr>
              <w:jc w:val="center"/>
            </w:pPr>
            <w:r>
              <w:rPr>
                <w:rFonts w:ascii="宋体" w:hAnsi="宋体" w:eastAsia="宋体"/>
                <w:sz w:val="16"/>
              </w:rPr>
              <w:t>2026年工作计划</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6072210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A3DD2">
            <w:pPr>
              <w:jc w:val="center"/>
            </w:pPr>
            <w:r>
              <w:rPr>
                <w:rFonts w:ascii="宋体" w:hAnsi="宋体" w:eastAsia="宋体"/>
                <w:sz w:val="16"/>
              </w:rPr>
              <w:t>10万平方米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70CED">
            <w:pPr>
              <w:jc w:val="center"/>
            </w:pPr>
            <w:r>
              <w:rPr>
                <w:rFonts w:ascii="宋体" w:hAnsi="宋体" w:eastAsia="宋体"/>
                <w:sz w:val="16"/>
              </w:rPr>
              <w:t>18</w:t>
            </w:r>
          </w:p>
        </w:tc>
      </w:tr>
      <w:tr w14:paraId="33192D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8321C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13CBC7"/>
        </w:tc>
        <w:tc>
          <w:tcPr>
            <w:tcW w:w="1518" w:type="dxa"/>
            <w:tcBorders>
              <w:top w:val="single" w:color="auto" w:sz="10" w:space="0"/>
              <w:left w:val="single" w:color="auto" w:sz="10" w:space="0"/>
              <w:bottom w:val="single" w:color="auto" w:sz="10" w:space="0"/>
              <w:right w:val="single" w:color="auto" w:sz="10" w:space="0"/>
              <w:insideV w:val="single" w:sz="10" w:space="0"/>
            </w:tcBorders>
            <w:vAlign w:val="center"/>
          </w:tcPr>
          <w:p w14:paraId="768C35A5">
            <w:pPr>
              <w:jc w:val="center"/>
            </w:pPr>
            <w:r>
              <w:rPr>
                <w:rFonts w:ascii="宋体" w:hAnsi="宋体" w:eastAsia="宋体"/>
                <w:sz w:val="16"/>
              </w:rPr>
              <w:t>审批户外广告数量</w:t>
            </w:r>
          </w:p>
        </w:tc>
        <w:tc>
          <w:tcPr>
            <w:tcW w:w="949" w:type="dxa"/>
            <w:tcBorders>
              <w:top w:val="single" w:color="auto" w:sz="10" w:space="0"/>
              <w:left w:val="single" w:color="auto" w:sz="10" w:space="0"/>
              <w:bottom w:val="single" w:color="auto" w:sz="10" w:space="0"/>
              <w:right w:val="single" w:color="auto" w:sz="10" w:space="0"/>
              <w:insideV w:val="single" w:sz="10" w:space="0"/>
            </w:tcBorders>
            <w:vAlign w:val="center"/>
          </w:tcPr>
          <w:p w14:paraId="4CB898B3">
            <w:pPr>
              <w:jc w:val="center"/>
            </w:pPr>
            <w:r>
              <w:rPr>
                <w:rFonts w:ascii="宋体" w:hAnsi="宋体" w:eastAsia="宋体"/>
                <w:sz w:val="16"/>
              </w:rPr>
              <w:t>&gt;=120个</w:t>
            </w:r>
          </w:p>
        </w:tc>
        <w:tc>
          <w:tcPr>
            <w:tcW w:w="1189" w:type="dxa"/>
            <w:tcBorders>
              <w:top w:val="single" w:color="auto" w:sz="10" w:space="0"/>
              <w:left w:val="single" w:color="auto" w:sz="10" w:space="0"/>
              <w:bottom w:val="single" w:color="auto" w:sz="10" w:space="0"/>
              <w:right w:val="single" w:color="auto" w:sz="10" w:space="0"/>
              <w:insideV w:val="single" w:sz="10" w:space="0"/>
            </w:tcBorders>
            <w:vAlign w:val="center"/>
          </w:tcPr>
          <w:p w14:paraId="440A7F28">
            <w:pPr>
              <w:jc w:val="center"/>
            </w:pPr>
            <w:r>
              <w:rPr>
                <w:rFonts w:ascii="宋体" w:hAnsi="宋体" w:eastAsia="宋体"/>
                <w:sz w:val="16"/>
              </w:rPr>
              <w:t>2027年工作计划</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0A7B0D8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3F7F1">
            <w:pPr>
              <w:jc w:val="center"/>
            </w:pPr>
            <w:r>
              <w:rPr>
                <w:rFonts w:ascii="宋体" w:hAnsi="宋体" w:eastAsia="宋体"/>
                <w:sz w:val="16"/>
              </w:rPr>
              <w:t>120个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F72D7">
            <w:pPr>
              <w:jc w:val="center"/>
            </w:pPr>
            <w:r>
              <w:rPr>
                <w:rFonts w:ascii="宋体" w:hAnsi="宋体" w:eastAsia="宋体"/>
                <w:sz w:val="16"/>
              </w:rPr>
              <w:t>18</w:t>
            </w:r>
          </w:p>
        </w:tc>
      </w:tr>
      <w:tr w14:paraId="545545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0C12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59BF4">
            <w:pPr>
              <w:jc w:val="center"/>
            </w:pPr>
            <w:r>
              <w:rPr>
                <w:rFonts w:ascii="宋体" w:hAnsi="宋体" w:eastAsia="宋体"/>
                <w:sz w:val="16"/>
              </w:rPr>
              <w:t>质量指标</w:t>
            </w:r>
          </w:p>
        </w:tc>
        <w:tc>
          <w:tcPr>
            <w:tcW w:w="1518" w:type="dxa"/>
            <w:tcBorders>
              <w:top w:val="single" w:color="auto" w:sz="10" w:space="0"/>
              <w:left w:val="single" w:color="auto" w:sz="10" w:space="0"/>
              <w:bottom w:val="single" w:color="auto" w:sz="10" w:space="0"/>
              <w:right w:val="single" w:color="auto" w:sz="10" w:space="0"/>
              <w:insideV w:val="single" w:sz="10" w:space="0"/>
            </w:tcBorders>
            <w:vAlign w:val="center"/>
          </w:tcPr>
          <w:p w14:paraId="572AB0C6">
            <w:pPr>
              <w:jc w:val="center"/>
            </w:pPr>
            <w:r>
              <w:rPr>
                <w:rFonts w:ascii="宋体" w:hAnsi="宋体" w:eastAsia="宋体"/>
                <w:sz w:val="16"/>
              </w:rPr>
              <w:t>治理流动商贩场所数量</w:t>
            </w:r>
          </w:p>
        </w:tc>
        <w:tc>
          <w:tcPr>
            <w:tcW w:w="949" w:type="dxa"/>
            <w:tcBorders>
              <w:top w:val="single" w:color="auto" w:sz="10" w:space="0"/>
              <w:left w:val="single" w:color="auto" w:sz="10" w:space="0"/>
              <w:bottom w:val="single" w:color="auto" w:sz="10" w:space="0"/>
              <w:right w:val="single" w:color="auto" w:sz="10" w:space="0"/>
              <w:insideV w:val="single" w:sz="10" w:space="0"/>
            </w:tcBorders>
            <w:vAlign w:val="center"/>
          </w:tcPr>
          <w:p w14:paraId="732F8BC4">
            <w:pPr>
              <w:jc w:val="center"/>
            </w:pPr>
            <w:r>
              <w:rPr>
                <w:rFonts w:ascii="宋体" w:hAnsi="宋体" w:eastAsia="宋体"/>
                <w:sz w:val="16"/>
              </w:rPr>
              <w:t>&gt;=300处</w:t>
            </w:r>
          </w:p>
        </w:tc>
        <w:tc>
          <w:tcPr>
            <w:tcW w:w="1189" w:type="dxa"/>
            <w:tcBorders>
              <w:top w:val="single" w:color="auto" w:sz="10" w:space="0"/>
              <w:left w:val="single" w:color="auto" w:sz="10" w:space="0"/>
              <w:bottom w:val="single" w:color="auto" w:sz="10" w:space="0"/>
              <w:right w:val="single" w:color="auto" w:sz="10" w:space="0"/>
              <w:insideV w:val="single" w:sz="10" w:space="0"/>
            </w:tcBorders>
            <w:vAlign w:val="center"/>
          </w:tcPr>
          <w:p w14:paraId="04F07B9D">
            <w:pPr>
              <w:jc w:val="center"/>
            </w:pPr>
            <w:r>
              <w:rPr>
                <w:rFonts w:ascii="宋体" w:hAnsi="宋体" w:eastAsia="宋体"/>
                <w:sz w:val="16"/>
              </w:rPr>
              <w:t>2028年工作计划</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715C130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E6A99">
            <w:pPr>
              <w:jc w:val="center"/>
            </w:pPr>
            <w:r>
              <w:rPr>
                <w:rFonts w:ascii="宋体" w:hAnsi="宋体" w:eastAsia="宋体"/>
                <w:sz w:val="16"/>
              </w:rPr>
              <w:t>300处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99EAD">
            <w:pPr>
              <w:jc w:val="center"/>
            </w:pPr>
            <w:r>
              <w:rPr>
                <w:rFonts w:ascii="宋体" w:hAnsi="宋体" w:eastAsia="宋体"/>
                <w:sz w:val="16"/>
              </w:rPr>
              <w:t>18</w:t>
            </w:r>
          </w:p>
        </w:tc>
      </w:tr>
    </w:tbl>
    <w:p w14:paraId="1F82D2C1">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452C3247">
        <w:tblPrEx>
          <w:tblCellMar>
            <w:top w:w="0" w:type="dxa"/>
            <w:left w:w="108" w:type="dxa"/>
            <w:bottom w:w="0" w:type="dxa"/>
            <w:right w:w="108" w:type="dxa"/>
          </w:tblCellMar>
        </w:tblPrEx>
        <w:tc>
          <w:tcPr>
            <w:tcW w:w="8848" w:type="dxa"/>
            <w:gridSpan w:val="14"/>
            <w:vAlign w:val="center"/>
          </w:tcPr>
          <w:p w14:paraId="0D59EE90">
            <w:pPr>
              <w:jc w:val="center"/>
            </w:pPr>
            <w:r>
              <w:rPr>
                <w:rFonts w:ascii="宋体" w:hAnsi="宋体" w:eastAsia="宋体"/>
                <w:sz w:val="24"/>
              </w:rPr>
              <w:t>项目支出绩效自评表</w:t>
            </w:r>
          </w:p>
        </w:tc>
      </w:tr>
      <w:tr w14:paraId="5470754A">
        <w:tblPrEx>
          <w:tblCellMar>
            <w:top w:w="0" w:type="dxa"/>
            <w:left w:w="108" w:type="dxa"/>
            <w:bottom w:w="0" w:type="dxa"/>
            <w:right w:w="108" w:type="dxa"/>
          </w:tblCellMar>
        </w:tblPrEx>
        <w:tc>
          <w:tcPr>
            <w:tcW w:w="8848" w:type="dxa"/>
            <w:gridSpan w:val="14"/>
            <w:vAlign w:val="center"/>
          </w:tcPr>
          <w:p w14:paraId="5EF9DF01">
            <w:pPr>
              <w:jc w:val="center"/>
            </w:pPr>
            <w:r>
              <w:rPr>
                <w:rFonts w:ascii="宋体" w:hAnsi="宋体" w:eastAsia="宋体"/>
                <w:sz w:val="24"/>
              </w:rPr>
              <w:t>(2024年度)</w:t>
            </w:r>
          </w:p>
        </w:tc>
      </w:tr>
      <w:tr w14:paraId="074BAD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8E4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65D683">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城市维护建设税返还城区路灯电费项目</w:t>
            </w:r>
          </w:p>
        </w:tc>
      </w:tr>
      <w:tr w14:paraId="0BA65A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5D2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F7C8C0">
            <w:pPr>
              <w:jc w:val="center"/>
            </w:pPr>
            <w:r>
              <w:rPr>
                <w:rFonts w:ascii="宋体" w:hAnsi="宋体" w:eastAsia="宋体"/>
                <w:sz w:val="16"/>
              </w:rPr>
              <w:t>托里县城建监察大队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B0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D0707A">
            <w:pPr>
              <w:jc w:val="center"/>
            </w:pPr>
            <w:r>
              <w:rPr>
                <w:rFonts w:ascii="宋体" w:hAnsi="宋体" w:eastAsia="宋体"/>
                <w:sz w:val="16"/>
              </w:rPr>
              <w:t>托里县城建监察大队</w:t>
            </w:r>
          </w:p>
        </w:tc>
      </w:tr>
      <w:tr w14:paraId="5DE8B4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D89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389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11E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63F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B70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553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E7BF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3AC3">
            <w:pPr>
              <w:jc w:val="center"/>
            </w:pPr>
            <w:r>
              <w:rPr>
                <w:rFonts w:ascii="宋体" w:hAnsi="宋体" w:eastAsia="宋体"/>
                <w:sz w:val="16"/>
              </w:rPr>
              <w:t>得分</w:t>
            </w:r>
          </w:p>
        </w:tc>
      </w:tr>
      <w:tr w14:paraId="3922FD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74E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6822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8FE0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6697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F2B2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576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91A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42226">
            <w:pPr>
              <w:jc w:val="center"/>
            </w:pPr>
            <w:r>
              <w:rPr>
                <w:rFonts w:ascii="宋体" w:hAnsi="宋体" w:eastAsia="宋体"/>
                <w:sz w:val="16"/>
              </w:rPr>
              <w:t>10.00</w:t>
            </w:r>
          </w:p>
        </w:tc>
      </w:tr>
      <w:tr w14:paraId="5F98C3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818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773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5050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933E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42FD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08E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F82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5B9F0">
            <w:pPr>
              <w:jc w:val="center"/>
            </w:pPr>
            <w:r>
              <w:rPr>
                <w:rFonts w:ascii="宋体" w:hAnsi="宋体" w:eastAsia="宋体"/>
                <w:sz w:val="16"/>
              </w:rPr>
              <w:t>—</w:t>
            </w:r>
          </w:p>
        </w:tc>
      </w:tr>
      <w:tr w14:paraId="4619D8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201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520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7B8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F03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18A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4A7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2CE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256F0">
            <w:pPr>
              <w:jc w:val="center"/>
            </w:pPr>
            <w:r>
              <w:rPr>
                <w:rFonts w:ascii="宋体" w:hAnsi="宋体" w:eastAsia="宋体"/>
                <w:sz w:val="16"/>
              </w:rPr>
              <w:t>—</w:t>
            </w:r>
          </w:p>
        </w:tc>
      </w:tr>
      <w:tr w14:paraId="5B2474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4F50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47E91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9C39FE">
            <w:pPr>
              <w:jc w:val="center"/>
            </w:pPr>
            <w:r>
              <w:rPr>
                <w:rFonts w:ascii="宋体" w:hAnsi="宋体" w:eastAsia="宋体"/>
                <w:sz w:val="16"/>
              </w:rPr>
              <w:t>实际完成情况</w:t>
            </w:r>
          </w:p>
        </w:tc>
      </w:tr>
      <w:tr w14:paraId="70E179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E96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C28940">
            <w:pPr>
              <w:jc w:val="both"/>
            </w:pPr>
            <w:r>
              <w:rPr>
                <w:rFonts w:ascii="宋体" w:hAnsi="宋体" w:eastAsia="宋体"/>
                <w:sz w:val="16"/>
              </w:rPr>
              <w:t>项目资金20万元，主要用于城区街道1762</w:t>
            </w:r>
            <w:r>
              <w:rPr>
                <w:rFonts w:hint="eastAsia" w:ascii="宋体" w:hAnsi="宋体"/>
                <w:sz w:val="16"/>
                <w:lang w:eastAsia="zh-CN"/>
              </w:rPr>
              <w:t>盏</w:t>
            </w:r>
            <w:r>
              <w:rPr>
                <w:rFonts w:ascii="宋体" w:hAnsi="宋体" w:eastAsia="宋体"/>
                <w:sz w:val="16"/>
              </w:rPr>
              <w:t>路灯、70</w:t>
            </w:r>
            <w:r>
              <w:rPr>
                <w:rFonts w:hint="eastAsia" w:ascii="宋体" w:hAnsi="宋体"/>
                <w:sz w:val="16"/>
                <w:lang w:eastAsia="zh-CN"/>
              </w:rPr>
              <w:t>盏</w:t>
            </w:r>
            <w:r>
              <w:rPr>
                <w:rFonts w:ascii="宋体" w:hAnsi="宋体" w:eastAsia="宋体"/>
                <w:sz w:val="16"/>
              </w:rPr>
              <w:t>红绿灯电费缴纳，保障路灯的照明，以保证城区道路照明设施安全运行，不仅对居民出行、夜间车辆交通安全、维护社会治安起到保障作用，还同时亮化区容、区貌，提升城市人居环境质量和人民生活质量,美化亮化了城区街道，方便了群众晚上的出行，减少出行安全隐患，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EE75EA">
            <w:pPr>
              <w:jc w:val="both"/>
            </w:pPr>
            <w:r>
              <w:rPr>
                <w:rFonts w:ascii="宋体" w:hAnsi="宋体" w:eastAsia="宋体"/>
                <w:sz w:val="16"/>
              </w:rPr>
              <w:t>项目资金20万元，在2024年12月25日前用于缴纳城区街道1762</w:t>
            </w:r>
            <w:r>
              <w:rPr>
                <w:rFonts w:hint="eastAsia" w:ascii="宋体" w:hAnsi="宋体"/>
                <w:sz w:val="16"/>
                <w:lang w:eastAsia="zh-CN"/>
              </w:rPr>
              <w:t>盏</w:t>
            </w:r>
            <w:r>
              <w:rPr>
                <w:rFonts w:ascii="宋体" w:hAnsi="宋体" w:eastAsia="宋体"/>
                <w:sz w:val="16"/>
              </w:rPr>
              <w:t>路灯、70个红绿灯电费，及时缴纳电费，保障了路灯正常运行，改善了城区环境，减少了出行安全隐患，</w:t>
            </w:r>
            <w:r>
              <w:rPr>
                <w:rFonts w:hint="eastAsia" w:ascii="宋体" w:hAnsi="宋体"/>
                <w:sz w:val="16"/>
                <w:lang w:eastAsia="zh-CN"/>
              </w:rPr>
              <w:t>受益</w:t>
            </w:r>
            <w:r>
              <w:rPr>
                <w:rFonts w:ascii="宋体" w:hAnsi="宋体" w:eastAsia="宋体"/>
                <w:sz w:val="16"/>
              </w:rPr>
              <w:t>群众满意度达到95%。</w:t>
            </w:r>
          </w:p>
        </w:tc>
      </w:tr>
      <w:tr w14:paraId="7D0BE7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DFC6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B15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A121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0A7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D7A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AD0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134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654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B37E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20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7260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E5E2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2BE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277CE">
            <w:pPr>
              <w:jc w:val="center"/>
            </w:pPr>
            <w:r>
              <w:rPr>
                <w:rFonts w:ascii="宋体" w:hAnsi="宋体" w:eastAsia="宋体"/>
                <w:sz w:val="16"/>
              </w:rPr>
              <w:t>偏差原因分析及改进措施</w:t>
            </w:r>
          </w:p>
        </w:tc>
      </w:tr>
      <w:tr w14:paraId="0A4E9A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CA6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C2BF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7EB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FF51">
            <w:pPr>
              <w:jc w:val="center"/>
            </w:pPr>
            <w:r>
              <w:rPr>
                <w:rFonts w:ascii="宋体" w:hAnsi="宋体" w:eastAsia="宋体"/>
                <w:sz w:val="16"/>
              </w:rPr>
              <w:t>城区路灯用电数量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9772">
            <w:pPr>
              <w:jc w:val="center"/>
            </w:pPr>
            <w:r>
              <w:rPr>
                <w:rFonts w:ascii="宋体" w:hAnsi="宋体" w:eastAsia="宋体"/>
                <w:sz w:val="16"/>
              </w:rPr>
              <w:t>&gt;=1762个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4D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07316">
            <w:pPr>
              <w:jc w:val="center"/>
            </w:pPr>
            <w:r>
              <w:rPr>
                <w:rFonts w:ascii="宋体" w:hAnsi="宋体" w:eastAsia="宋体"/>
                <w:sz w:val="16"/>
              </w:rPr>
              <w:t>1500个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F3B6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F21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1EB4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76CD">
            <w:pPr>
              <w:jc w:val="center"/>
            </w:pPr>
            <w:r>
              <w:rPr>
                <w:rFonts w:ascii="宋体" w:hAnsi="宋体" w:eastAsia="宋体"/>
                <w:sz w:val="16"/>
              </w:rPr>
              <w:t>=1726个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95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908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C6917">
            <w:pPr>
              <w:jc w:val="center"/>
            </w:pPr>
          </w:p>
        </w:tc>
      </w:tr>
      <w:tr w14:paraId="5688A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3CA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CF6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45C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0BC2">
            <w:pPr>
              <w:jc w:val="center"/>
            </w:pPr>
            <w:r>
              <w:rPr>
                <w:rFonts w:ascii="宋体" w:hAnsi="宋体" w:eastAsia="宋体"/>
                <w:sz w:val="16"/>
              </w:rPr>
              <w:t>红绿灯数量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DCBE4">
            <w:pPr>
              <w:jc w:val="center"/>
            </w:pPr>
            <w:r>
              <w:rPr>
                <w:rFonts w:ascii="宋体" w:hAnsi="宋体" w:eastAsia="宋体"/>
                <w:sz w:val="16"/>
              </w:rPr>
              <w:t>&gt;=70个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9E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E6098">
            <w:pPr>
              <w:jc w:val="center"/>
            </w:pPr>
            <w:r>
              <w:rPr>
                <w:rFonts w:ascii="宋体" w:hAnsi="宋体" w:eastAsia="宋体"/>
                <w:sz w:val="16"/>
              </w:rPr>
              <w:t>44个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305F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1CA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7C5CE">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AEDE">
            <w:pPr>
              <w:jc w:val="center"/>
            </w:pPr>
            <w:r>
              <w:rPr>
                <w:rFonts w:ascii="宋体" w:hAnsi="宋体" w:eastAsia="宋体"/>
                <w:sz w:val="16"/>
              </w:rPr>
              <w:t>=70个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77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21D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3B67">
            <w:pPr>
              <w:jc w:val="center"/>
            </w:pPr>
          </w:p>
        </w:tc>
      </w:tr>
      <w:tr w14:paraId="039CED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159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1AC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E3A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FE49B">
            <w:pPr>
              <w:jc w:val="center"/>
            </w:pPr>
            <w:r>
              <w:rPr>
                <w:rFonts w:ascii="宋体" w:hAnsi="宋体" w:eastAsia="宋体"/>
                <w:sz w:val="16"/>
              </w:rPr>
              <w:t>用电度数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33C5">
            <w:pPr>
              <w:jc w:val="center"/>
            </w:pPr>
            <w:r>
              <w:rPr>
                <w:rFonts w:ascii="宋体" w:hAnsi="宋体" w:eastAsia="宋体"/>
                <w:sz w:val="16"/>
              </w:rPr>
              <w:t>&gt;=45.09万度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F0A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35292">
            <w:pPr>
              <w:jc w:val="center"/>
            </w:pPr>
            <w:r>
              <w:rPr>
                <w:rFonts w:ascii="宋体" w:hAnsi="宋体" w:eastAsia="宋体"/>
                <w:sz w:val="16"/>
              </w:rPr>
              <w:t>56.37万度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559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5BD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5E27">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B9722">
            <w:pPr>
              <w:jc w:val="center"/>
            </w:pPr>
            <w:r>
              <w:rPr>
                <w:rFonts w:ascii="宋体" w:hAnsi="宋体" w:eastAsia="宋体"/>
                <w:sz w:val="16"/>
              </w:rPr>
              <w:t>=45.09万度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D3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A31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102D">
            <w:pPr>
              <w:jc w:val="center"/>
            </w:pPr>
          </w:p>
        </w:tc>
      </w:tr>
      <w:tr w14:paraId="13BBB8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E4A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C15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1D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D07F">
            <w:pPr>
              <w:jc w:val="center"/>
            </w:pPr>
            <w:r>
              <w:rPr>
                <w:rFonts w:ascii="宋体" w:hAnsi="宋体" w:eastAsia="宋体"/>
                <w:sz w:val="16"/>
              </w:rPr>
              <w:t>路灯正常运行率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8D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C21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AA5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4C9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A4A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8E9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AB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355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321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B418E">
            <w:pPr>
              <w:jc w:val="center"/>
            </w:pPr>
          </w:p>
        </w:tc>
      </w:tr>
      <w:tr w14:paraId="1EEA07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20F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CD3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7C55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D994">
            <w:pPr>
              <w:jc w:val="center"/>
            </w:pPr>
            <w:r>
              <w:rPr>
                <w:rFonts w:ascii="宋体" w:hAnsi="宋体" w:eastAsia="宋体"/>
                <w:sz w:val="16"/>
              </w:rPr>
              <w:t>缴纳电费及时率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2C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FCB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E0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96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BC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AAD4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C21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A11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E8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2C660">
            <w:pPr>
              <w:jc w:val="center"/>
            </w:pPr>
          </w:p>
        </w:tc>
      </w:tr>
      <w:tr w14:paraId="3B8B1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0C6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860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F8A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4C44">
            <w:pPr>
              <w:jc w:val="center"/>
            </w:pPr>
            <w:r>
              <w:rPr>
                <w:rFonts w:ascii="宋体" w:hAnsi="宋体" w:eastAsia="宋体"/>
                <w:sz w:val="16"/>
              </w:rPr>
              <w:t>电费缴纳完成时间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489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04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257B3">
            <w:pPr>
              <w:jc w:val="center"/>
            </w:pPr>
            <w:r>
              <w:rPr>
                <w:rFonts w:ascii="宋体" w:hAnsi="宋体" w:eastAsia="宋体"/>
                <w:sz w:val="16"/>
              </w:rPr>
              <w:t>2023年12月13日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DC2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E20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B6B0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4A3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E9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3967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B1D8B">
            <w:pPr>
              <w:jc w:val="center"/>
            </w:pPr>
          </w:p>
        </w:tc>
      </w:tr>
      <w:tr w14:paraId="17EEF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FE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8D7C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C39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79DC">
            <w:pPr>
              <w:jc w:val="center"/>
            </w:pPr>
            <w:r>
              <w:rPr>
                <w:rFonts w:ascii="宋体" w:hAnsi="宋体" w:eastAsia="宋体"/>
                <w:sz w:val="16"/>
              </w:rPr>
              <w:t>用电成本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E095">
            <w:pPr>
              <w:jc w:val="center"/>
            </w:pPr>
            <w:r>
              <w:rPr>
                <w:rFonts w:ascii="宋体" w:hAnsi="宋体" w:eastAsia="宋体"/>
                <w:sz w:val="16"/>
              </w:rPr>
              <w:t>&lt;=4436元/万度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1E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D84C1">
            <w:pPr>
              <w:jc w:val="center"/>
            </w:pPr>
            <w:r>
              <w:rPr>
                <w:rFonts w:ascii="宋体" w:hAnsi="宋体" w:eastAsia="宋体"/>
                <w:sz w:val="16"/>
              </w:rPr>
              <w:t>4436元/万度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CD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D8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38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2647">
            <w:pPr>
              <w:jc w:val="center"/>
            </w:pPr>
            <w:r>
              <w:rPr>
                <w:rFonts w:ascii="宋体" w:hAnsi="宋体" w:eastAsia="宋体"/>
                <w:sz w:val="16"/>
              </w:rPr>
              <w:t>=4436元/万度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03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F5F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CFE1">
            <w:pPr>
              <w:jc w:val="center"/>
            </w:pPr>
          </w:p>
        </w:tc>
      </w:tr>
      <w:tr w14:paraId="25B5F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FC2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6534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17E3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A710D">
            <w:pPr>
              <w:jc w:val="center"/>
            </w:pPr>
            <w:r>
              <w:rPr>
                <w:rFonts w:ascii="宋体" w:hAnsi="宋体" w:eastAsia="宋体"/>
                <w:sz w:val="16"/>
              </w:rPr>
              <w:t>减少出行安全隐患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FE0D">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CE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A415">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89F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4B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C66F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894B4">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D45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79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D78B">
            <w:pPr>
              <w:jc w:val="center"/>
            </w:pPr>
          </w:p>
        </w:tc>
      </w:tr>
      <w:tr w14:paraId="38B49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9BA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6C3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2DF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B675">
            <w:pPr>
              <w:jc w:val="center"/>
            </w:pPr>
            <w:r>
              <w:rPr>
                <w:rFonts w:ascii="宋体" w:hAnsi="宋体" w:eastAsia="宋体"/>
                <w:sz w:val="16"/>
              </w:rPr>
              <w:t>改善城区环境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EF242">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5C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8225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6A1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C56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B10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71DF9">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9C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C7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F95D">
            <w:pPr>
              <w:jc w:val="center"/>
            </w:pPr>
          </w:p>
        </w:tc>
      </w:tr>
      <w:tr w14:paraId="6D5A1D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201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19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E3A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B00B">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C02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2F3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BD77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C0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B2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E9E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9EA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24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4A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8823">
            <w:pPr>
              <w:jc w:val="center"/>
            </w:pPr>
          </w:p>
        </w:tc>
      </w:tr>
      <w:tr w14:paraId="44C7193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20846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AA2C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C65D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41E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965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A65B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D627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0202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6F0D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7D8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3A20D3"/>
        </w:tc>
      </w:tr>
    </w:tbl>
    <w:p w14:paraId="36596827">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09"/>
        <w:gridCol w:w="587"/>
        <w:gridCol w:w="632"/>
        <w:gridCol w:w="632"/>
        <w:gridCol w:w="632"/>
        <w:gridCol w:w="632"/>
        <w:gridCol w:w="632"/>
        <w:gridCol w:w="632"/>
        <w:gridCol w:w="632"/>
        <w:gridCol w:w="696"/>
        <w:gridCol w:w="632"/>
      </w:tblGrid>
      <w:tr w14:paraId="7EE4F427">
        <w:tblPrEx>
          <w:tblCellMar>
            <w:top w:w="0" w:type="dxa"/>
            <w:left w:w="108" w:type="dxa"/>
            <w:bottom w:w="0" w:type="dxa"/>
            <w:right w:w="108" w:type="dxa"/>
          </w:tblCellMar>
        </w:tblPrEx>
        <w:tc>
          <w:tcPr>
            <w:tcW w:w="8976" w:type="dxa"/>
            <w:gridSpan w:val="15"/>
            <w:vAlign w:val="center"/>
          </w:tcPr>
          <w:p w14:paraId="21545DD4">
            <w:pPr>
              <w:jc w:val="center"/>
            </w:pPr>
            <w:r>
              <w:rPr>
                <w:rFonts w:ascii="宋体" w:hAnsi="宋体" w:eastAsia="宋体"/>
                <w:sz w:val="24"/>
              </w:rPr>
              <w:t>项目支出绩效自评表</w:t>
            </w:r>
          </w:p>
        </w:tc>
      </w:tr>
      <w:tr w14:paraId="7B5354BB">
        <w:tblPrEx>
          <w:tblCellMar>
            <w:top w:w="0" w:type="dxa"/>
            <w:left w:w="108" w:type="dxa"/>
            <w:bottom w:w="0" w:type="dxa"/>
            <w:right w:w="108" w:type="dxa"/>
          </w:tblCellMar>
        </w:tblPrEx>
        <w:tc>
          <w:tcPr>
            <w:tcW w:w="8976" w:type="dxa"/>
            <w:gridSpan w:val="15"/>
            <w:vAlign w:val="center"/>
          </w:tcPr>
          <w:p w14:paraId="2AFD87CD">
            <w:pPr>
              <w:jc w:val="center"/>
            </w:pPr>
            <w:r>
              <w:rPr>
                <w:rFonts w:ascii="宋体" w:hAnsi="宋体" w:eastAsia="宋体"/>
                <w:sz w:val="24"/>
              </w:rPr>
              <w:t>(2024年度)</w:t>
            </w:r>
          </w:p>
        </w:tc>
      </w:tr>
      <w:tr w14:paraId="4182AA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89E0">
            <w:pPr>
              <w:jc w:val="center"/>
            </w:pPr>
            <w:r>
              <w:rPr>
                <w:rFonts w:ascii="宋体" w:hAnsi="宋体" w:eastAsia="宋体"/>
                <w:sz w:val="16"/>
              </w:rPr>
              <w:t>项目名称</w:t>
            </w:r>
          </w:p>
        </w:tc>
        <w:tc>
          <w:tcPr>
            <w:tcW w:w="834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6AFED83">
            <w:pPr>
              <w:jc w:val="center"/>
            </w:pPr>
            <w:r>
              <w:rPr>
                <w:rFonts w:ascii="宋体" w:hAnsi="宋体" w:eastAsia="宋体"/>
                <w:sz w:val="16"/>
              </w:rPr>
              <w:t>地方专项，2024年其他项目类</w:t>
            </w:r>
            <w:r>
              <w:rPr>
                <w:rFonts w:hint="eastAsia" w:ascii="宋体" w:hAnsi="宋体"/>
                <w:sz w:val="16"/>
                <w:lang w:eastAsia="zh-CN"/>
              </w:rPr>
              <w:t>－</w:t>
            </w:r>
            <w:r>
              <w:rPr>
                <w:rFonts w:ascii="宋体" w:hAnsi="宋体" w:eastAsia="宋体"/>
                <w:sz w:val="16"/>
              </w:rPr>
              <w:t>节前街道装饰饰品项目</w:t>
            </w:r>
          </w:p>
        </w:tc>
      </w:tr>
      <w:tr w14:paraId="67944A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E9924">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ABBA8BE">
            <w:pPr>
              <w:jc w:val="center"/>
            </w:pPr>
            <w:r>
              <w:rPr>
                <w:rFonts w:ascii="宋体" w:hAnsi="宋体" w:eastAsia="宋体"/>
                <w:sz w:val="16"/>
              </w:rPr>
              <w:t>托里县城建监察大队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00778">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EBC074">
            <w:pPr>
              <w:jc w:val="center"/>
            </w:pPr>
            <w:r>
              <w:rPr>
                <w:rFonts w:ascii="宋体" w:hAnsi="宋体" w:eastAsia="宋体"/>
                <w:sz w:val="16"/>
              </w:rPr>
              <w:t>托里县城建监察大队</w:t>
            </w:r>
          </w:p>
        </w:tc>
      </w:tr>
      <w:tr w14:paraId="504C0E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C657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DE681">
            <w:pPr>
              <w:jc w:val="center"/>
            </w:pP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F847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2E8D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519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E8C6D">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BAE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DD9F">
            <w:pPr>
              <w:jc w:val="center"/>
            </w:pPr>
            <w:r>
              <w:rPr>
                <w:rFonts w:ascii="宋体" w:hAnsi="宋体" w:eastAsia="宋体"/>
                <w:sz w:val="16"/>
              </w:rPr>
              <w:t>得分</w:t>
            </w:r>
          </w:p>
        </w:tc>
      </w:tr>
      <w:tr w14:paraId="62003B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855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C23B9">
            <w:pPr>
              <w:jc w:val="center"/>
            </w:pPr>
            <w:r>
              <w:rPr>
                <w:rFonts w:ascii="宋体" w:hAnsi="宋体" w:eastAsia="宋体"/>
                <w:sz w:val="16"/>
              </w:rPr>
              <w:t>年度资金总额</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40DC51">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8CD9B">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F67CE">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AC8AC">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7BC6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13AF">
            <w:pPr>
              <w:jc w:val="center"/>
            </w:pPr>
            <w:r>
              <w:rPr>
                <w:rFonts w:ascii="宋体" w:hAnsi="宋体" w:eastAsia="宋体"/>
                <w:sz w:val="16"/>
              </w:rPr>
              <w:t>10.00</w:t>
            </w:r>
          </w:p>
        </w:tc>
      </w:tr>
      <w:tr w14:paraId="3ABB4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0AF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8503C">
            <w:pPr>
              <w:jc w:val="center"/>
            </w:pPr>
            <w:r>
              <w:rPr>
                <w:rFonts w:ascii="宋体" w:hAnsi="宋体" w:eastAsia="宋体"/>
                <w:sz w:val="16"/>
              </w:rPr>
              <w:t>其中：当年财政拨款</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F597E6">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027AE">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F4763">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35722">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A2F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5C5F9">
            <w:pPr>
              <w:jc w:val="center"/>
            </w:pPr>
            <w:r>
              <w:rPr>
                <w:rFonts w:ascii="宋体" w:hAnsi="宋体" w:eastAsia="宋体"/>
                <w:sz w:val="16"/>
              </w:rPr>
              <w:t>—</w:t>
            </w:r>
          </w:p>
        </w:tc>
      </w:tr>
      <w:tr w14:paraId="307856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5BE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939B6">
            <w:pPr>
              <w:jc w:val="center"/>
            </w:pPr>
            <w:r>
              <w:rPr>
                <w:rFonts w:ascii="宋体" w:hAnsi="宋体" w:eastAsia="宋体"/>
                <w:sz w:val="16"/>
              </w:rPr>
              <w:t xml:space="preserve">  其他资金</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56CC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89D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208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5D216">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54A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E78B">
            <w:pPr>
              <w:jc w:val="center"/>
            </w:pPr>
            <w:r>
              <w:rPr>
                <w:rFonts w:ascii="宋体" w:hAnsi="宋体" w:eastAsia="宋体"/>
                <w:sz w:val="16"/>
              </w:rPr>
              <w:t>—</w:t>
            </w:r>
          </w:p>
        </w:tc>
      </w:tr>
      <w:tr w14:paraId="597FBA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9E224">
            <w:pPr>
              <w:jc w:val="center"/>
            </w:pPr>
            <w:r>
              <w:rPr>
                <w:rFonts w:ascii="宋体" w:hAnsi="宋体" w:eastAsia="宋体"/>
                <w:sz w:val="16"/>
              </w:rPr>
              <w:t>年度总体目标</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2C7254A">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CD0995">
            <w:pPr>
              <w:jc w:val="center"/>
            </w:pPr>
            <w:r>
              <w:rPr>
                <w:rFonts w:ascii="宋体" w:hAnsi="宋体" w:eastAsia="宋体"/>
                <w:sz w:val="16"/>
              </w:rPr>
              <w:t>实际完成情况</w:t>
            </w:r>
          </w:p>
        </w:tc>
      </w:tr>
      <w:tr w14:paraId="553DE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AAEFF"/>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8D4033C">
            <w:pPr>
              <w:jc w:val="both"/>
            </w:pPr>
            <w:r>
              <w:rPr>
                <w:rFonts w:ascii="宋体" w:hAnsi="宋体" w:eastAsia="宋体"/>
                <w:sz w:val="16"/>
              </w:rPr>
              <w:t>地方专项，2024年其他项目类</w:t>
            </w:r>
            <w:r>
              <w:rPr>
                <w:rFonts w:hint="eastAsia" w:ascii="宋体" w:hAnsi="宋体"/>
                <w:sz w:val="16"/>
                <w:lang w:eastAsia="zh-CN"/>
              </w:rPr>
              <w:t>－</w:t>
            </w:r>
            <w:r>
              <w:rPr>
                <w:rFonts w:ascii="宋体" w:hAnsi="宋体" w:eastAsia="宋体"/>
                <w:sz w:val="16"/>
              </w:rPr>
              <w:t>节前街道装饰饰品项目资金29万元，</w:t>
            </w:r>
            <w:r>
              <w:rPr>
                <w:rFonts w:hint="eastAsia" w:ascii="宋体" w:hAnsi="宋体"/>
                <w:sz w:val="16"/>
                <w:lang w:eastAsia="zh-CN"/>
              </w:rPr>
              <w:t>主要用于</w:t>
            </w:r>
            <w:r>
              <w:rPr>
                <w:rFonts w:ascii="宋体" w:hAnsi="宋体" w:eastAsia="宋体"/>
                <w:sz w:val="16"/>
              </w:rPr>
              <w:t>采购4个节日装饰品造型，以保障节日期间营造城区街道节日氛围，美化城市，增强群众爱党爱国热情，受益群众满意度达到98%。</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9FC39D">
            <w:pPr>
              <w:jc w:val="both"/>
            </w:pPr>
            <w:r>
              <w:rPr>
                <w:rFonts w:ascii="宋体" w:hAnsi="宋体" w:eastAsia="宋体"/>
                <w:sz w:val="16"/>
              </w:rPr>
              <w:t>地方专项，2024年其他项目类</w:t>
            </w:r>
            <w:r>
              <w:rPr>
                <w:rFonts w:hint="eastAsia" w:ascii="宋体" w:hAnsi="宋体"/>
                <w:sz w:val="16"/>
                <w:lang w:eastAsia="zh-CN"/>
              </w:rPr>
              <w:t>－</w:t>
            </w:r>
            <w:r>
              <w:rPr>
                <w:rFonts w:ascii="宋体" w:hAnsi="宋体" w:eastAsia="宋体"/>
                <w:sz w:val="16"/>
              </w:rPr>
              <w:t>节前街道装饰饰品项目，</w:t>
            </w:r>
            <w:r>
              <w:rPr>
                <w:rFonts w:hint="eastAsia" w:ascii="宋体" w:hAnsi="宋体"/>
                <w:sz w:val="16"/>
                <w:lang w:eastAsia="zh-CN"/>
              </w:rPr>
              <w:t>截至2024</w:t>
            </w:r>
            <w:r>
              <w:rPr>
                <w:rFonts w:ascii="宋体" w:hAnsi="宋体" w:eastAsia="宋体"/>
                <w:sz w:val="16"/>
              </w:rPr>
              <w:t>年8月31日，项目资金执行29万元，资金执行率100%；项目完成了采购4</w:t>
            </w:r>
            <w:r>
              <w:rPr>
                <w:rFonts w:hint="eastAsia" w:ascii="宋体" w:hAnsi="宋体"/>
                <w:sz w:val="16"/>
                <w:lang w:eastAsia="zh-CN"/>
              </w:rPr>
              <w:t>款</w:t>
            </w:r>
            <w:r>
              <w:rPr>
                <w:rFonts w:ascii="宋体" w:hAnsi="宋体" w:eastAsia="宋体"/>
                <w:sz w:val="16"/>
              </w:rPr>
              <w:t>节日装饰品造型，主要用于装饰节前街道，通过项目的实施，有效增加了营造节日氛围，增强群众爱党爱国精神，</w:t>
            </w:r>
            <w:r>
              <w:rPr>
                <w:rFonts w:hint="eastAsia" w:ascii="宋体" w:hAnsi="宋体"/>
                <w:sz w:val="16"/>
                <w:lang w:eastAsia="zh-CN"/>
              </w:rPr>
              <w:t>受益</w:t>
            </w:r>
            <w:r>
              <w:rPr>
                <w:rFonts w:ascii="宋体" w:hAnsi="宋体" w:eastAsia="宋体"/>
                <w:sz w:val="16"/>
              </w:rPr>
              <w:t>群众满意度达到了98%。</w:t>
            </w:r>
          </w:p>
        </w:tc>
      </w:tr>
      <w:tr w14:paraId="1F94E6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9381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18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C3A2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2D4F">
            <w:pPr>
              <w:jc w:val="center"/>
            </w:pPr>
            <w:r>
              <w:rPr>
                <w:rFonts w:ascii="宋体" w:hAnsi="宋体" w:eastAsia="宋体"/>
                <w:sz w:val="16"/>
              </w:rPr>
              <w:t>三级指标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312C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685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16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EE7C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F7A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466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F978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F7120">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FC4B7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12E4C">
            <w:pPr>
              <w:jc w:val="center"/>
            </w:pPr>
            <w:r>
              <w:rPr>
                <w:rFonts w:ascii="宋体" w:hAnsi="宋体" w:eastAsia="宋体"/>
                <w:sz w:val="16"/>
              </w:rPr>
              <w:t>偏差原因分析及改进措施</w:t>
            </w:r>
          </w:p>
        </w:tc>
      </w:tr>
      <w:tr w14:paraId="0EAD17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D91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2BDE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45B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5BCF">
            <w:pPr>
              <w:jc w:val="center"/>
            </w:pPr>
            <w:r>
              <w:rPr>
                <w:rFonts w:ascii="宋体" w:hAnsi="宋体" w:eastAsia="宋体"/>
                <w:sz w:val="16"/>
              </w:rPr>
              <w:t>采购节日装饰品造型数量</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1EA76">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B2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5DA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5C85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BB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9115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2E5A">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8AA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D8FE3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AB4F">
            <w:pPr>
              <w:jc w:val="center"/>
            </w:pPr>
          </w:p>
        </w:tc>
      </w:tr>
      <w:tr w14:paraId="50CFCF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C3D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46E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955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B053">
            <w:pPr>
              <w:jc w:val="center"/>
            </w:pPr>
            <w:r>
              <w:rPr>
                <w:rFonts w:ascii="宋体" w:hAnsi="宋体" w:eastAsia="宋体"/>
                <w:sz w:val="16"/>
              </w:rPr>
              <w:t>采购验收合格率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500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95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5F48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59C4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E74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B862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613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018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7E42B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D1460">
            <w:pPr>
              <w:jc w:val="center"/>
            </w:pPr>
          </w:p>
        </w:tc>
      </w:tr>
      <w:tr w14:paraId="7071F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791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5DC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AF02">
            <w:pPr>
              <w:jc w:val="center"/>
            </w:pPr>
            <w:r>
              <w:rPr>
                <w:rFonts w:ascii="宋体" w:hAnsi="宋体" w:eastAsia="宋体"/>
                <w:sz w:val="16"/>
              </w:rPr>
              <w:t>时效指标</w:t>
            </w:r>
          </w:p>
        </w:tc>
        <w:tc>
          <w:tcPr>
            <w:tcW w:w="7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BFDB2">
            <w:pPr>
              <w:jc w:val="center"/>
            </w:pPr>
            <w:r>
              <w:rPr>
                <w:rFonts w:ascii="宋体" w:hAnsi="宋体" w:eastAsia="宋体"/>
                <w:sz w:val="16"/>
              </w:rPr>
              <w:t>采购完成时间</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02B7067">
            <w:pPr>
              <w:jc w:val="center"/>
            </w:pPr>
            <w:r>
              <w:rPr>
                <w:rFonts w:ascii="宋体" w:hAnsi="宋体" w:eastAsia="宋体"/>
                <w:sz w:val="16"/>
              </w:rPr>
              <w:t>2024年2月5日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4FD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AED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20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9EC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BA9D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26798">
            <w:pPr>
              <w:jc w:val="center"/>
            </w:pPr>
            <w:r>
              <w:rPr>
                <w:rFonts w:ascii="宋体" w:hAnsi="宋体" w:eastAsia="宋体"/>
                <w:sz w:val="16"/>
              </w:rPr>
              <w:t>=2024年2月5日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D564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F761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76868">
            <w:pPr>
              <w:jc w:val="center"/>
            </w:pPr>
          </w:p>
        </w:tc>
      </w:tr>
      <w:tr w14:paraId="755007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63D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F358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963F5">
            <w:pPr>
              <w:jc w:val="center"/>
            </w:pPr>
            <w:r>
              <w:rPr>
                <w:rFonts w:ascii="宋体" w:hAnsi="宋体" w:eastAsia="宋体"/>
                <w:sz w:val="16"/>
              </w:rPr>
              <w:t>经济成本指标</w:t>
            </w:r>
          </w:p>
        </w:tc>
        <w:tc>
          <w:tcPr>
            <w:tcW w:w="7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294D8">
            <w:pPr>
              <w:jc w:val="center"/>
            </w:pPr>
            <w:r>
              <w:rPr>
                <w:rFonts w:ascii="宋体" w:hAnsi="宋体" w:eastAsia="宋体"/>
                <w:sz w:val="16"/>
              </w:rPr>
              <w:t>街道装饰品成本:礼</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B1EDAAC">
            <w:pPr>
              <w:jc w:val="center"/>
            </w:pPr>
            <w:r>
              <w:rPr>
                <w:rFonts w:ascii="宋体" w:hAnsi="宋体" w:eastAsia="宋体"/>
                <w:sz w:val="16"/>
              </w:rPr>
              <w:t>&lt;=2.7万元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5A1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047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FC6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BD7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7403D">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5C65E">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EB9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0BD07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FE35">
            <w:pPr>
              <w:jc w:val="center"/>
            </w:pPr>
          </w:p>
        </w:tc>
      </w:tr>
      <w:tr w14:paraId="6CBCDB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E5C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0D6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59550"/>
        </w:tc>
        <w:tc>
          <w:tcPr>
            <w:tcW w:w="7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723C9">
            <w:pPr>
              <w:jc w:val="center"/>
            </w:pPr>
            <w:r>
              <w:rPr>
                <w:rFonts w:ascii="宋体" w:hAnsi="宋体" w:eastAsia="宋体"/>
                <w:sz w:val="16"/>
              </w:rPr>
              <w:t>街道装饰品成本：福享新春</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6F6760D">
            <w:pPr>
              <w:jc w:val="center"/>
            </w:pPr>
            <w:r>
              <w:rPr>
                <w:rFonts w:ascii="宋体" w:hAnsi="宋体" w:eastAsia="宋体"/>
                <w:sz w:val="16"/>
              </w:rPr>
              <w:t>&lt;=8.76万元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A19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CA74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70C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F7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1A25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BCE5">
            <w:pPr>
              <w:jc w:val="center"/>
            </w:pPr>
            <w:r>
              <w:rPr>
                <w:rFonts w:ascii="宋体" w:hAnsi="宋体" w:eastAsia="宋体"/>
                <w:sz w:val="16"/>
              </w:rPr>
              <w:t>=8.76万元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979B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1BAF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3B6F">
            <w:pPr>
              <w:jc w:val="center"/>
            </w:pPr>
          </w:p>
        </w:tc>
      </w:tr>
      <w:tr w14:paraId="339E10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14E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0E4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380DE"/>
        </w:tc>
        <w:tc>
          <w:tcPr>
            <w:tcW w:w="7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86EF5">
            <w:pPr>
              <w:jc w:val="center"/>
            </w:pPr>
            <w:r>
              <w:rPr>
                <w:rFonts w:ascii="宋体" w:hAnsi="宋体" w:eastAsia="宋体"/>
                <w:sz w:val="16"/>
              </w:rPr>
              <w:t>街道装饰品成本：迎春纳福</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00AA6EF">
            <w:pPr>
              <w:jc w:val="center"/>
            </w:pPr>
            <w:r>
              <w:rPr>
                <w:rFonts w:ascii="宋体" w:hAnsi="宋体" w:eastAsia="宋体"/>
                <w:sz w:val="16"/>
              </w:rPr>
              <w:t>=7.90万元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A2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785A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CCA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054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9671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2F62">
            <w:pPr>
              <w:jc w:val="center"/>
            </w:pPr>
            <w:r>
              <w:rPr>
                <w:rFonts w:ascii="宋体" w:hAnsi="宋体" w:eastAsia="宋体"/>
                <w:sz w:val="16"/>
              </w:rPr>
              <w:t>=7.9万元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18EA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0ABA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C827D">
            <w:pPr>
              <w:jc w:val="center"/>
            </w:pPr>
          </w:p>
        </w:tc>
      </w:tr>
      <w:tr w14:paraId="41B800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68A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2DC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CBDC4"/>
        </w:tc>
        <w:tc>
          <w:tcPr>
            <w:tcW w:w="7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17B41">
            <w:pPr>
              <w:jc w:val="center"/>
            </w:pPr>
            <w:r>
              <w:rPr>
                <w:rFonts w:ascii="宋体" w:hAnsi="宋体" w:eastAsia="宋体"/>
                <w:sz w:val="16"/>
              </w:rPr>
              <w:t>街道装饰品成本：龙年大运</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7504BD3">
            <w:pPr>
              <w:jc w:val="center"/>
            </w:pPr>
            <w:r>
              <w:rPr>
                <w:rFonts w:ascii="宋体" w:hAnsi="宋体" w:eastAsia="宋体"/>
                <w:sz w:val="16"/>
              </w:rPr>
              <w:t>&lt;=9.65万元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6E5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C30C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382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AE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927B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2D14">
            <w:pPr>
              <w:jc w:val="center"/>
            </w:pPr>
            <w:r>
              <w:rPr>
                <w:rFonts w:ascii="宋体" w:hAnsi="宋体" w:eastAsia="宋体"/>
                <w:sz w:val="16"/>
              </w:rPr>
              <w:t>=9.65万元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2670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4FAEA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1B8E">
            <w:pPr>
              <w:jc w:val="center"/>
            </w:pPr>
          </w:p>
        </w:tc>
      </w:tr>
      <w:tr w14:paraId="3567CD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EF7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7563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80F3D">
            <w:pPr>
              <w:jc w:val="center"/>
            </w:pPr>
            <w:r>
              <w:rPr>
                <w:rFonts w:ascii="宋体" w:hAnsi="宋体" w:eastAsia="宋体"/>
                <w:sz w:val="16"/>
              </w:rPr>
              <w:t>社会效益指标</w:t>
            </w:r>
          </w:p>
        </w:tc>
        <w:tc>
          <w:tcPr>
            <w:tcW w:w="7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E3A68">
            <w:pPr>
              <w:jc w:val="center"/>
            </w:pPr>
            <w:r>
              <w:rPr>
                <w:rFonts w:ascii="宋体" w:hAnsi="宋体" w:eastAsia="宋体"/>
                <w:sz w:val="16"/>
              </w:rPr>
              <w:t>营造节日氛围，增强群众爱党爱国精神</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DAAC72A">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58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247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46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BEF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B00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73351">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F04D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B2B7C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D993">
            <w:pPr>
              <w:jc w:val="center"/>
            </w:pPr>
          </w:p>
        </w:tc>
      </w:tr>
      <w:tr w14:paraId="25EEA0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D5D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92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140C">
            <w:pPr>
              <w:jc w:val="center"/>
            </w:pPr>
            <w:r>
              <w:rPr>
                <w:rFonts w:ascii="宋体" w:hAnsi="宋体" w:eastAsia="宋体"/>
                <w:sz w:val="16"/>
              </w:rPr>
              <w:t>满意度指标</w:t>
            </w:r>
          </w:p>
        </w:tc>
        <w:tc>
          <w:tcPr>
            <w:tcW w:w="7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A82C6">
            <w:pPr>
              <w:jc w:val="center"/>
            </w:pPr>
            <w:r>
              <w:rPr>
                <w:rFonts w:ascii="宋体" w:hAnsi="宋体" w:eastAsia="宋体"/>
                <w:sz w:val="16"/>
              </w:rPr>
              <w:t>受益群众满意度</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A16623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110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F90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93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FCE6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0E9B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1CD3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3D1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59D1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2D96">
            <w:pPr>
              <w:jc w:val="center"/>
            </w:pPr>
          </w:p>
        </w:tc>
      </w:tr>
      <w:tr w14:paraId="40FF1BAD">
        <w:tblPrEx>
          <w:tblCellMar>
            <w:top w:w="0" w:type="dxa"/>
            <w:left w:w="108" w:type="dxa"/>
            <w:bottom w:w="0" w:type="dxa"/>
            <w:right w:w="108" w:type="dxa"/>
          </w:tblCellMar>
        </w:tblPrEx>
        <w:tc>
          <w:tcPr>
            <w:tcW w:w="263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E2D52C">
            <w:pPr>
              <w:jc w:val="center"/>
            </w:pPr>
            <w:r>
              <w:rPr>
                <w:rFonts w:ascii="宋体" w:hAnsi="宋体" w:eastAsia="宋体"/>
                <w:sz w:val="16"/>
              </w:rPr>
              <w:t>总分</w:t>
            </w:r>
          </w:p>
        </w:tc>
        <w:tc>
          <w:tcPr>
            <w:tcW w:w="587" w:type="dxa"/>
            <w:tcBorders>
              <w:top w:val="single" w:color="auto" w:sz="10" w:space="0"/>
              <w:left w:val="single" w:color="auto" w:sz="10" w:space="0"/>
              <w:bottom w:val="single" w:color="auto" w:sz="10" w:space="0"/>
              <w:right w:val="single" w:color="auto" w:sz="10" w:space="0"/>
              <w:insideV w:val="single" w:sz="10" w:space="0"/>
            </w:tcBorders>
          </w:tcPr>
          <w:p w14:paraId="0BB1F7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CE0A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BD54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77C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15C8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9563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9A8B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E3A0B7"/>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8B78B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C25B44"/>
        </w:tc>
      </w:tr>
    </w:tbl>
    <w:p w14:paraId="27F367CD">
      <w:r>
        <w:br w:type="page"/>
      </w:r>
    </w:p>
    <w:tbl>
      <w:tblPr>
        <w:tblStyle w:val="9"/>
        <w:tblW w:w="0" w:type="auto"/>
        <w:tblInd w:w="0" w:type="dxa"/>
        <w:tblLayout w:type="autofit"/>
        <w:tblCellMar>
          <w:top w:w="0" w:type="dxa"/>
          <w:left w:w="108" w:type="dxa"/>
          <w:bottom w:w="0" w:type="dxa"/>
          <w:right w:w="108" w:type="dxa"/>
        </w:tblCellMar>
      </w:tblPr>
      <w:tblGrid>
        <w:gridCol w:w="615"/>
        <w:gridCol w:w="587"/>
        <w:gridCol w:w="587"/>
        <w:gridCol w:w="587"/>
        <w:gridCol w:w="936"/>
        <w:gridCol w:w="587"/>
        <w:gridCol w:w="587"/>
        <w:gridCol w:w="601"/>
        <w:gridCol w:w="587"/>
        <w:gridCol w:w="587"/>
        <w:gridCol w:w="856"/>
        <w:gridCol w:w="616"/>
        <w:gridCol w:w="697"/>
        <w:gridCol w:w="630"/>
      </w:tblGrid>
      <w:tr w14:paraId="1E7C4890">
        <w:tblPrEx>
          <w:tblCellMar>
            <w:top w:w="0" w:type="dxa"/>
            <w:left w:w="108" w:type="dxa"/>
            <w:bottom w:w="0" w:type="dxa"/>
            <w:right w:w="108" w:type="dxa"/>
          </w:tblCellMar>
        </w:tblPrEx>
        <w:tc>
          <w:tcPr>
            <w:tcW w:w="8848" w:type="dxa"/>
            <w:gridSpan w:val="14"/>
            <w:vAlign w:val="center"/>
          </w:tcPr>
          <w:p w14:paraId="7E78ED63">
            <w:pPr>
              <w:jc w:val="center"/>
            </w:pPr>
            <w:r>
              <w:rPr>
                <w:rFonts w:ascii="宋体" w:hAnsi="宋体" w:eastAsia="宋体"/>
                <w:sz w:val="24"/>
              </w:rPr>
              <w:t>项目支出绩效自评表</w:t>
            </w:r>
          </w:p>
        </w:tc>
      </w:tr>
      <w:tr w14:paraId="7DF7F910">
        <w:tblPrEx>
          <w:tblCellMar>
            <w:top w:w="0" w:type="dxa"/>
            <w:left w:w="108" w:type="dxa"/>
            <w:bottom w:w="0" w:type="dxa"/>
            <w:right w:w="108" w:type="dxa"/>
          </w:tblCellMar>
        </w:tblPrEx>
        <w:tc>
          <w:tcPr>
            <w:tcW w:w="8848" w:type="dxa"/>
            <w:gridSpan w:val="14"/>
            <w:vAlign w:val="center"/>
          </w:tcPr>
          <w:p w14:paraId="19A69872">
            <w:pPr>
              <w:jc w:val="center"/>
            </w:pPr>
            <w:r>
              <w:rPr>
                <w:rFonts w:ascii="宋体" w:hAnsi="宋体" w:eastAsia="宋体"/>
                <w:sz w:val="24"/>
              </w:rPr>
              <w:t>(2024年度)</w:t>
            </w:r>
          </w:p>
        </w:tc>
      </w:tr>
      <w:tr w14:paraId="74B3FD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256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5148D0">
            <w:pPr>
              <w:jc w:val="center"/>
            </w:pPr>
            <w:r>
              <w:rPr>
                <w:rFonts w:ascii="宋体" w:hAnsi="宋体" w:eastAsia="宋体"/>
                <w:sz w:val="16"/>
              </w:rPr>
              <w:t>塔地财社</w:t>
            </w:r>
            <w:r>
              <w:rPr>
                <w:rFonts w:hint="eastAsia" w:ascii="宋体" w:hAnsi="宋体"/>
                <w:sz w:val="16"/>
                <w:lang w:eastAsia="zh-CN"/>
              </w:rPr>
              <w:t>〔2024〕16号</w:t>
            </w:r>
            <w:r>
              <w:rPr>
                <w:rFonts w:ascii="宋体" w:hAnsi="宋体" w:eastAsia="宋体"/>
                <w:sz w:val="16"/>
              </w:rPr>
              <w:t>，关于下达2024年中央财政就业补助资金[第二批]</w:t>
            </w:r>
          </w:p>
        </w:tc>
      </w:tr>
      <w:tr w14:paraId="7D2515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D60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3510DA">
            <w:pPr>
              <w:jc w:val="center"/>
            </w:pPr>
            <w:r>
              <w:rPr>
                <w:rFonts w:ascii="宋体" w:hAnsi="宋体" w:eastAsia="宋体"/>
                <w:sz w:val="16"/>
              </w:rPr>
              <w:t>托里县城建监察大队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B7B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C49BA9">
            <w:pPr>
              <w:jc w:val="center"/>
            </w:pPr>
            <w:r>
              <w:rPr>
                <w:rFonts w:ascii="宋体" w:hAnsi="宋体" w:eastAsia="宋体"/>
                <w:sz w:val="16"/>
              </w:rPr>
              <w:t>托里县城建监察大队</w:t>
            </w:r>
          </w:p>
        </w:tc>
      </w:tr>
      <w:tr w14:paraId="1435D0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C3FD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014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016F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B515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A7F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A21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59D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EC6A">
            <w:pPr>
              <w:jc w:val="center"/>
            </w:pPr>
            <w:r>
              <w:rPr>
                <w:rFonts w:ascii="宋体" w:hAnsi="宋体" w:eastAsia="宋体"/>
                <w:sz w:val="16"/>
              </w:rPr>
              <w:t>得分</w:t>
            </w:r>
          </w:p>
        </w:tc>
      </w:tr>
      <w:tr w14:paraId="18788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F6E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676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DF3A4">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E8E82">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625B5">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4D8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AB8F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B4729">
            <w:pPr>
              <w:jc w:val="center"/>
            </w:pPr>
            <w:r>
              <w:rPr>
                <w:rFonts w:ascii="宋体" w:hAnsi="宋体" w:eastAsia="宋体"/>
                <w:sz w:val="16"/>
              </w:rPr>
              <w:t>10.00</w:t>
            </w:r>
          </w:p>
        </w:tc>
      </w:tr>
      <w:tr w14:paraId="76D24B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1BC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C03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E2C8A">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73384">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2CABB">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E7F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251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C77E">
            <w:pPr>
              <w:jc w:val="center"/>
            </w:pPr>
            <w:r>
              <w:rPr>
                <w:rFonts w:ascii="宋体" w:hAnsi="宋体" w:eastAsia="宋体"/>
                <w:sz w:val="16"/>
              </w:rPr>
              <w:t>—</w:t>
            </w:r>
          </w:p>
        </w:tc>
      </w:tr>
      <w:tr w14:paraId="5BCB7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E06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AAC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1F4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783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C42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DD3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E5C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3496">
            <w:pPr>
              <w:jc w:val="center"/>
            </w:pPr>
            <w:r>
              <w:rPr>
                <w:rFonts w:ascii="宋体" w:hAnsi="宋体" w:eastAsia="宋体"/>
                <w:sz w:val="16"/>
              </w:rPr>
              <w:t>—</w:t>
            </w:r>
          </w:p>
        </w:tc>
      </w:tr>
      <w:tr w14:paraId="20D62E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D88E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4470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27F27A">
            <w:pPr>
              <w:jc w:val="center"/>
            </w:pPr>
            <w:r>
              <w:rPr>
                <w:rFonts w:ascii="宋体" w:hAnsi="宋体" w:eastAsia="宋体"/>
                <w:sz w:val="16"/>
              </w:rPr>
              <w:t>实际完成情况</w:t>
            </w:r>
          </w:p>
        </w:tc>
      </w:tr>
      <w:tr w14:paraId="56E11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0D4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D2FB12">
            <w:pPr>
              <w:jc w:val="both"/>
            </w:pPr>
            <w:r>
              <w:rPr>
                <w:rFonts w:ascii="宋体" w:hAnsi="宋体" w:eastAsia="宋体"/>
                <w:sz w:val="16"/>
              </w:rPr>
              <w:t>托里县城建监察大队2024年就业补助资金0.843764万元，用于</w:t>
            </w:r>
            <w:r>
              <w:rPr>
                <w:rFonts w:hint="eastAsia" w:ascii="宋体" w:hAnsi="宋体"/>
                <w:sz w:val="16"/>
                <w:lang w:eastAsia="zh-CN"/>
              </w:rPr>
              <w:t>本单位</w:t>
            </w:r>
            <w:r>
              <w:rPr>
                <w:rFonts w:ascii="宋体" w:hAnsi="宋体" w:eastAsia="宋体"/>
                <w:sz w:val="16"/>
              </w:rPr>
              <w:t>1名公益性岗位人员的社保医疗保险缴纳，通过每月按时缴纳社保补贴，有效提升保障公益性岗位人员生活质量。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BC9E34">
            <w:pPr>
              <w:jc w:val="both"/>
            </w:pPr>
            <w:r>
              <w:rPr>
                <w:rFonts w:ascii="宋体" w:hAnsi="宋体" w:eastAsia="宋体"/>
                <w:sz w:val="16"/>
              </w:rPr>
              <w:t>塔地财社</w:t>
            </w:r>
            <w:r>
              <w:rPr>
                <w:rFonts w:hint="eastAsia" w:ascii="宋体" w:hAnsi="宋体"/>
                <w:sz w:val="16"/>
                <w:lang w:eastAsia="zh-CN"/>
              </w:rPr>
              <w:t>〔2024〕16号</w:t>
            </w:r>
            <w:r>
              <w:rPr>
                <w:rFonts w:ascii="宋体" w:hAnsi="宋体" w:eastAsia="宋体"/>
                <w:sz w:val="16"/>
              </w:rPr>
              <w:t>，关于下达2024年中央财政就业补助资金[第二批]资金0.843764万元，用于</w:t>
            </w:r>
            <w:r>
              <w:rPr>
                <w:rFonts w:hint="eastAsia" w:ascii="宋体" w:hAnsi="宋体"/>
                <w:sz w:val="16"/>
                <w:lang w:eastAsia="zh-CN"/>
              </w:rPr>
              <w:t>本单位</w:t>
            </w:r>
            <w:r>
              <w:rPr>
                <w:rFonts w:ascii="宋体" w:hAnsi="宋体" w:eastAsia="宋体"/>
                <w:sz w:val="16"/>
              </w:rPr>
              <w:t>公益性岗位1人的社保医疗补贴，公益性岗位补贴月人均标准为1224.76元/人，保障了职工生活质量，使职工满意度达到了95%以上。</w:t>
            </w:r>
          </w:p>
        </w:tc>
      </w:tr>
      <w:tr w14:paraId="4DC76B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6334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E95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8C1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0D1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5B98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1A5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450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A15C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3171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EAC0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641E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1312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DA9A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5E21">
            <w:pPr>
              <w:jc w:val="center"/>
            </w:pPr>
            <w:r>
              <w:rPr>
                <w:rFonts w:ascii="宋体" w:hAnsi="宋体" w:eastAsia="宋体"/>
                <w:sz w:val="16"/>
              </w:rPr>
              <w:t>偏差原因分析及改进措施</w:t>
            </w:r>
          </w:p>
        </w:tc>
      </w:tr>
      <w:tr w14:paraId="35EC5F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A9E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0A15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D819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54F30">
            <w:pPr>
              <w:jc w:val="center"/>
            </w:pPr>
            <w:r>
              <w:rPr>
                <w:rFonts w:ascii="宋体" w:hAnsi="宋体" w:eastAsia="宋体"/>
                <w:sz w:val="16"/>
              </w:rPr>
              <w:t>享受公益性岗位社保补贴数量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50C03">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B2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A3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C1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70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69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D96F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B7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20F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BDCB0">
            <w:pPr>
              <w:jc w:val="center"/>
            </w:pPr>
          </w:p>
        </w:tc>
      </w:tr>
      <w:tr w14:paraId="57FEE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49D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850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4AE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5585">
            <w:pPr>
              <w:jc w:val="center"/>
            </w:pPr>
            <w:r>
              <w:rPr>
                <w:rFonts w:ascii="宋体" w:hAnsi="宋体" w:eastAsia="宋体"/>
                <w:sz w:val="16"/>
              </w:rPr>
              <w:t>公益性岗位社保补贴发放次数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C544">
            <w:pPr>
              <w:jc w:val="center"/>
            </w:pPr>
            <w:r>
              <w:rPr>
                <w:rFonts w:ascii="宋体" w:hAnsi="宋体" w:eastAsia="宋体"/>
                <w:sz w:val="16"/>
              </w:rPr>
              <w:t>&gt;=7次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9D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4A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F0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597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EF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6F9E">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E4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938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8523">
            <w:pPr>
              <w:jc w:val="center"/>
            </w:pPr>
          </w:p>
        </w:tc>
      </w:tr>
      <w:tr w14:paraId="7E270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85F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B86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7A05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5729">
            <w:pPr>
              <w:jc w:val="center"/>
            </w:pPr>
            <w:r>
              <w:rPr>
                <w:rFonts w:ascii="宋体" w:hAnsi="宋体" w:eastAsia="宋体"/>
                <w:sz w:val="16"/>
              </w:rPr>
              <w:t>公益性岗位社保补贴发放准确率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039F0">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50A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D2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42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08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39E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8A6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A44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1F5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08C47">
            <w:pPr>
              <w:jc w:val="center"/>
            </w:pPr>
          </w:p>
        </w:tc>
      </w:tr>
      <w:tr w14:paraId="29EC11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9A5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C19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514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C33EF">
            <w:pPr>
              <w:jc w:val="center"/>
            </w:pPr>
            <w:r>
              <w:rPr>
                <w:rFonts w:ascii="宋体" w:hAnsi="宋体" w:eastAsia="宋体"/>
                <w:sz w:val="16"/>
              </w:rPr>
              <w:t>补贴发放按时完成率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F4F6F">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12A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AC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2E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A4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832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798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63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F0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51C2">
            <w:pPr>
              <w:jc w:val="center"/>
            </w:pPr>
          </w:p>
        </w:tc>
      </w:tr>
      <w:tr w14:paraId="22F325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154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294E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12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E3A4">
            <w:pPr>
              <w:jc w:val="center"/>
            </w:pPr>
            <w:r>
              <w:rPr>
                <w:rFonts w:ascii="宋体" w:hAnsi="宋体" w:eastAsia="宋体"/>
                <w:sz w:val="16"/>
              </w:rPr>
              <w:t>公益性岗位补贴月人均标准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FEE4">
            <w:pPr>
              <w:jc w:val="center"/>
            </w:pPr>
            <w:r>
              <w:rPr>
                <w:rFonts w:ascii="宋体" w:hAnsi="宋体" w:eastAsia="宋体"/>
                <w:sz w:val="16"/>
              </w:rPr>
              <w:t>&lt;=1224.76元/人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33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8F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4F1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D6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75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88B33">
            <w:pPr>
              <w:jc w:val="center"/>
            </w:pPr>
            <w:r>
              <w:rPr>
                <w:rFonts w:ascii="宋体" w:hAnsi="宋体" w:eastAsia="宋体"/>
                <w:sz w:val="16"/>
              </w:rPr>
              <w:t>=1224.76元/人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5CB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C9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DDBED">
            <w:pPr>
              <w:jc w:val="center"/>
            </w:pPr>
          </w:p>
        </w:tc>
      </w:tr>
      <w:tr w14:paraId="73349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5CA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506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20E0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E6EB">
            <w:pPr>
              <w:jc w:val="center"/>
            </w:pPr>
            <w:r>
              <w:rPr>
                <w:rFonts w:ascii="宋体" w:hAnsi="宋体" w:eastAsia="宋体"/>
                <w:sz w:val="16"/>
              </w:rPr>
              <w:t>保障职工生活质量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F6D3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04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C92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6F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F3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B40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4407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33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DD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A95F4">
            <w:pPr>
              <w:jc w:val="center"/>
            </w:pPr>
          </w:p>
        </w:tc>
      </w:tr>
      <w:tr w14:paraId="574BF8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AB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BAE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7A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DF64">
            <w:pPr>
              <w:jc w:val="center"/>
            </w:pPr>
            <w:r>
              <w:rPr>
                <w:rFonts w:ascii="宋体" w:hAnsi="宋体" w:eastAsia="宋体"/>
                <w:sz w:val="16"/>
              </w:rPr>
              <w:t>公益性岗位人员满意度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F73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F24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460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885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1E1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EA2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3CBF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E7E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4C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9C63E">
            <w:pPr>
              <w:jc w:val="center"/>
            </w:pPr>
          </w:p>
        </w:tc>
      </w:tr>
      <w:tr w14:paraId="05F0411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AC69D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5A37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9603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9B91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71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29BB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3E66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DBEA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6D28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C4F8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C2C400"/>
        </w:tc>
      </w:tr>
    </w:tbl>
    <w:p w14:paraId="488BA221">
      <w:r>
        <w:br w:type="page"/>
      </w:r>
    </w:p>
    <w:p w14:paraId="1278ADD9">
      <w:pPr>
        <w:spacing w:line="640" w:lineRule="exact"/>
        <w:ind w:firstLine="640"/>
        <w:jc w:val="both"/>
        <w:outlineLvl w:val="2"/>
      </w:pPr>
      <w:r>
        <w:rPr>
          <w:rFonts w:ascii="黑体" w:hAnsi="黑体" w:eastAsia="黑体"/>
          <w:sz w:val="32"/>
        </w:rPr>
        <w:t>十二、其他需说明的事项</w:t>
      </w:r>
    </w:p>
    <w:p w14:paraId="06635E72">
      <w:pPr>
        <w:spacing w:line="580" w:lineRule="exact"/>
        <w:ind w:firstLine="640"/>
        <w:jc w:val="both"/>
      </w:pPr>
      <w:r>
        <w:rPr>
          <w:rFonts w:ascii="仿宋_GB2312" w:hAnsi="仿宋_GB2312" w:eastAsia="仿宋_GB2312"/>
          <w:b w:val="0"/>
          <w:sz w:val="32"/>
        </w:rPr>
        <w:t>本单位无其他需说明的事项。</w:t>
      </w:r>
    </w:p>
    <w:p w14:paraId="27594CB0">
      <w:r>
        <w:br w:type="page"/>
      </w:r>
    </w:p>
    <w:p w14:paraId="10F3999D">
      <w:pPr>
        <w:spacing w:line="240" w:lineRule="auto"/>
        <w:jc w:val="center"/>
        <w:outlineLvl w:val="1"/>
      </w:pPr>
      <w:r>
        <w:rPr>
          <w:rFonts w:ascii="黑体" w:hAnsi="黑体" w:eastAsia="黑体"/>
          <w:sz w:val="32"/>
        </w:rPr>
        <w:t>第三部分 专业名词解释</w:t>
      </w:r>
    </w:p>
    <w:p w14:paraId="69EC76B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42F79B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31D93C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AA2F64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214E92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E4E85D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8507DE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B5D518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46485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92260E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DFE888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643811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E6B7A0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E6F4C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1FA16F5">
      <w:r>
        <w:br w:type="page"/>
      </w:r>
    </w:p>
    <w:p w14:paraId="0D9330CE">
      <w:pPr>
        <w:spacing w:line="240" w:lineRule="auto"/>
        <w:jc w:val="center"/>
        <w:outlineLvl w:val="1"/>
      </w:pPr>
      <w:r>
        <w:rPr>
          <w:rFonts w:ascii="黑体" w:hAnsi="黑体" w:eastAsia="黑体"/>
          <w:sz w:val="32"/>
        </w:rPr>
        <w:t>第四部分 部门决算报表（见附表）</w:t>
      </w:r>
    </w:p>
    <w:p w14:paraId="525C5D9F">
      <w:pPr>
        <w:spacing w:line="240" w:lineRule="auto"/>
        <w:ind w:firstLine="640"/>
        <w:jc w:val="both"/>
      </w:pPr>
      <w:r>
        <w:rPr>
          <w:rFonts w:ascii="仿宋_GB2312" w:hAnsi="仿宋_GB2312" w:eastAsia="仿宋_GB2312"/>
          <w:b w:val="0"/>
          <w:sz w:val="32"/>
        </w:rPr>
        <w:t>一、《收入支出决算总表》</w:t>
      </w:r>
    </w:p>
    <w:p w14:paraId="3D423ADC">
      <w:pPr>
        <w:spacing w:line="240" w:lineRule="auto"/>
        <w:ind w:firstLine="640"/>
        <w:jc w:val="both"/>
      </w:pPr>
      <w:r>
        <w:rPr>
          <w:rFonts w:ascii="仿宋_GB2312" w:hAnsi="仿宋_GB2312" w:eastAsia="仿宋_GB2312"/>
          <w:b w:val="0"/>
          <w:sz w:val="32"/>
        </w:rPr>
        <w:t>二、《收入决算表》</w:t>
      </w:r>
    </w:p>
    <w:p w14:paraId="537DF9E6">
      <w:pPr>
        <w:spacing w:line="240" w:lineRule="auto"/>
        <w:ind w:firstLine="640"/>
        <w:jc w:val="both"/>
      </w:pPr>
      <w:r>
        <w:rPr>
          <w:rFonts w:ascii="仿宋_GB2312" w:hAnsi="仿宋_GB2312" w:eastAsia="仿宋_GB2312"/>
          <w:b w:val="0"/>
          <w:sz w:val="32"/>
        </w:rPr>
        <w:t>三、《支出决算表》</w:t>
      </w:r>
    </w:p>
    <w:p w14:paraId="47652C02">
      <w:pPr>
        <w:spacing w:line="240" w:lineRule="auto"/>
        <w:ind w:firstLine="640"/>
        <w:jc w:val="both"/>
      </w:pPr>
      <w:r>
        <w:rPr>
          <w:rFonts w:ascii="仿宋_GB2312" w:hAnsi="仿宋_GB2312" w:eastAsia="仿宋_GB2312"/>
          <w:b w:val="0"/>
          <w:sz w:val="32"/>
        </w:rPr>
        <w:t>四、《财政拨款收入支出决算总表》</w:t>
      </w:r>
    </w:p>
    <w:p w14:paraId="0561D989">
      <w:pPr>
        <w:spacing w:line="240" w:lineRule="auto"/>
        <w:ind w:firstLine="640"/>
        <w:jc w:val="both"/>
      </w:pPr>
      <w:r>
        <w:rPr>
          <w:rFonts w:ascii="仿宋_GB2312" w:hAnsi="仿宋_GB2312" w:eastAsia="仿宋_GB2312"/>
          <w:b w:val="0"/>
          <w:sz w:val="32"/>
        </w:rPr>
        <w:t>五、《一般公共预算财政拨款支出决算表》</w:t>
      </w:r>
    </w:p>
    <w:p w14:paraId="14A117C4">
      <w:pPr>
        <w:spacing w:line="240" w:lineRule="auto"/>
        <w:ind w:firstLine="640"/>
        <w:jc w:val="both"/>
      </w:pPr>
      <w:r>
        <w:rPr>
          <w:rFonts w:ascii="仿宋_GB2312" w:hAnsi="仿宋_GB2312" w:eastAsia="仿宋_GB2312"/>
          <w:b w:val="0"/>
          <w:sz w:val="32"/>
        </w:rPr>
        <w:t>六、《一般公共预算财政拨款基本支出决算表》</w:t>
      </w:r>
    </w:p>
    <w:p w14:paraId="285D1CC8">
      <w:pPr>
        <w:spacing w:line="240" w:lineRule="auto"/>
        <w:ind w:firstLine="640"/>
        <w:jc w:val="both"/>
      </w:pPr>
      <w:r>
        <w:rPr>
          <w:rFonts w:ascii="仿宋_GB2312" w:hAnsi="仿宋_GB2312" w:eastAsia="仿宋_GB2312"/>
          <w:b w:val="0"/>
          <w:sz w:val="32"/>
        </w:rPr>
        <w:t>七、《政府性基金预算财政拨款收入支出决算表》</w:t>
      </w:r>
    </w:p>
    <w:p w14:paraId="0B92E6B9">
      <w:pPr>
        <w:spacing w:line="240" w:lineRule="auto"/>
        <w:ind w:firstLine="640"/>
        <w:jc w:val="both"/>
      </w:pPr>
      <w:r>
        <w:rPr>
          <w:rFonts w:ascii="仿宋_GB2312" w:hAnsi="仿宋_GB2312" w:eastAsia="仿宋_GB2312"/>
          <w:b w:val="0"/>
          <w:sz w:val="32"/>
        </w:rPr>
        <w:t>八、《国有资本经营预算财政拨款收入支出决算表》</w:t>
      </w:r>
    </w:p>
    <w:p w14:paraId="5923E8C4">
      <w:pPr>
        <w:spacing w:line="240" w:lineRule="auto"/>
        <w:ind w:firstLine="640"/>
        <w:jc w:val="both"/>
      </w:pPr>
      <w:r>
        <w:rPr>
          <w:rFonts w:ascii="仿宋_GB2312" w:hAnsi="仿宋_GB2312" w:eastAsia="仿宋_GB2312"/>
          <w:b w:val="0"/>
          <w:sz w:val="32"/>
        </w:rPr>
        <w:t>九、《财政拨款“三公”经费支出决算表》</w:t>
      </w:r>
    </w:p>
    <w:p w14:paraId="67474789">
      <w:pPr>
        <w:spacing w:line="240" w:lineRule="auto"/>
        <w:ind w:firstLine="640"/>
        <w:jc w:val="both"/>
      </w:pPr>
    </w:p>
    <w:p w14:paraId="5907062F">
      <w:pPr>
        <w:spacing w:line="240" w:lineRule="auto"/>
        <w:ind w:firstLine="640"/>
        <w:jc w:val="both"/>
      </w:pPr>
    </w:p>
    <w:p w14:paraId="12DF116E">
      <w:pPr>
        <w:spacing w:line="240" w:lineRule="auto"/>
        <w:ind w:firstLine="640"/>
        <w:jc w:val="both"/>
      </w:pPr>
    </w:p>
    <w:p w14:paraId="080014E5">
      <w:pPr>
        <w:spacing w:line="240" w:lineRule="auto"/>
        <w:ind w:firstLine="640"/>
        <w:jc w:val="both"/>
      </w:pPr>
    </w:p>
    <w:p w14:paraId="57BAFA8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5">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9B0F32"/>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DB0E21"/>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6339</Words>
  <Characters>7299</Characters>
  <Lines>0</Lines>
  <Paragraphs>0</Paragraphs>
  <TotalTime>75</TotalTime>
  <ScaleCrop>false</ScaleCrop>
  <LinksUpToDate>false</LinksUpToDate>
  <CharactersWithSpaces>7310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蹁跹</cp:lastModifiedBy>
  <cp:lastPrinted>2024-07-22T11:58:00Z</cp:lastPrinted>
  <dcterms:modified xsi:type="dcterms:W3CDTF">2025-10-31T09:52:20Z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eyJoZGlkIjoiZjc0YWFlMzUxNjVlZTcxY2FlZTNjZDFlMzE3YzBjNDEiLCJ1c2VySWQiOiIxMTU3MzgyOTA5In0=</vt:lpwstr>
  </property>
</Properties>
</file>