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托里县国有土地上房屋征收与补偿服务中心2024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D3AD75">
      <w:r>
        <w:br w:type="page"/>
      </w:r>
    </w:p>
    <w:p w14:paraId="75B951B4">
      <w:pPr>
        <w:spacing w:line="640" w:lineRule="exact"/>
        <w:jc w:val="center"/>
        <w:outlineLvl w:val="1"/>
      </w:pPr>
      <w:r>
        <w:rPr>
          <w:rFonts w:ascii="黑体" w:hAnsi="黑体" w:eastAsia="黑体"/>
          <w:sz w:val="32"/>
        </w:rPr>
        <w:t>第一部分 单位概况</w:t>
      </w:r>
    </w:p>
    <w:p w14:paraId="620BBCCA">
      <w:pPr>
        <w:spacing w:line="640" w:lineRule="exact"/>
        <w:ind w:firstLine="640"/>
        <w:jc w:val="both"/>
        <w:outlineLvl w:val="2"/>
      </w:pPr>
      <w:r>
        <w:rPr>
          <w:rFonts w:ascii="黑体" w:hAnsi="黑体" w:eastAsia="黑体"/>
          <w:sz w:val="32"/>
        </w:rPr>
        <w:t>一、主要职能</w:t>
      </w:r>
    </w:p>
    <w:p w14:paraId="4FF1D3E5">
      <w:pPr>
        <w:spacing w:line="580" w:lineRule="exact"/>
        <w:ind w:firstLine="640"/>
        <w:jc w:val="both"/>
      </w:pPr>
      <w:r>
        <w:rPr>
          <w:rFonts w:ascii="仿宋_GB2312" w:hAnsi="仿宋_GB2312" w:eastAsia="仿宋_GB2312"/>
          <w:sz w:val="32"/>
        </w:rPr>
        <w:t>托里县国有土地上房屋征收与补偿服务中心按照《关于成立托里县国有土地上房屋征收与补偿服务中心的通知》（托党编办〔2021〕14号）文件内容，成立于2021年4月，2023年1月财务正式独立核算，政府直属全额预算管理事业单位，主要职责：负责贯彻执行国家、自治区有关国有土地上房屋征收与补偿法律法规及政策，并组织实施本行政区域的房屋征收补偿工作；负责拟定征收补偿方案，并报人民政府；负责对征收范围内房屋的权属、区位、用途、建筑面积等情况组织调查、登记并公布；负责协调相关部门对被征收户房屋的评估、协调安置地点、户型、补偿金的核发、拆除等工作；建立征收与补偿档案，并将分户补偿情况在征收范围内向被征收人公布；负责做好房屋征收与补偿的法律法规和政策宣传、解释工作。</w:t>
      </w:r>
    </w:p>
    <w:p w14:paraId="42B65622">
      <w:pPr>
        <w:spacing w:line="640" w:lineRule="exact"/>
        <w:ind w:firstLine="640"/>
        <w:jc w:val="both"/>
        <w:outlineLvl w:val="2"/>
      </w:pPr>
      <w:r>
        <w:rPr>
          <w:rFonts w:ascii="黑体" w:hAnsi="黑体" w:eastAsia="黑体"/>
          <w:sz w:val="32"/>
        </w:rPr>
        <w:t>二、机构设置及人员情况</w:t>
      </w:r>
    </w:p>
    <w:p w14:paraId="34BF85C8">
      <w:pPr>
        <w:spacing w:line="580" w:lineRule="exact"/>
        <w:ind w:firstLine="640"/>
        <w:jc w:val="both"/>
      </w:pPr>
      <w:r>
        <w:rPr>
          <w:rFonts w:ascii="仿宋_GB2312" w:hAnsi="仿宋_GB2312" w:eastAsia="仿宋_GB2312"/>
          <w:sz w:val="32"/>
        </w:rPr>
        <w:t>托里县国有土地上房屋征收与补偿服务中心2024年度，实有人数4人，其中：在职人员4人，增加0人；离休人员0人，增加0人；退休人员0人,增加0人。</w:t>
      </w:r>
    </w:p>
    <w:p w14:paraId="73076760">
      <w:pPr>
        <w:spacing w:line="580" w:lineRule="exact"/>
        <w:ind w:firstLine="640"/>
        <w:jc w:val="both"/>
      </w:pPr>
      <w:r>
        <w:rPr>
          <w:rFonts w:ascii="仿宋_GB2312" w:hAnsi="仿宋_GB2312" w:eastAsia="仿宋_GB2312"/>
          <w:sz w:val="32"/>
        </w:rPr>
        <w:t>托里县国有土地上房屋征收与补偿服务中心无下属预算单位，下设3个科室，分别是：办公室、财务室、业务科。</w:t>
      </w:r>
    </w:p>
    <w:p w14:paraId="447C2442">
      <w:r>
        <w:br w:type="page"/>
      </w:r>
    </w:p>
    <w:p w14:paraId="655F6BCB">
      <w:pPr>
        <w:spacing w:line="240" w:lineRule="auto"/>
        <w:jc w:val="center"/>
        <w:outlineLvl w:val="1"/>
      </w:pPr>
      <w:r>
        <w:rPr>
          <w:rFonts w:ascii="黑体" w:hAnsi="黑体" w:eastAsia="黑体"/>
          <w:sz w:val="32"/>
        </w:rPr>
        <w:t>第二部分 部门决算情况说明</w:t>
      </w:r>
    </w:p>
    <w:p w14:paraId="2235B384">
      <w:pPr>
        <w:spacing w:line="640" w:lineRule="exact"/>
        <w:ind w:firstLine="640"/>
        <w:jc w:val="both"/>
        <w:outlineLvl w:val="2"/>
      </w:pPr>
      <w:r>
        <w:rPr>
          <w:rFonts w:ascii="黑体" w:hAnsi="黑体" w:eastAsia="黑体"/>
          <w:sz w:val="32"/>
        </w:rPr>
        <w:t>一、收入支出决算总体情况说明</w:t>
      </w:r>
    </w:p>
    <w:p w14:paraId="0905E28A">
      <w:pPr>
        <w:spacing w:line="580" w:lineRule="exact"/>
        <w:ind w:firstLine="640"/>
        <w:jc w:val="both"/>
      </w:pPr>
      <w:r>
        <w:rPr>
          <w:rFonts w:ascii="仿宋_GB2312" w:hAnsi="仿宋_GB2312" w:eastAsia="仿宋_GB2312"/>
          <w:b/>
          <w:sz w:val="32"/>
        </w:rPr>
        <w:t>2024年度收入总计1,084.80万元，</w:t>
      </w:r>
      <w:r>
        <w:rPr>
          <w:rFonts w:ascii="仿宋_GB2312" w:hAnsi="仿宋_GB2312" w:eastAsia="仿宋_GB2312"/>
          <w:b w:val="0"/>
          <w:sz w:val="32"/>
        </w:rPr>
        <w:t>其中：本年收入合计1,084.80万元，使用非财政拨款结余（含专用结余）0.00万元，年初结转和结余0.00万元。</w:t>
      </w:r>
    </w:p>
    <w:p w14:paraId="739BF414">
      <w:pPr>
        <w:spacing w:line="580" w:lineRule="exact"/>
        <w:ind w:firstLine="640"/>
        <w:jc w:val="both"/>
      </w:pPr>
      <w:r>
        <w:rPr>
          <w:rFonts w:ascii="仿宋_GB2312" w:hAnsi="仿宋_GB2312" w:eastAsia="仿宋_GB2312"/>
          <w:b/>
          <w:sz w:val="32"/>
        </w:rPr>
        <w:t>2024年度支出总计1,084.80万元，</w:t>
      </w:r>
      <w:r>
        <w:rPr>
          <w:rFonts w:ascii="仿宋_GB2312" w:hAnsi="仿宋_GB2312" w:eastAsia="仿宋_GB2312"/>
          <w:b w:val="0"/>
          <w:sz w:val="32"/>
        </w:rPr>
        <w:t>其中：本年支出合计1,084.80万元，结余分配0.00万元，年末结转和结余0.00万元。</w:t>
      </w:r>
    </w:p>
    <w:p w14:paraId="3F299E68">
      <w:pPr>
        <w:spacing w:line="580" w:lineRule="exact"/>
        <w:ind w:firstLine="640"/>
        <w:jc w:val="both"/>
      </w:pPr>
      <w:r>
        <w:rPr>
          <w:rFonts w:ascii="仿宋_GB2312" w:hAnsi="仿宋_GB2312" w:eastAsia="仿宋_GB2312"/>
          <w:b w:val="0"/>
          <w:sz w:val="32"/>
        </w:rPr>
        <w:t>收入支出总体与上年相比，增加1,017.11万元，增长1,502.60%，主要原因是：2024年增加托里县征收补偿差价25%资金的项目和托里县房屋征收补偿评估费项目。</w:t>
      </w:r>
    </w:p>
    <w:p w14:paraId="547F8B33">
      <w:pPr>
        <w:spacing w:line="640" w:lineRule="exact"/>
        <w:ind w:firstLine="640"/>
        <w:jc w:val="both"/>
        <w:outlineLvl w:val="2"/>
      </w:pPr>
      <w:r>
        <w:rPr>
          <w:rFonts w:ascii="黑体" w:hAnsi="黑体" w:eastAsia="黑体"/>
          <w:sz w:val="32"/>
        </w:rPr>
        <w:t>二、收入决算情况说明</w:t>
      </w:r>
    </w:p>
    <w:p w14:paraId="4910D563">
      <w:pPr>
        <w:spacing w:line="580" w:lineRule="exact"/>
        <w:ind w:firstLine="640"/>
        <w:jc w:val="both"/>
      </w:pPr>
      <w:r>
        <w:rPr>
          <w:rFonts w:ascii="仿宋_GB2312" w:hAnsi="仿宋_GB2312" w:eastAsia="仿宋_GB2312"/>
          <w:b/>
          <w:sz w:val="32"/>
        </w:rPr>
        <w:t>本年收入1,084.80万元，</w:t>
      </w:r>
      <w:r>
        <w:rPr>
          <w:rFonts w:ascii="仿宋_GB2312" w:hAnsi="仿宋_GB2312" w:eastAsia="仿宋_GB2312"/>
          <w:b w:val="0"/>
          <w:sz w:val="32"/>
        </w:rPr>
        <w:t>其中：财政拨款收入284.80万元，占26.25%；上级补助收入0.00万元，占0.00%；事业收入0.00万元，占0.00%；经营收入0.00万元，占0.00%；附属单位上缴收入0.00万元，占0.00%；其他收入800.00万元，占73.75%。</w:t>
      </w:r>
    </w:p>
    <w:p w14:paraId="08FDFDAD">
      <w:pPr>
        <w:spacing w:line="640" w:lineRule="exact"/>
        <w:ind w:firstLine="640"/>
        <w:jc w:val="both"/>
        <w:outlineLvl w:val="2"/>
      </w:pPr>
      <w:r>
        <w:rPr>
          <w:rFonts w:ascii="黑体" w:hAnsi="黑体" w:eastAsia="黑体"/>
          <w:sz w:val="32"/>
        </w:rPr>
        <w:t>三、支出决算情况说明</w:t>
      </w:r>
    </w:p>
    <w:p w14:paraId="5C6AA894">
      <w:pPr>
        <w:spacing w:line="580" w:lineRule="exact"/>
        <w:ind w:firstLine="640"/>
        <w:jc w:val="both"/>
      </w:pPr>
      <w:r>
        <w:rPr>
          <w:rFonts w:ascii="仿宋_GB2312" w:hAnsi="仿宋_GB2312" w:eastAsia="仿宋_GB2312"/>
          <w:b/>
          <w:sz w:val="32"/>
        </w:rPr>
        <w:t>本年支出1,084.80万元，</w:t>
      </w:r>
      <w:r>
        <w:rPr>
          <w:rFonts w:ascii="仿宋_GB2312" w:hAnsi="仿宋_GB2312" w:eastAsia="仿宋_GB2312"/>
          <w:b w:val="0"/>
          <w:sz w:val="32"/>
        </w:rPr>
        <w:t>其中：基本支出63.69万元，占5.87%；项目支出1,021.11万元，占94.13%；上缴上级支出0.00万元，占0.00%；经营支出0.00万元，占0.00%；对附属单位补助支出0.00万元，占0.00%。</w:t>
      </w:r>
    </w:p>
    <w:p w14:paraId="179D9F68">
      <w:pPr>
        <w:spacing w:line="640" w:lineRule="exact"/>
        <w:ind w:firstLine="640"/>
        <w:jc w:val="both"/>
        <w:outlineLvl w:val="2"/>
      </w:pPr>
      <w:r>
        <w:rPr>
          <w:rFonts w:ascii="黑体" w:hAnsi="黑体" w:eastAsia="黑体"/>
          <w:sz w:val="32"/>
        </w:rPr>
        <w:t>四、财政拨款收入支出决算总体情况说明</w:t>
      </w:r>
    </w:p>
    <w:p w14:paraId="14B3B603">
      <w:pPr>
        <w:spacing w:line="580" w:lineRule="exact"/>
        <w:ind w:firstLine="640"/>
        <w:jc w:val="both"/>
      </w:pPr>
      <w:r>
        <w:rPr>
          <w:rFonts w:ascii="仿宋_GB2312" w:hAnsi="仿宋_GB2312" w:eastAsia="仿宋_GB2312"/>
          <w:b/>
          <w:sz w:val="32"/>
        </w:rPr>
        <w:t>2024年度财政拨款收入总计284.80万元，</w:t>
      </w:r>
      <w:r>
        <w:rPr>
          <w:rFonts w:ascii="仿宋_GB2312" w:hAnsi="仿宋_GB2312" w:eastAsia="仿宋_GB2312"/>
          <w:b w:val="0"/>
          <w:sz w:val="32"/>
        </w:rPr>
        <w:t>其中：年初财政拨款结转和结余0.00万元，本年财政拨款收入284.80万元。</w:t>
      </w:r>
      <w:r>
        <w:rPr>
          <w:rFonts w:ascii="仿宋_GB2312" w:hAnsi="仿宋_GB2312" w:eastAsia="仿宋_GB2312"/>
          <w:b/>
          <w:sz w:val="32"/>
        </w:rPr>
        <w:t>财政拨款支出总计284.80万元，</w:t>
      </w:r>
      <w:r>
        <w:rPr>
          <w:rFonts w:ascii="仿宋_GB2312" w:hAnsi="仿宋_GB2312" w:eastAsia="仿宋_GB2312"/>
          <w:b w:val="0"/>
          <w:sz w:val="32"/>
        </w:rPr>
        <w:t>其中：年末财政拨款结转和结余0.00万元，本年财政拨款支出284.80万元。</w:t>
      </w:r>
    </w:p>
    <w:p w14:paraId="178C727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增加217.12万元，增长320.80%，主要原因是：2024年增加托里县征收补偿差价25%资金的项目。</w:t>
      </w:r>
      <w:r>
        <w:rPr>
          <w:rFonts w:ascii="仿宋_GB2312" w:hAnsi="仿宋_GB2312" w:eastAsia="仿宋_GB2312"/>
          <w:b/>
          <w:sz w:val="32"/>
        </w:rPr>
        <w:t>与年初预算相比，</w:t>
      </w:r>
      <w:r>
        <w:rPr>
          <w:rFonts w:ascii="仿宋_GB2312" w:hAnsi="仿宋_GB2312" w:eastAsia="仿宋_GB2312"/>
          <w:b w:val="0"/>
          <w:sz w:val="32"/>
        </w:rPr>
        <w:t>年初预算数63.35万元，决算数284.80万元，预决算差异率349.57%，主要原因是：年中追加托里县征收补偿差价25%资金的项目。</w:t>
      </w:r>
    </w:p>
    <w:p w14:paraId="4C3A73C5">
      <w:pPr>
        <w:spacing w:line="640" w:lineRule="exact"/>
        <w:ind w:firstLine="640"/>
        <w:jc w:val="both"/>
        <w:outlineLvl w:val="2"/>
      </w:pPr>
      <w:r>
        <w:rPr>
          <w:rFonts w:ascii="黑体" w:hAnsi="黑体" w:eastAsia="黑体"/>
          <w:sz w:val="32"/>
        </w:rPr>
        <w:t>五、一般公共预算财政拨款支出决算情况说明</w:t>
      </w:r>
    </w:p>
    <w:p w14:paraId="61BED230">
      <w:pPr>
        <w:spacing w:line="640" w:lineRule="exact"/>
        <w:ind w:firstLine="640"/>
        <w:jc w:val="both"/>
        <w:outlineLvl w:val="3"/>
      </w:pPr>
      <w:r>
        <w:rPr>
          <w:rFonts w:ascii="楷体_GB2312" w:hAnsi="楷体_GB2312" w:eastAsia="楷体_GB2312"/>
          <w:b/>
          <w:sz w:val="32"/>
        </w:rPr>
        <w:t>（一）一般公共预算财政拨款支出决算总体情况</w:t>
      </w:r>
    </w:p>
    <w:p w14:paraId="3A107516">
      <w:pPr>
        <w:spacing w:line="580" w:lineRule="exact"/>
        <w:ind w:firstLine="640"/>
        <w:jc w:val="both"/>
      </w:pPr>
      <w:r>
        <w:rPr>
          <w:rFonts w:ascii="仿宋_GB2312" w:hAnsi="仿宋_GB2312" w:eastAsia="仿宋_GB2312"/>
          <w:b/>
          <w:sz w:val="32"/>
        </w:rPr>
        <w:t>2024年度一般公共预算财政拨款支出63.69万元，</w:t>
      </w:r>
      <w:r>
        <w:rPr>
          <w:rFonts w:ascii="仿宋_GB2312" w:hAnsi="仿宋_GB2312" w:eastAsia="仿宋_GB2312"/>
          <w:b w:val="0"/>
          <w:sz w:val="32"/>
        </w:rPr>
        <w:t>占本年支出合计的5.87%。</w:t>
      </w:r>
      <w:r>
        <w:rPr>
          <w:rFonts w:ascii="仿宋_GB2312" w:hAnsi="仿宋_GB2312" w:eastAsia="仿宋_GB2312"/>
          <w:b/>
          <w:sz w:val="32"/>
        </w:rPr>
        <w:t>与上年相比，</w:t>
      </w:r>
      <w:r>
        <w:rPr>
          <w:rFonts w:ascii="仿宋_GB2312" w:hAnsi="仿宋_GB2312" w:eastAsia="仿宋_GB2312"/>
          <w:b w:val="0"/>
          <w:sz w:val="32"/>
        </w:rPr>
        <w:t>减少3.99万元，下降5.90%，主要原因是：2024年严格按照中央八项规定厉行节约，减少公务用车运行维护费；减少托里县征收补偿临时安置房维修项目和征收补偿工作律师代理费项目。</w:t>
      </w:r>
      <w:r>
        <w:rPr>
          <w:rFonts w:ascii="仿宋_GB2312" w:hAnsi="仿宋_GB2312" w:eastAsia="仿宋_GB2312"/>
          <w:b/>
          <w:sz w:val="32"/>
        </w:rPr>
        <w:t>与年初预算相比,</w:t>
      </w:r>
      <w:r>
        <w:rPr>
          <w:rFonts w:ascii="仿宋_GB2312" w:hAnsi="仿宋_GB2312" w:eastAsia="仿宋_GB2312"/>
          <w:b w:val="0"/>
          <w:sz w:val="32"/>
        </w:rPr>
        <w:t>年初预算数63.35万元，决算数63.69万元，预决算差异率0.54%，主要原因是：年中追加人员工资、社保、公积金基数调增部分资金，导致预决算存在差异。</w:t>
      </w:r>
    </w:p>
    <w:p w14:paraId="61CDAC98">
      <w:pPr>
        <w:spacing w:line="640" w:lineRule="exact"/>
        <w:ind w:firstLine="640"/>
        <w:jc w:val="both"/>
        <w:outlineLvl w:val="3"/>
      </w:pPr>
      <w:r>
        <w:rPr>
          <w:rFonts w:ascii="楷体_GB2312" w:hAnsi="楷体_GB2312" w:eastAsia="楷体_GB2312"/>
          <w:b/>
          <w:sz w:val="32"/>
        </w:rPr>
        <w:t>（二）一般公共预算财政拨款支出决算结构情况</w:t>
      </w:r>
    </w:p>
    <w:p w14:paraId="0DD27AF2">
      <w:pPr>
        <w:spacing w:line="580" w:lineRule="exact"/>
        <w:ind w:firstLine="640"/>
        <w:jc w:val="both"/>
      </w:pPr>
      <w:r>
        <w:rPr>
          <w:rFonts w:ascii="仿宋_GB2312" w:hAnsi="仿宋_GB2312" w:eastAsia="仿宋_GB2312"/>
          <w:b w:val="0"/>
          <w:sz w:val="32"/>
        </w:rPr>
        <w:t>1.一般公共服务支出(类)49.43万元,占77.61%。</w:t>
      </w:r>
    </w:p>
    <w:p w14:paraId="53A6575F">
      <w:pPr>
        <w:spacing w:line="580" w:lineRule="exact"/>
        <w:ind w:firstLine="640"/>
        <w:jc w:val="both"/>
      </w:pPr>
      <w:r>
        <w:rPr>
          <w:rFonts w:ascii="仿宋_GB2312" w:hAnsi="仿宋_GB2312" w:eastAsia="仿宋_GB2312"/>
          <w:b w:val="0"/>
          <w:sz w:val="32"/>
        </w:rPr>
        <w:t>2.社会保障和就业支出(类)6.45万元,占10.13%。</w:t>
      </w:r>
    </w:p>
    <w:p w14:paraId="0542D44C">
      <w:pPr>
        <w:spacing w:line="580" w:lineRule="exact"/>
        <w:ind w:firstLine="640"/>
        <w:jc w:val="both"/>
      </w:pPr>
      <w:r>
        <w:rPr>
          <w:rFonts w:ascii="仿宋_GB2312" w:hAnsi="仿宋_GB2312" w:eastAsia="仿宋_GB2312"/>
          <w:b w:val="0"/>
          <w:sz w:val="32"/>
        </w:rPr>
        <w:t>3.卫生健康支出(类)2.65万元,占4.16%。</w:t>
      </w:r>
    </w:p>
    <w:p w14:paraId="1CFE8E3F">
      <w:pPr>
        <w:spacing w:line="580" w:lineRule="exact"/>
        <w:ind w:firstLine="640"/>
        <w:jc w:val="both"/>
      </w:pPr>
      <w:r>
        <w:rPr>
          <w:rFonts w:ascii="仿宋_GB2312" w:hAnsi="仿宋_GB2312" w:eastAsia="仿宋_GB2312"/>
          <w:b w:val="0"/>
          <w:sz w:val="32"/>
        </w:rPr>
        <w:t>4.住房保障支出(类)5.16万元,占8.10%。</w:t>
      </w:r>
    </w:p>
    <w:p w14:paraId="30E71B0F">
      <w:pPr>
        <w:spacing w:line="640" w:lineRule="exact"/>
        <w:ind w:firstLine="640"/>
        <w:jc w:val="both"/>
        <w:outlineLvl w:val="3"/>
      </w:pPr>
      <w:r>
        <w:rPr>
          <w:rFonts w:ascii="楷体_GB2312" w:hAnsi="楷体_GB2312" w:eastAsia="楷体_GB2312"/>
          <w:b/>
          <w:sz w:val="32"/>
        </w:rPr>
        <w:t>（三）一般公共预算财政拨款支出决算具体情况</w:t>
      </w:r>
    </w:p>
    <w:p w14:paraId="567DA549">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1.一般公共服务支出(类)政府办公厅（室）及相关机构事务(款)事业运行(项):支出决算数为49.43万元，比上年决算增加3.09万元，增长6.67%,主要原因是：本年在职人员工资调增，导致相关人员经费较上年有所增加。</w:t>
      </w:r>
    </w:p>
    <w:p w14:paraId="2717D66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6.45万元，比上年决算增加2.06万元，增长46.92%,主要原因是：本年在职人员工资基数调增，养老缴费基数上涨，相应支出增加。</w:t>
      </w:r>
    </w:p>
    <w:p w14:paraId="20D7A174">
      <w:pPr>
        <w:spacing w:line="580" w:lineRule="exact"/>
        <w:ind w:firstLine="640"/>
        <w:jc w:val="both"/>
      </w:pPr>
      <w:r>
        <w:rPr>
          <w:rFonts w:ascii="仿宋_GB2312" w:hAnsi="仿宋_GB2312" w:eastAsia="仿宋_GB2312"/>
          <w:b w:val="0"/>
          <w:sz w:val="32"/>
        </w:rPr>
        <w:t>3.卫生健康支出(类)行政事业单位医疗(款)事业单位医疗(项):支出决算数为2.65万元，比上年决算增加0.72万元，增长37.31%,主要原因是：本年在职人员工资基数调增，医疗缴费基数上涨，相应支出增加。</w:t>
      </w:r>
    </w:p>
    <w:p w14:paraId="57F59501">
      <w:pPr>
        <w:spacing w:line="580" w:lineRule="exact"/>
        <w:ind w:firstLine="640"/>
        <w:jc w:val="both"/>
      </w:pPr>
      <w:r>
        <w:rPr>
          <w:rFonts w:ascii="仿宋_GB2312" w:hAnsi="仿宋_GB2312" w:eastAsia="仿宋_GB2312"/>
          <w:b w:val="0"/>
          <w:sz w:val="32"/>
        </w:rPr>
        <w:t>4.城乡社区支出(类)城乡社区公共设施(款)其他城乡社区公共设施支出(项):支出决算数为0.00万元，比上年决算减少11.50万元，下降100.00%,主要原因是：2024年度减少托里县征收补偿工作临时安置房维修费支出项目，托里县征收补偿工作律师代理费支出项目，托里县征收补偿工作评估费支出项目。</w:t>
      </w:r>
    </w:p>
    <w:p w14:paraId="6B575005">
      <w:pPr>
        <w:spacing w:line="580" w:lineRule="exact"/>
        <w:ind w:firstLine="640"/>
        <w:jc w:val="both"/>
      </w:pPr>
      <w:r>
        <w:rPr>
          <w:rFonts w:ascii="仿宋_GB2312" w:hAnsi="仿宋_GB2312" w:eastAsia="仿宋_GB2312"/>
          <w:b w:val="0"/>
          <w:sz w:val="32"/>
        </w:rPr>
        <w:t>5.住房保障支出(类)住房改革支出(款)住房公积金(项):支出决算数为5.16万元，比上年决算增加1.63万元，增长46.18%,主要原因是：本年在职人员工资基数调增，公积金缴费基数上涨，相应支出增加。</w:t>
      </w:r>
    </w:p>
    <w:p w14:paraId="77A9827D">
      <w:pPr>
        <w:spacing w:line="640" w:lineRule="exact"/>
        <w:ind w:firstLine="640"/>
        <w:jc w:val="both"/>
        <w:outlineLvl w:val="2"/>
      </w:pPr>
      <w:r>
        <w:rPr>
          <w:rFonts w:ascii="黑体" w:hAnsi="黑体" w:eastAsia="黑体"/>
          <w:sz w:val="32"/>
        </w:rPr>
        <w:t>六、一般公共预算财政拨款基本支出决算情况说明</w:t>
      </w:r>
    </w:p>
    <w:p w14:paraId="1FC8DBA5">
      <w:pPr>
        <w:spacing w:line="580" w:lineRule="exact"/>
        <w:ind w:firstLine="640"/>
        <w:jc w:val="both"/>
      </w:pPr>
      <w:r>
        <w:rPr>
          <w:rFonts w:ascii="仿宋_GB2312" w:hAnsi="仿宋_GB2312" w:eastAsia="仿宋_GB2312"/>
          <w:b w:val="0"/>
          <w:sz w:val="32"/>
        </w:rPr>
        <w:t>2024年度一般公共预算财政拨款基本支出63.69万元，其中：</w:t>
      </w:r>
      <w:r>
        <w:rPr>
          <w:rFonts w:ascii="仿宋_GB2312" w:hAnsi="仿宋_GB2312" w:eastAsia="仿宋_GB2312"/>
          <w:b/>
          <w:sz w:val="32"/>
        </w:rPr>
        <w:t>人员经费60.23万元，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74C8A5AC">
      <w:pPr>
        <w:spacing w:line="580" w:lineRule="exact"/>
        <w:ind w:firstLine="640"/>
        <w:jc w:val="both"/>
      </w:pPr>
      <w:r>
        <w:rPr>
          <w:rFonts w:ascii="仿宋_GB2312" w:hAnsi="仿宋_GB2312" w:eastAsia="仿宋_GB2312"/>
          <w:b/>
          <w:sz w:val="32"/>
        </w:rPr>
        <w:t>公用经费3.46万元，</w:t>
      </w:r>
      <w:r>
        <w:rPr>
          <w:rFonts w:ascii="仿宋_GB2312" w:hAnsi="仿宋_GB2312" w:eastAsia="仿宋_GB2312"/>
          <w:b w:val="0"/>
          <w:sz w:val="32"/>
        </w:rPr>
        <w:t>包括：办公费、邮电费、取暖费、差旅费、培训费、工会经费、公务用车运行维护费。</w:t>
      </w:r>
    </w:p>
    <w:p w14:paraId="590C8886">
      <w:pPr>
        <w:spacing w:line="640" w:lineRule="exact"/>
        <w:ind w:firstLine="640"/>
        <w:jc w:val="both"/>
        <w:outlineLvl w:val="2"/>
      </w:pPr>
      <w:r>
        <w:rPr>
          <w:rFonts w:ascii="黑体" w:hAnsi="黑体" w:eastAsia="黑体"/>
          <w:sz w:val="32"/>
        </w:rPr>
        <w:t>七、政府性基金预算财政拨款收入支出决算情况说明</w:t>
      </w:r>
    </w:p>
    <w:p w14:paraId="13463A9C">
      <w:pPr>
        <w:spacing w:line="580" w:lineRule="exact"/>
        <w:ind w:firstLine="640"/>
        <w:jc w:val="both"/>
      </w:pPr>
      <w:r>
        <w:rPr>
          <w:rFonts w:ascii="仿宋_GB2312" w:hAnsi="仿宋_GB2312" w:eastAsia="仿宋_GB2312"/>
          <w:b/>
          <w:sz w:val="32"/>
        </w:rPr>
        <w:t>2024年度政府性基金预算财政拨款收入总计221.11万元，</w:t>
      </w:r>
      <w:r>
        <w:rPr>
          <w:rFonts w:ascii="仿宋_GB2312" w:hAnsi="仿宋_GB2312" w:eastAsia="仿宋_GB2312"/>
          <w:b w:val="0"/>
          <w:sz w:val="32"/>
        </w:rPr>
        <w:t>其中：年初结转和结余0.00万元，本年收入221.11万元。</w:t>
      </w:r>
      <w:r>
        <w:rPr>
          <w:rFonts w:ascii="仿宋_GB2312" w:hAnsi="仿宋_GB2312" w:eastAsia="仿宋_GB2312"/>
          <w:b/>
          <w:sz w:val="32"/>
        </w:rPr>
        <w:t>政府性基金预算财政拨款支出总计221.11万元，</w:t>
      </w:r>
      <w:r>
        <w:rPr>
          <w:rFonts w:ascii="仿宋_GB2312" w:hAnsi="仿宋_GB2312" w:eastAsia="仿宋_GB2312"/>
          <w:b w:val="0"/>
          <w:sz w:val="32"/>
        </w:rPr>
        <w:t>其中：年末结转和结余0.00万元，本年支出221.11万元。</w:t>
      </w:r>
    </w:p>
    <w:p w14:paraId="36E47D8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增加221.11万元，增长100.00%，主要原因是：2024年增加托里县征收补偿差价25%资金的项目。</w:t>
      </w:r>
      <w:r>
        <w:rPr>
          <w:rFonts w:ascii="仿宋_GB2312" w:hAnsi="仿宋_GB2312" w:eastAsia="仿宋_GB2312"/>
          <w:b/>
          <w:sz w:val="32"/>
        </w:rPr>
        <w:t>与年初预算相比，</w:t>
      </w:r>
      <w:r>
        <w:rPr>
          <w:rFonts w:ascii="仿宋_GB2312" w:hAnsi="仿宋_GB2312" w:eastAsia="仿宋_GB2312"/>
          <w:b w:val="0"/>
          <w:sz w:val="32"/>
        </w:rPr>
        <w:t>年初预算数0.00万元，决算数221.11万元，预决算差异率100.00%，主要原因是：年中追加托里县征收补偿差价25%资金的项目。</w:t>
      </w:r>
    </w:p>
    <w:p w14:paraId="7789B849">
      <w:pPr>
        <w:spacing w:line="580" w:lineRule="exact"/>
        <w:ind w:firstLine="640"/>
        <w:jc w:val="both"/>
      </w:pPr>
      <w:r>
        <w:rPr>
          <w:rFonts w:ascii="仿宋_GB2312" w:hAnsi="仿宋_GB2312" w:eastAsia="仿宋_GB2312"/>
          <w:b w:val="0"/>
          <w:sz w:val="32"/>
        </w:rPr>
        <w:t>政府性基金预算财政拨款支出221.11万元。</w:t>
      </w:r>
    </w:p>
    <w:p w14:paraId="1DE15140">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1.城乡社区支出(类)国有土地使用权出让收入安排的支出(款)征地和拆迁补偿支出(项):支出决算数为221.11万元，比上年决算增加221.11万元，增长100.00%,主要原因是：2024年增加托里县征收补偿差价25%资金的项目</w:t>
      </w:r>
      <w:bookmarkStart w:id="0" w:name="_GoBack"/>
      <w:bookmarkEnd w:id="0"/>
      <w:r>
        <w:rPr>
          <w:rFonts w:ascii="仿宋_GB2312" w:hAnsi="仿宋_GB2312" w:eastAsia="仿宋_GB2312"/>
          <w:b w:val="0"/>
          <w:sz w:val="32"/>
        </w:rPr>
        <w:t>。</w:t>
      </w:r>
    </w:p>
    <w:p w14:paraId="3B37C11B">
      <w:pPr>
        <w:spacing w:line="640" w:lineRule="exact"/>
        <w:ind w:firstLine="640"/>
        <w:jc w:val="both"/>
        <w:outlineLvl w:val="2"/>
      </w:pPr>
      <w:r>
        <w:rPr>
          <w:rFonts w:ascii="黑体" w:hAnsi="黑体" w:eastAsia="黑体"/>
          <w:sz w:val="32"/>
        </w:rPr>
        <w:t>八、国有资本经营预算财政拨款收入支出决算情况说明</w:t>
      </w:r>
    </w:p>
    <w:p w14:paraId="436827F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887094C">
      <w:pPr>
        <w:spacing w:line="640" w:lineRule="exact"/>
        <w:ind w:firstLine="640"/>
        <w:jc w:val="both"/>
        <w:outlineLvl w:val="2"/>
      </w:pPr>
      <w:r>
        <w:rPr>
          <w:rFonts w:ascii="黑体" w:hAnsi="黑体" w:eastAsia="黑体"/>
          <w:sz w:val="32"/>
        </w:rPr>
        <w:t>九、财政拨款“三公”经费支出决算情况说明</w:t>
      </w:r>
    </w:p>
    <w:p w14:paraId="1F575F0C">
      <w:pPr>
        <w:spacing w:line="580" w:lineRule="exact"/>
        <w:ind w:firstLine="640"/>
        <w:jc w:val="both"/>
      </w:pPr>
      <w:r>
        <w:rPr>
          <w:rFonts w:ascii="仿宋_GB2312" w:hAnsi="仿宋_GB2312" w:eastAsia="仿宋_GB2312"/>
          <w:b/>
          <w:sz w:val="32"/>
        </w:rPr>
        <w:t>2024年度财政拨款“三公”经费支出0.96万元，</w:t>
      </w:r>
      <w:r>
        <w:rPr>
          <w:rFonts w:ascii="仿宋_GB2312" w:hAnsi="仿宋_GB2312" w:eastAsia="仿宋_GB2312"/>
          <w:b w:val="0"/>
          <w:sz w:val="32"/>
        </w:rPr>
        <w:t>比上年减少1.54万元，下降61.60%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0.96万元，占100.00%，比上年减少1.54万元，下降61.60%，主要原因是：严格落实中央八项规定精神，厉行节约，减少公务用车运行维护费。公务接待费支出0.00万元，占0.00%，比上年增加0.00万元，增长0.00%，主要原因是：2023年与2024年均未安排公务接待费支出。</w:t>
      </w:r>
    </w:p>
    <w:p w14:paraId="51983D15">
      <w:pPr>
        <w:spacing w:line="580" w:lineRule="exact"/>
        <w:ind w:firstLine="640"/>
        <w:jc w:val="both"/>
      </w:pPr>
      <w:r>
        <w:rPr>
          <w:rFonts w:ascii="仿宋_GB2312" w:hAnsi="仿宋_GB2312" w:eastAsia="仿宋_GB2312"/>
          <w:b/>
          <w:sz w:val="32"/>
        </w:rPr>
        <w:t>具体情况如下：</w:t>
      </w:r>
    </w:p>
    <w:p w14:paraId="5EE36E4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2236E3F">
      <w:pPr>
        <w:spacing w:line="580" w:lineRule="exact"/>
        <w:ind w:firstLine="640"/>
        <w:jc w:val="both"/>
      </w:pPr>
      <w:r>
        <w:rPr>
          <w:rFonts w:ascii="仿宋_GB2312" w:hAnsi="仿宋_GB2312" w:eastAsia="仿宋_GB2312"/>
          <w:b w:val="0"/>
          <w:sz w:val="32"/>
        </w:rPr>
        <w:t>公务用车购置及运行维护费0.96万元，其中：公务用车购置费0.00万元，公务用车运行维护费0.96万元。公务用车运行维护费开支内容包括车辆保险费、审车费。公务用车购置数0辆，公务用车保有量1辆。国有资产占用情况中固定资产车辆1辆，与公务用车保有量差异原因是：本单位固定资产车辆与公务用车保有量一致无差异。</w:t>
      </w:r>
    </w:p>
    <w:p w14:paraId="6012CFA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1DD5BE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0.96万元，决算数0.96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0.96万元，决算数0.96万元，预决算差异率0.00%，主要原因是：严格按照预算执行，预决算无差异。公务接待费全年预算数0.00万元，决算数0.00万元，预决算差异率0.00%，主要原因是：本单位无公务接待费。</w:t>
      </w:r>
    </w:p>
    <w:p w14:paraId="1956F83A">
      <w:pPr>
        <w:spacing w:line="640" w:lineRule="exact"/>
        <w:ind w:firstLine="640"/>
        <w:jc w:val="both"/>
        <w:outlineLvl w:val="2"/>
      </w:pPr>
      <w:r>
        <w:rPr>
          <w:rFonts w:ascii="黑体" w:hAnsi="黑体" w:eastAsia="黑体"/>
          <w:sz w:val="32"/>
        </w:rPr>
        <w:t>十、其他重要事项的情况说明</w:t>
      </w:r>
    </w:p>
    <w:p w14:paraId="54791B0B">
      <w:pPr>
        <w:spacing w:line="640" w:lineRule="exact"/>
        <w:ind w:firstLine="640"/>
        <w:jc w:val="both"/>
        <w:outlineLvl w:val="3"/>
      </w:pPr>
      <w:r>
        <w:rPr>
          <w:rFonts w:ascii="楷体_GB2312" w:hAnsi="楷体_GB2312" w:eastAsia="楷体_GB2312"/>
          <w:b/>
          <w:sz w:val="32"/>
        </w:rPr>
        <w:t>（一）机关运行经费及公用经费支出情况</w:t>
      </w:r>
    </w:p>
    <w:p w14:paraId="25E12CA5">
      <w:pPr>
        <w:spacing w:line="580" w:lineRule="exact"/>
        <w:ind w:firstLine="640"/>
        <w:jc w:val="both"/>
      </w:pPr>
      <w:r>
        <w:rPr>
          <w:rFonts w:ascii="仿宋_GB2312" w:hAnsi="仿宋_GB2312" w:eastAsia="仿宋_GB2312"/>
          <w:b w:val="0"/>
          <w:sz w:val="32"/>
        </w:rPr>
        <w:t>2024年度托里县国有土地上房屋征收与补偿服务中心（事业单位）公用经费支出3.46万元，比上年增加0.58万元，增长20.14%，主要原因是：</w:t>
      </w:r>
      <w:r>
        <w:rPr>
          <w:rFonts w:hint="eastAsia" w:ascii="仿宋_GB2312" w:hAnsi="仿宋_GB2312" w:eastAsia="仿宋_GB2312"/>
          <w:b w:val="0"/>
          <w:sz w:val="32"/>
        </w:rPr>
        <w:t>本年业务量增加，公用经费增加。</w:t>
      </w:r>
    </w:p>
    <w:p w14:paraId="1C181758">
      <w:pPr>
        <w:spacing w:line="640" w:lineRule="exact"/>
        <w:ind w:firstLine="640"/>
        <w:jc w:val="both"/>
        <w:outlineLvl w:val="3"/>
      </w:pPr>
      <w:r>
        <w:rPr>
          <w:rFonts w:ascii="楷体_GB2312" w:hAnsi="楷体_GB2312" w:eastAsia="楷体_GB2312"/>
          <w:b/>
          <w:sz w:val="32"/>
        </w:rPr>
        <w:t>（二）政府采购情况</w:t>
      </w:r>
    </w:p>
    <w:p w14:paraId="7FA0CD2A">
      <w:pPr>
        <w:spacing w:line="580" w:lineRule="exact"/>
        <w:ind w:firstLine="640"/>
        <w:jc w:val="both"/>
      </w:pPr>
      <w:r>
        <w:rPr>
          <w:rFonts w:ascii="仿宋_GB2312" w:hAnsi="仿宋_GB2312" w:eastAsia="仿宋_GB2312"/>
          <w:b w:val="0"/>
          <w:sz w:val="32"/>
        </w:rPr>
        <w:t>2024年度政府采购支出总额37.50万元，其中：政府采购货物支出0.56万元、政府采购工程支出0.00万元、政府采购服务支出36.94万元。</w:t>
      </w:r>
    </w:p>
    <w:p w14:paraId="12496D73">
      <w:pPr>
        <w:spacing w:line="580" w:lineRule="exact"/>
        <w:ind w:firstLine="640"/>
        <w:jc w:val="both"/>
      </w:pPr>
      <w:r>
        <w:rPr>
          <w:rFonts w:ascii="仿宋_GB2312" w:hAnsi="仿宋_GB2312" w:eastAsia="仿宋_GB2312"/>
          <w:b w:val="0"/>
          <w:sz w:val="32"/>
        </w:rPr>
        <w:t>授予中小企业合同金额37.29万元，占政府采购支出总额的99.44%，其中：授予小微企业合同金额37.29万元，占政府采购支出总额的99.44%。</w:t>
      </w:r>
    </w:p>
    <w:p w14:paraId="1E29D7A1">
      <w:pPr>
        <w:spacing w:line="640" w:lineRule="exact"/>
        <w:ind w:firstLine="640"/>
        <w:jc w:val="both"/>
        <w:outlineLvl w:val="3"/>
      </w:pPr>
      <w:r>
        <w:rPr>
          <w:rFonts w:ascii="楷体_GB2312" w:hAnsi="楷体_GB2312" w:eastAsia="楷体_GB2312"/>
          <w:b/>
          <w:sz w:val="32"/>
        </w:rPr>
        <w:t>（三）国有资产占用情况说明</w:t>
      </w:r>
    </w:p>
    <w:p w14:paraId="56A89D2A">
      <w:pPr>
        <w:spacing w:line="580" w:lineRule="exact"/>
        <w:ind w:firstLine="640"/>
        <w:jc w:val="both"/>
      </w:pPr>
      <w:r>
        <w:rPr>
          <w:rFonts w:ascii="仿宋_GB2312" w:hAnsi="仿宋_GB2312" w:eastAsia="仿宋_GB2312"/>
          <w:b w:val="0"/>
          <w:sz w:val="32"/>
        </w:rPr>
        <w:t>截至2024年12月31日，房屋0.00平方米，价值0.00万元。车辆1辆，价值4.29万元，其中：副部（省）级及以上领导用车0辆、主要负责人用车0辆、机要通信用车0辆、应急保障用车0辆、执法执勤用车1辆、特种专业技术用车0辆、离退休干部服务用车0辆、其他用车0辆，其他用车主要是：本单位无其他用车。单价100万元（含）以上设备（不含车辆）0台（套）。</w:t>
      </w:r>
    </w:p>
    <w:p w14:paraId="0B996B55">
      <w:pPr>
        <w:spacing w:line="640" w:lineRule="exact"/>
        <w:ind w:firstLine="640"/>
        <w:jc w:val="both"/>
        <w:outlineLvl w:val="2"/>
      </w:pPr>
      <w:r>
        <w:rPr>
          <w:rFonts w:ascii="黑体" w:hAnsi="黑体" w:eastAsia="黑体"/>
          <w:sz w:val="32"/>
        </w:rPr>
        <w:t>十一、预算绩效的情况说明</w:t>
      </w:r>
    </w:p>
    <w:p w14:paraId="58472B7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1,084.80万元，实际执行总额1,084.80万元；预算绩效评价项目2个，全年预算数1,021.11万元，全年执行数1,021.11万元。预算绩效管理取得的成效：一是及时与财政部门沟通学习，积极进行财政部门组织的决算、编报、审核等方面工作按时完成，认真如实填报；二是对预算绩效管理工作及单位按规定批复的各项工作按规定认真执行，该填制及时填制，该公开及时公开，该上报及时上报。发现的问题及原因：一是预算绩效管理工作时间紧、任务重、专业性强，</w:t>
      </w:r>
      <w:r>
        <w:rPr>
          <w:rFonts w:hint="eastAsia" w:ascii="仿宋_GB2312" w:hAnsi="仿宋_GB2312" w:eastAsia="仿宋_GB2312"/>
          <w:b w:val="0"/>
          <w:sz w:val="32"/>
          <w:lang w:eastAsia="zh-CN"/>
        </w:rPr>
        <w:t>本单位</w:t>
      </w:r>
      <w:r>
        <w:rPr>
          <w:rFonts w:ascii="仿宋_GB2312" w:hAnsi="仿宋_GB2312" w:eastAsia="仿宋_GB2312"/>
          <w:b w:val="0"/>
          <w:sz w:val="32"/>
        </w:rPr>
        <w:t>的预算绩效存在一些不足之处需要完善；二是预算绩效管理缺乏系统的培训，造成预算绩效管理指导不到位、认识不到位，理解不充分，对预算绩效管理工作重点把握不到位。下一步改进措施：一是不断完善预算绩效管理相关工作制度，建立全过程预算绩效管理链条，有效贯彻落实全面实施绩效管理的精神，合理安排部署工作，责任分工，定人定责，确保各项工作落到实处；二是加强预算执行管理。做好事前审批、事中管理和事后监督工作，不断加快预算执行进度，推动预算执行按照资金计划有序进行。对全体干部加强对理论知识、专业知识、服务意识方面及法律法规的学习，在工作中认真总结经验，开动脑筋，创新思路，把理论和实践统一起来，量化征收工作，积极化解矛盾，确保做到群众满意，实现和谐征收；三是提高资金使用效益。在遵守法律法规的前提下，统筹兼顾、量力而行、讲求绩效，圆满完成党中央、自治区和地区决策部署提出的各项要求。具体附整体支出绩效自评表，项目支出绩效自评表和评价报告。</w:t>
      </w:r>
    </w:p>
    <w:p w14:paraId="0621E12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5F7C69B">
        <w:tblPrEx>
          <w:tblCellMar>
            <w:top w:w="0" w:type="dxa"/>
            <w:left w:w="108" w:type="dxa"/>
            <w:bottom w:w="0" w:type="dxa"/>
            <w:right w:w="108" w:type="dxa"/>
          </w:tblCellMar>
        </w:tblPrEx>
        <w:tc>
          <w:tcPr>
            <w:tcW w:w="8840" w:type="dxa"/>
            <w:gridSpan w:val="8"/>
            <w:vAlign w:val="center"/>
          </w:tcPr>
          <w:p w14:paraId="41F9A771">
            <w:pPr>
              <w:jc w:val="center"/>
            </w:pPr>
            <w:r>
              <w:rPr>
                <w:rFonts w:ascii="宋体" w:hAnsi="宋体" w:eastAsia="宋体"/>
                <w:sz w:val="24"/>
              </w:rPr>
              <w:t>单位整体支出绩效自评表</w:t>
            </w:r>
          </w:p>
        </w:tc>
      </w:tr>
      <w:tr w14:paraId="447FB814">
        <w:tblPrEx>
          <w:tblCellMar>
            <w:top w:w="0" w:type="dxa"/>
            <w:left w:w="108" w:type="dxa"/>
            <w:bottom w:w="0" w:type="dxa"/>
            <w:right w:w="108" w:type="dxa"/>
          </w:tblCellMar>
        </w:tblPrEx>
        <w:tc>
          <w:tcPr>
            <w:tcW w:w="8840" w:type="dxa"/>
            <w:gridSpan w:val="8"/>
            <w:vAlign w:val="center"/>
          </w:tcPr>
          <w:p w14:paraId="0983FF06">
            <w:pPr>
              <w:jc w:val="center"/>
            </w:pPr>
            <w:r>
              <w:rPr>
                <w:rFonts w:ascii="宋体" w:hAnsi="宋体" w:eastAsia="宋体"/>
                <w:sz w:val="24"/>
              </w:rPr>
              <w:t>（2024年度）</w:t>
            </w:r>
          </w:p>
        </w:tc>
      </w:tr>
      <w:tr w14:paraId="0C538C2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D80B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A47568">
            <w:pPr>
              <w:jc w:val="center"/>
            </w:pPr>
            <w:r>
              <w:rPr>
                <w:rFonts w:ascii="宋体" w:hAnsi="宋体" w:eastAsia="宋体"/>
                <w:sz w:val="16"/>
              </w:rPr>
              <w:t>托里县国有土地上房屋征收与补偿服务中心</w:t>
            </w:r>
          </w:p>
        </w:tc>
      </w:tr>
      <w:tr w14:paraId="75A8756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E9CB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2AC1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DB26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37D91">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51BB2">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BB89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7B65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BE231">
            <w:pPr>
              <w:jc w:val="center"/>
            </w:pPr>
            <w:r>
              <w:rPr>
                <w:rFonts w:ascii="宋体" w:hAnsi="宋体" w:eastAsia="宋体"/>
                <w:sz w:val="16"/>
              </w:rPr>
              <w:t>得分</w:t>
            </w:r>
          </w:p>
        </w:tc>
      </w:tr>
      <w:tr w14:paraId="5B0EEE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35CE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DAC9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6F8D4">
            <w:pPr>
              <w:jc w:val="center"/>
            </w:pPr>
            <w:r>
              <w:rPr>
                <w:rFonts w:ascii="宋体" w:hAnsi="宋体" w:eastAsia="宋体"/>
                <w:sz w:val="16"/>
              </w:rPr>
              <w:t>63.35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1FD29">
            <w:pPr>
              <w:jc w:val="center"/>
            </w:pPr>
            <w:r>
              <w:rPr>
                <w:rFonts w:ascii="宋体" w:hAnsi="宋体" w:eastAsia="宋体"/>
                <w:sz w:val="16"/>
              </w:rPr>
              <w:t>1,084.80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369B8">
            <w:pPr>
              <w:jc w:val="center"/>
            </w:pPr>
            <w:r>
              <w:rPr>
                <w:rFonts w:ascii="宋体" w:hAnsi="宋体" w:eastAsia="宋体"/>
                <w:sz w:val="16"/>
              </w:rPr>
              <w:t>1,084.80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45E2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89653">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76B9A">
            <w:pPr>
              <w:jc w:val="center"/>
            </w:pPr>
            <w:r>
              <w:rPr>
                <w:rFonts w:ascii="宋体" w:hAnsi="宋体" w:eastAsia="宋体"/>
                <w:sz w:val="16"/>
              </w:rPr>
              <w:t>10</w:t>
            </w:r>
          </w:p>
        </w:tc>
      </w:tr>
      <w:tr w14:paraId="423963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606E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65525">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CDD7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CD0B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0E3C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E3100">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6CB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1526B">
            <w:pPr>
              <w:jc w:val="center"/>
            </w:pPr>
            <w:r>
              <w:rPr>
                <w:rFonts w:ascii="宋体" w:hAnsi="宋体" w:eastAsia="宋体"/>
                <w:sz w:val="16"/>
              </w:rPr>
              <w:t>-</w:t>
            </w:r>
          </w:p>
        </w:tc>
      </w:tr>
      <w:tr w14:paraId="221F2C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EEFC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30F82">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6BE42">
            <w:pPr>
              <w:jc w:val="center"/>
            </w:pPr>
            <w:r>
              <w:rPr>
                <w:rFonts w:ascii="宋体" w:hAnsi="宋体" w:eastAsia="宋体"/>
                <w:sz w:val="16"/>
              </w:rPr>
              <w:t>63.35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57729">
            <w:pPr>
              <w:jc w:val="center"/>
            </w:pPr>
            <w:r>
              <w:rPr>
                <w:rFonts w:ascii="宋体" w:hAnsi="宋体" w:eastAsia="宋体"/>
                <w:sz w:val="16"/>
              </w:rPr>
              <w:t>1,084.80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384B6">
            <w:pPr>
              <w:jc w:val="center"/>
            </w:pPr>
            <w:r>
              <w:rPr>
                <w:rFonts w:ascii="宋体" w:hAnsi="宋体" w:eastAsia="宋体"/>
                <w:sz w:val="16"/>
              </w:rPr>
              <w:t>1,084.80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CA2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6FA9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5CD1C">
            <w:pPr>
              <w:jc w:val="center"/>
            </w:pPr>
          </w:p>
        </w:tc>
      </w:tr>
      <w:tr w14:paraId="3AA3DC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5F82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55B87">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27C8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70C0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9537E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5926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8FB2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BC990">
            <w:pPr>
              <w:jc w:val="center"/>
            </w:pPr>
            <w:r>
              <w:rPr>
                <w:rFonts w:ascii="宋体" w:hAnsi="宋体" w:eastAsia="宋体"/>
                <w:sz w:val="16"/>
              </w:rPr>
              <w:t>-</w:t>
            </w:r>
          </w:p>
        </w:tc>
      </w:tr>
      <w:tr w14:paraId="2833DB1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1539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8A5A4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DA78BB">
            <w:pPr>
              <w:jc w:val="center"/>
            </w:pPr>
            <w:r>
              <w:rPr>
                <w:rFonts w:ascii="宋体" w:hAnsi="宋体" w:eastAsia="宋体"/>
                <w:sz w:val="16"/>
              </w:rPr>
              <w:t>实际完成情况</w:t>
            </w:r>
          </w:p>
        </w:tc>
      </w:tr>
      <w:tr w14:paraId="095DBE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7A5C7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AEC9F6">
            <w:pPr>
              <w:jc w:val="both"/>
            </w:pPr>
            <w:r>
              <w:rPr>
                <w:rFonts w:ascii="宋体" w:hAnsi="宋体" w:eastAsia="宋体"/>
                <w:sz w:val="16"/>
              </w:rPr>
              <w:t>依据国家、自治区房屋征收与补偿法律法规，组织实施托里县国有土地上房屋征收与补偿安置工作，对征收范围内的房屋、土地等进行征收评估与补偿安置，并做好相关政策宣传、统计调查、纠纷调解等工作，完善好征迁启动前的程序手续，确保房屋征收程序无漏洞，加强征收安置工作指导，多方位多途径加大对征迁与安置政策的宣传，加大入户率达到150户以上，开展评估工作达到100户，开展复估工作达到80户，房屋征收</w:t>
            </w:r>
            <w:r>
              <w:rPr>
                <w:rFonts w:hint="eastAsia" w:ascii="宋体" w:hAnsi="宋体"/>
                <w:sz w:val="16"/>
                <w:lang w:eastAsia="zh-CN"/>
              </w:rPr>
              <w:t>合规率</w:t>
            </w:r>
            <w:r>
              <w:rPr>
                <w:rFonts w:ascii="宋体" w:hAnsi="宋体" w:eastAsia="宋体"/>
                <w:sz w:val="16"/>
              </w:rPr>
              <w:t>达到100%，分配安置房屋和签订协议达到60户，进一步提升工作能力。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D01705">
            <w:pPr>
              <w:jc w:val="both"/>
            </w:pPr>
            <w:r>
              <w:rPr>
                <w:rFonts w:ascii="宋体" w:hAnsi="宋体" w:eastAsia="宋体"/>
                <w:sz w:val="16"/>
              </w:rPr>
              <w:t>2024年度托里县</w:t>
            </w:r>
            <w:r>
              <w:rPr>
                <w:rFonts w:hint="eastAsia" w:ascii="宋体" w:hAnsi="宋体"/>
                <w:sz w:val="16"/>
                <w:lang w:eastAsia="zh-CN"/>
              </w:rPr>
              <w:t>国有</w:t>
            </w:r>
            <w:r>
              <w:rPr>
                <w:rFonts w:ascii="宋体" w:hAnsi="宋体" w:eastAsia="宋体"/>
                <w:sz w:val="16"/>
              </w:rPr>
              <w:t>土地上房屋征收与补偿服务中心全年履职尽责，严格贯彻落实《国有土地上房屋征收条例》，大力开展房屋征收补偿活动，不断加强群众宣传力度，提高群众征收补偿支持度。本年开展入户宣传户数150户、评估工作户数100户、开展复估工作户数80户、分配安置房72户、签订征收协议户数72户，通过开展房屋征收补偿</w:t>
            </w:r>
            <w:r>
              <w:rPr>
                <w:rFonts w:hint="eastAsia" w:ascii="宋体" w:hAnsi="宋体"/>
                <w:sz w:val="16"/>
                <w:lang w:eastAsia="zh-CN"/>
              </w:rPr>
              <w:t>工作</w:t>
            </w:r>
            <w:r>
              <w:rPr>
                <w:rFonts w:ascii="宋体" w:hAnsi="宋体" w:eastAsia="宋体"/>
                <w:sz w:val="16"/>
              </w:rPr>
              <w:t>，解决了拆迁户拆迁工作政策不了解的难题，显著提高了扩大征迁户知晓率，提高征迁户对征补工作的支持力度，顺利完成征补补偿工作全部流程。</w:t>
            </w:r>
          </w:p>
        </w:tc>
      </w:tr>
      <w:tr w14:paraId="1D6CE61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8735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E9D5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13A7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5130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3071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3E24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44B5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E32C0">
            <w:pPr>
              <w:jc w:val="center"/>
            </w:pPr>
            <w:r>
              <w:rPr>
                <w:rFonts w:ascii="宋体" w:hAnsi="宋体" w:eastAsia="宋体"/>
                <w:sz w:val="16"/>
              </w:rPr>
              <w:t>得分</w:t>
            </w:r>
          </w:p>
        </w:tc>
      </w:tr>
      <w:tr w14:paraId="68261FC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5190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9EBF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0B743">
            <w:pPr>
              <w:jc w:val="center"/>
            </w:pPr>
            <w:r>
              <w:rPr>
                <w:rFonts w:ascii="宋体" w:hAnsi="宋体" w:eastAsia="宋体"/>
                <w:sz w:val="16"/>
              </w:rPr>
              <w:t>加大入户率、广泛宣传政策</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471D5">
            <w:pPr>
              <w:jc w:val="center"/>
            </w:pPr>
            <w:r>
              <w:rPr>
                <w:rFonts w:ascii="宋体" w:hAnsi="宋体" w:eastAsia="宋体"/>
                <w:sz w:val="16"/>
              </w:rPr>
              <w:t>&gt;=150户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32CB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30AD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669F8">
            <w:pPr>
              <w:jc w:val="center"/>
            </w:pPr>
            <w:r>
              <w:rPr>
                <w:rFonts w:ascii="宋体" w:hAnsi="宋体" w:eastAsia="宋体"/>
                <w:sz w:val="16"/>
              </w:rPr>
              <w:t>150户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2A886">
            <w:pPr>
              <w:jc w:val="center"/>
            </w:pPr>
            <w:r>
              <w:rPr>
                <w:rFonts w:ascii="宋体" w:hAnsi="宋体" w:eastAsia="宋体"/>
                <w:sz w:val="16"/>
              </w:rPr>
              <w:t>15</w:t>
            </w:r>
          </w:p>
        </w:tc>
      </w:tr>
      <w:tr w14:paraId="0100EF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ECE6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FC49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D12EB">
            <w:pPr>
              <w:jc w:val="center"/>
            </w:pPr>
            <w:r>
              <w:rPr>
                <w:rFonts w:ascii="宋体" w:hAnsi="宋体" w:eastAsia="宋体"/>
                <w:sz w:val="16"/>
              </w:rPr>
              <w:t>开展评估工作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3BBA1">
            <w:pPr>
              <w:jc w:val="center"/>
            </w:pPr>
            <w:r>
              <w:rPr>
                <w:rFonts w:ascii="宋体" w:hAnsi="宋体" w:eastAsia="宋体"/>
                <w:sz w:val="16"/>
              </w:rPr>
              <w:t>&gt;=100户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F181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66CA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941F6">
            <w:pPr>
              <w:jc w:val="center"/>
            </w:pPr>
            <w:r>
              <w:rPr>
                <w:rFonts w:ascii="宋体" w:hAnsi="宋体" w:eastAsia="宋体"/>
                <w:sz w:val="16"/>
              </w:rPr>
              <w:t>100户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69F44">
            <w:pPr>
              <w:jc w:val="center"/>
            </w:pPr>
            <w:r>
              <w:rPr>
                <w:rFonts w:ascii="宋体" w:hAnsi="宋体" w:eastAsia="宋体"/>
                <w:sz w:val="16"/>
              </w:rPr>
              <w:t>15</w:t>
            </w:r>
          </w:p>
        </w:tc>
      </w:tr>
      <w:tr w14:paraId="3C86E4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B37E3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42A22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EE6EE">
            <w:pPr>
              <w:jc w:val="center"/>
            </w:pPr>
            <w:r>
              <w:rPr>
                <w:rFonts w:ascii="宋体" w:hAnsi="宋体" w:eastAsia="宋体"/>
                <w:sz w:val="16"/>
              </w:rPr>
              <w:t>开展复估工作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D3BA0">
            <w:pPr>
              <w:jc w:val="center"/>
            </w:pPr>
            <w:r>
              <w:rPr>
                <w:rFonts w:ascii="宋体" w:hAnsi="宋体" w:eastAsia="宋体"/>
                <w:sz w:val="16"/>
              </w:rPr>
              <w:t>&gt;=80户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3A32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FCE5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6894C">
            <w:pPr>
              <w:jc w:val="center"/>
            </w:pPr>
            <w:r>
              <w:rPr>
                <w:rFonts w:ascii="宋体" w:hAnsi="宋体" w:eastAsia="宋体"/>
                <w:sz w:val="16"/>
              </w:rPr>
              <w:t>80户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50633">
            <w:pPr>
              <w:jc w:val="center"/>
            </w:pPr>
            <w:r>
              <w:rPr>
                <w:rFonts w:ascii="宋体" w:hAnsi="宋体" w:eastAsia="宋体"/>
                <w:sz w:val="16"/>
              </w:rPr>
              <w:t>15</w:t>
            </w:r>
          </w:p>
        </w:tc>
      </w:tr>
      <w:tr w14:paraId="5D0DDE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A8C0E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A8D5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3FDF3">
            <w:pPr>
              <w:jc w:val="center"/>
            </w:pPr>
            <w:r>
              <w:rPr>
                <w:rFonts w:ascii="宋体" w:hAnsi="宋体" w:eastAsia="宋体"/>
                <w:sz w:val="16"/>
              </w:rPr>
              <w:t>分配安置房屋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38422">
            <w:pPr>
              <w:jc w:val="center"/>
            </w:pPr>
            <w:r>
              <w:rPr>
                <w:rFonts w:ascii="宋体" w:hAnsi="宋体" w:eastAsia="宋体"/>
                <w:sz w:val="16"/>
              </w:rPr>
              <w:t>&gt;=60户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D5A0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0017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58B564">
            <w:pPr>
              <w:jc w:val="center"/>
            </w:pPr>
            <w:r>
              <w:rPr>
                <w:rFonts w:ascii="宋体" w:hAnsi="宋体" w:eastAsia="宋体"/>
                <w:sz w:val="16"/>
              </w:rPr>
              <w:t>72户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4007D">
            <w:pPr>
              <w:jc w:val="center"/>
            </w:pPr>
            <w:r>
              <w:rPr>
                <w:rFonts w:ascii="宋体" w:hAnsi="宋体" w:eastAsia="宋体"/>
                <w:sz w:val="16"/>
              </w:rPr>
              <w:t>15</w:t>
            </w:r>
          </w:p>
        </w:tc>
      </w:tr>
      <w:tr w14:paraId="6A84FD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D4AE5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0FF7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F2A6E">
            <w:pPr>
              <w:jc w:val="center"/>
            </w:pPr>
            <w:r>
              <w:rPr>
                <w:rFonts w:ascii="宋体" w:hAnsi="宋体" w:eastAsia="宋体"/>
                <w:sz w:val="16"/>
              </w:rPr>
              <w:t>签订房屋征收协议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BF1CE">
            <w:pPr>
              <w:jc w:val="center"/>
            </w:pPr>
            <w:r>
              <w:rPr>
                <w:rFonts w:ascii="宋体" w:hAnsi="宋体" w:eastAsia="宋体"/>
                <w:sz w:val="16"/>
              </w:rPr>
              <w:t>&gt;=60户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E8E7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EC6C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4D8C9">
            <w:pPr>
              <w:jc w:val="center"/>
            </w:pPr>
            <w:r>
              <w:rPr>
                <w:rFonts w:ascii="宋体" w:hAnsi="宋体" w:eastAsia="宋体"/>
                <w:sz w:val="16"/>
              </w:rPr>
              <w:t>72户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611FF">
            <w:pPr>
              <w:jc w:val="center"/>
            </w:pPr>
            <w:r>
              <w:rPr>
                <w:rFonts w:ascii="宋体" w:hAnsi="宋体" w:eastAsia="宋体"/>
                <w:sz w:val="16"/>
              </w:rPr>
              <w:t>15</w:t>
            </w:r>
          </w:p>
        </w:tc>
      </w:tr>
      <w:tr w14:paraId="434488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7732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29E2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950A5">
            <w:pPr>
              <w:jc w:val="center"/>
            </w:pPr>
            <w:r>
              <w:rPr>
                <w:rFonts w:ascii="宋体" w:hAnsi="宋体" w:eastAsia="宋体"/>
                <w:sz w:val="16"/>
              </w:rPr>
              <w:t>房屋征收合规律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C4BA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D0EF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118D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3D44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08531">
            <w:pPr>
              <w:jc w:val="center"/>
            </w:pPr>
            <w:r>
              <w:rPr>
                <w:rFonts w:ascii="宋体" w:hAnsi="宋体" w:eastAsia="宋体"/>
                <w:sz w:val="16"/>
              </w:rPr>
              <w:t>15</w:t>
            </w:r>
          </w:p>
        </w:tc>
      </w:tr>
    </w:tbl>
    <w:p w14:paraId="1F21CFC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372BA3DB">
        <w:tblPrEx>
          <w:tblCellMar>
            <w:top w:w="0" w:type="dxa"/>
            <w:left w:w="108" w:type="dxa"/>
            <w:bottom w:w="0" w:type="dxa"/>
            <w:right w:w="108" w:type="dxa"/>
          </w:tblCellMar>
        </w:tblPrEx>
        <w:tc>
          <w:tcPr>
            <w:tcW w:w="8848" w:type="dxa"/>
            <w:gridSpan w:val="14"/>
            <w:vAlign w:val="center"/>
          </w:tcPr>
          <w:p w14:paraId="26C21301">
            <w:pPr>
              <w:jc w:val="center"/>
            </w:pPr>
            <w:r>
              <w:rPr>
                <w:rFonts w:ascii="宋体" w:hAnsi="宋体" w:eastAsia="宋体"/>
                <w:sz w:val="24"/>
              </w:rPr>
              <w:t>项目支出绩效自评表</w:t>
            </w:r>
          </w:p>
        </w:tc>
      </w:tr>
      <w:tr w14:paraId="034A9941">
        <w:tblPrEx>
          <w:tblCellMar>
            <w:top w:w="0" w:type="dxa"/>
            <w:left w:w="108" w:type="dxa"/>
            <w:bottom w:w="0" w:type="dxa"/>
            <w:right w:w="108" w:type="dxa"/>
          </w:tblCellMar>
        </w:tblPrEx>
        <w:tc>
          <w:tcPr>
            <w:tcW w:w="8848" w:type="dxa"/>
            <w:gridSpan w:val="14"/>
            <w:vAlign w:val="center"/>
          </w:tcPr>
          <w:p w14:paraId="1C3F78FC">
            <w:pPr>
              <w:jc w:val="center"/>
            </w:pPr>
            <w:r>
              <w:rPr>
                <w:rFonts w:ascii="宋体" w:hAnsi="宋体" w:eastAsia="宋体"/>
                <w:sz w:val="24"/>
              </w:rPr>
              <w:t>(2024年度)</w:t>
            </w:r>
          </w:p>
        </w:tc>
      </w:tr>
      <w:tr w14:paraId="4148C2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DE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A9024A">
            <w:pPr>
              <w:jc w:val="center"/>
            </w:pPr>
            <w:r>
              <w:rPr>
                <w:rFonts w:ascii="宋体" w:hAnsi="宋体" w:eastAsia="宋体"/>
                <w:sz w:val="16"/>
              </w:rPr>
              <w:t>2024年其他项目类-托里县征补补偿房屋评估费项目</w:t>
            </w:r>
          </w:p>
        </w:tc>
      </w:tr>
      <w:tr w14:paraId="17B0C9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3DA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22D6B">
            <w:pPr>
              <w:jc w:val="center"/>
            </w:pPr>
            <w:r>
              <w:rPr>
                <w:rFonts w:ascii="宋体" w:hAnsi="宋体" w:eastAsia="宋体"/>
                <w:sz w:val="16"/>
              </w:rPr>
              <w:t>托里县国有土地上房屋征收与补偿服务中心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EC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A8B599">
            <w:pPr>
              <w:jc w:val="center"/>
            </w:pPr>
            <w:r>
              <w:rPr>
                <w:rFonts w:ascii="宋体" w:hAnsi="宋体" w:eastAsia="宋体"/>
                <w:sz w:val="16"/>
              </w:rPr>
              <w:t>托里县国有土地上房屋征收与补偿服务中心</w:t>
            </w:r>
          </w:p>
        </w:tc>
      </w:tr>
      <w:tr w14:paraId="6AC179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11F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7EE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FEB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63D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F40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9DD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FC4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D5B6F">
            <w:pPr>
              <w:jc w:val="center"/>
            </w:pPr>
            <w:r>
              <w:rPr>
                <w:rFonts w:ascii="宋体" w:hAnsi="宋体" w:eastAsia="宋体"/>
                <w:sz w:val="16"/>
              </w:rPr>
              <w:t>得分</w:t>
            </w:r>
          </w:p>
        </w:tc>
      </w:tr>
      <w:tr w14:paraId="54BC6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143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433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95E48">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6A147">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4D23E">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8CD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2CD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0648">
            <w:pPr>
              <w:jc w:val="center"/>
            </w:pPr>
            <w:r>
              <w:rPr>
                <w:rFonts w:ascii="宋体" w:hAnsi="宋体" w:eastAsia="宋体"/>
                <w:sz w:val="16"/>
              </w:rPr>
              <w:t>10.00</w:t>
            </w:r>
          </w:p>
        </w:tc>
      </w:tr>
      <w:tr w14:paraId="074A6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BCA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FA90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7B34E">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42904">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1192A">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26C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54C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BE22">
            <w:pPr>
              <w:jc w:val="center"/>
            </w:pPr>
            <w:r>
              <w:rPr>
                <w:rFonts w:ascii="宋体" w:hAnsi="宋体" w:eastAsia="宋体"/>
                <w:sz w:val="16"/>
              </w:rPr>
              <w:t>—</w:t>
            </w:r>
          </w:p>
        </w:tc>
      </w:tr>
      <w:tr w14:paraId="6B0954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471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94F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049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888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D1E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057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4C9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0764">
            <w:pPr>
              <w:jc w:val="center"/>
            </w:pPr>
            <w:r>
              <w:rPr>
                <w:rFonts w:ascii="宋体" w:hAnsi="宋体" w:eastAsia="宋体"/>
                <w:sz w:val="16"/>
              </w:rPr>
              <w:t>—</w:t>
            </w:r>
          </w:p>
        </w:tc>
      </w:tr>
      <w:tr w14:paraId="40BCEE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AC90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A42F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E722D6">
            <w:pPr>
              <w:jc w:val="center"/>
            </w:pPr>
            <w:r>
              <w:rPr>
                <w:rFonts w:ascii="宋体" w:hAnsi="宋体" w:eastAsia="宋体"/>
                <w:sz w:val="16"/>
              </w:rPr>
              <w:t>实际完成情况</w:t>
            </w:r>
          </w:p>
        </w:tc>
      </w:tr>
      <w:tr w14:paraId="390BD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258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B3122D">
            <w:pPr>
              <w:jc w:val="both"/>
            </w:pPr>
            <w:r>
              <w:rPr>
                <w:rFonts w:ascii="宋体" w:hAnsi="宋体" w:eastAsia="宋体"/>
                <w:sz w:val="16"/>
              </w:rPr>
              <w:t>2024年其他项目类-托里县征补补偿房屋评估费项目，由于多年欠两家评估公司评估费用，评估公司积极性降低，评估工作</w:t>
            </w:r>
            <w:r>
              <w:rPr>
                <w:rFonts w:hint="eastAsia" w:ascii="宋体" w:hAnsi="宋体"/>
                <w:sz w:val="16"/>
                <w:lang w:eastAsia="zh-CN"/>
              </w:rPr>
              <w:t>受到</w:t>
            </w:r>
            <w:r>
              <w:rPr>
                <w:rFonts w:ascii="宋体" w:hAnsi="宋体" w:eastAsia="宋体"/>
                <w:sz w:val="16"/>
              </w:rPr>
              <w:t>影响，征收补偿工作无法正常开展，目前征补任务较重，重点征收片区和零星征补区域征收补偿工作逐步开展，为提高评估公司积极性，提高评估工作效率</w:t>
            </w:r>
            <w:r>
              <w:rPr>
                <w:rFonts w:hint="eastAsia" w:ascii="宋体" w:hAnsi="宋体"/>
                <w:sz w:val="16"/>
                <w:lang w:eastAsia="zh-CN"/>
              </w:rPr>
              <w:t>，为</w:t>
            </w:r>
            <w:r>
              <w:rPr>
                <w:rFonts w:ascii="宋体" w:hAnsi="宋体" w:eastAsia="宋体"/>
                <w:sz w:val="16"/>
              </w:rPr>
              <w:t>房屋征收补偿工作提供有效保障，现需解决部分评估费用。群众满意度96%。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121405">
            <w:pPr>
              <w:jc w:val="both"/>
            </w:pPr>
            <w:r>
              <w:rPr>
                <w:rFonts w:ascii="宋体" w:hAnsi="宋体" w:eastAsia="宋体"/>
                <w:sz w:val="16"/>
              </w:rPr>
              <w:t>2024年其他项目类-托里县征补补偿房屋评估费项目</w:t>
            </w:r>
            <w:r>
              <w:rPr>
                <w:rFonts w:hint="eastAsia" w:ascii="宋体" w:hAnsi="宋体"/>
                <w:sz w:val="16"/>
                <w:lang w:eastAsia="zh-CN"/>
              </w:rPr>
              <w:t>截至2024</w:t>
            </w:r>
            <w:r>
              <w:rPr>
                <w:rFonts w:ascii="宋体" w:hAnsi="宋体" w:eastAsia="宋体"/>
                <w:sz w:val="16"/>
              </w:rPr>
              <w:t>年8月31日，项目资金执行36万元，资金执行率100%，项目完成评估户数180户，聘请评估公司2家，评估标准准确率100%，通过项目实施提高重点征收片区和零星征补区域征收补偿工作执行率，提高评估公司积极性，提高评估工作效率</w:t>
            </w:r>
            <w:r>
              <w:rPr>
                <w:rFonts w:hint="eastAsia" w:ascii="宋体" w:hAnsi="宋体"/>
                <w:sz w:val="16"/>
                <w:lang w:eastAsia="zh-CN"/>
              </w:rPr>
              <w:t>，为</w:t>
            </w:r>
            <w:r>
              <w:rPr>
                <w:rFonts w:ascii="宋体" w:hAnsi="宋体" w:eastAsia="宋体"/>
                <w:sz w:val="16"/>
              </w:rPr>
              <w:t>房屋征收补偿工作提供有效保障。群众满意达到96%。</w:t>
            </w:r>
          </w:p>
        </w:tc>
      </w:tr>
      <w:tr w14:paraId="09FF06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CF7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9E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CF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1A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A4C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56C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C3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CAF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257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18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AFA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693D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9DC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F987">
            <w:pPr>
              <w:jc w:val="center"/>
            </w:pPr>
            <w:r>
              <w:rPr>
                <w:rFonts w:ascii="宋体" w:hAnsi="宋体" w:eastAsia="宋体"/>
                <w:sz w:val="16"/>
              </w:rPr>
              <w:t>偏差原因分析及改进措施</w:t>
            </w:r>
          </w:p>
        </w:tc>
      </w:tr>
      <w:tr w14:paraId="5D8799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CB7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3857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525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9A31">
            <w:pPr>
              <w:jc w:val="center"/>
            </w:pPr>
            <w:r>
              <w:rPr>
                <w:rFonts w:ascii="宋体" w:hAnsi="宋体" w:eastAsia="宋体"/>
                <w:sz w:val="16"/>
              </w:rPr>
              <w:t>本次需要评估户数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E3D1">
            <w:pPr>
              <w:jc w:val="center"/>
            </w:pPr>
            <w:r>
              <w:rPr>
                <w:rFonts w:ascii="宋体" w:hAnsi="宋体" w:eastAsia="宋体"/>
                <w:sz w:val="16"/>
              </w:rPr>
              <w:t>&gt;=180户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5C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AFF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17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9F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77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A237">
            <w:pPr>
              <w:jc w:val="center"/>
            </w:pPr>
            <w:r>
              <w:rPr>
                <w:rFonts w:ascii="宋体" w:hAnsi="宋体" w:eastAsia="宋体"/>
                <w:sz w:val="16"/>
              </w:rPr>
              <w:t>=180户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0D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B0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FC9C">
            <w:pPr>
              <w:jc w:val="center"/>
            </w:pPr>
            <w:r>
              <w:rPr>
                <w:rFonts w:ascii="宋体" w:hAnsi="宋体" w:eastAsia="宋体"/>
                <w:sz w:val="16"/>
              </w:rPr>
              <w:t>该项目已完成</w:t>
            </w:r>
          </w:p>
        </w:tc>
      </w:tr>
      <w:tr w14:paraId="2BE03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5C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42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E9C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D56F">
            <w:pPr>
              <w:jc w:val="center"/>
            </w:pPr>
            <w:r>
              <w:rPr>
                <w:rFonts w:ascii="宋体" w:hAnsi="宋体" w:eastAsia="宋体"/>
                <w:sz w:val="16"/>
              </w:rPr>
              <w:t>聘请评估公司数量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0D04">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B3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B2A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43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5B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82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AE20">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D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B7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CF91">
            <w:pPr>
              <w:jc w:val="center"/>
            </w:pPr>
            <w:r>
              <w:rPr>
                <w:rFonts w:ascii="宋体" w:hAnsi="宋体" w:eastAsia="宋体"/>
                <w:sz w:val="16"/>
              </w:rPr>
              <w:t>该项目已完成</w:t>
            </w:r>
          </w:p>
        </w:tc>
      </w:tr>
      <w:tr w14:paraId="6EDC7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DE5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C7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F9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BEA2">
            <w:pPr>
              <w:jc w:val="center"/>
            </w:pPr>
            <w:r>
              <w:rPr>
                <w:rFonts w:ascii="宋体" w:hAnsi="宋体" w:eastAsia="宋体"/>
                <w:sz w:val="16"/>
              </w:rPr>
              <w:t>保证评估标准准确率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019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CA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E46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4E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1B8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D6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4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FB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2A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319E">
            <w:pPr>
              <w:jc w:val="center"/>
            </w:pPr>
            <w:r>
              <w:rPr>
                <w:rFonts w:ascii="宋体" w:hAnsi="宋体" w:eastAsia="宋体"/>
                <w:sz w:val="16"/>
              </w:rPr>
              <w:t>该项目已完成</w:t>
            </w:r>
          </w:p>
        </w:tc>
      </w:tr>
      <w:tr w14:paraId="43CFE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B84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B7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5C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E0C4">
            <w:pPr>
              <w:jc w:val="center"/>
            </w:pPr>
            <w:r>
              <w:rPr>
                <w:rFonts w:ascii="宋体" w:hAnsi="宋体" w:eastAsia="宋体"/>
                <w:sz w:val="16"/>
              </w:rPr>
              <w:t>评估完成时间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053C">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3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266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28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3F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D3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076B">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B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38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8A7E">
            <w:pPr>
              <w:jc w:val="center"/>
            </w:pPr>
            <w:r>
              <w:rPr>
                <w:rFonts w:ascii="宋体" w:hAnsi="宋体" w:eastAsia="宋体"/>
                <w:sz w:val="16"/>
              </w:rPr>
              <w:t>该项目已完成</w:t>
            </w:r>
          </w:p>
        </w:tc>
      </w:tr>
      <w:tr w14:paraId="3DEE5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25E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C2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2B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8F82">
            <w:pPr>
              <w:jc w:val="center"/>
            </w:pPr>
            <w:r>
              <w:rPr>
                <w:rFonts w:ascii="宋体" w:hAnsi="宋体" w:eastAsia="宋体"/>
                <w:sz w:val="16"/>
              </w:rPr>
              <w:t>评估费标准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6203">
            <w:pPr>
              <w:jc w:val="center"/>
            </w:pPr>
            <w:r>
              <w:rPr>
                <w:rFonts w:ascii="宋体" w:hAnsi="宋体" w:eastAsia="宋体"/>
                <w:sz w:val="16"/>
              </w:rPr>
              <w:t>=2000元/每户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93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C17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AF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72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B0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97AF">
            <w:pPr>
              <w:jc w:val="center"/>
            </w:pPr>
            <w:r>
              <w:rPr>
                <w:rFonts w:ascii="宋体" w:hAnsi="宋体" w:eastAsia="宋体"/>
                <w:sz w:val="16"/>
              </w:rPr>
              <w:t>=2000元/每户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6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E5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829C">
            <w:pPr>
              <w:jc w:val="center"/>
            </w:pPr>
            <w:r>
              <w:rPr>
                <w:rFonts w:ascii="宋体" w:hAnsi="宋体" w:eastAsia="宋体"/>
                <w:sz w:val="16"/>
              </w:rPr>
              <w:t>该项目已完成</w:t>
            </w:r>
          </w:p>
        </w:tc>
      </w:tr>
      <w:tr w14:paraId="490C9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D4B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CB6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0B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706D3">
            <w:pPr>
              <w:jc w:val="center"/>
            </w:pPr>
            <w:r>
              <w:rPr>
                <w:rFonts w:ascii="宋体" w:hAnsi="宋体" w:eastAsia="宋体"/>
                <w:sz w:val="16"/>
              </w:rPr>
              <w:t>保障评估工作顺利开展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B08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BC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6C2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8F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D6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A4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DAA7">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AF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CB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266B">
            <w:pPr>
              <w:jc w:val="center"/>
            </w:pPr>
            <w:r>
              <w:rPr>
                <w:rFonts w:ascii="宋体" w:hAnsi="宋体" w:eastAsia="宋体"/>
                <w:sz w:val="16"/>
              </w:rPr>
              <w:t>该项目已完成</w:t>
            </w:r>
          </w:p>
        </w:tc>
      </w:tr>
      <w:tr w14:paraId="05F45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39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27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8D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DC84">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096C">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6F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6CF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17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E7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5F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FE2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5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112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36ED">
            <w:pPr>
              <w:jc w:val="center"/>
            </w:pPr>
            <w:r>
              <w:rPr>
                <w:rFonts w:ascii="宋体" w:hAnsi="宋体" w:eastAsia="宋体"/>
                <w:sz w:val="16"/>
              </w:rPr>
              <w:t>该项目已完成</w:t>
            </w:r>
          </w:p>
        </w:tc>
      </w:tr>
      <w:tr w14:paraId="0DC0547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9C65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C73C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2129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1356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0C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2596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1338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F111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EE6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637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9AA55D"/>
        </w:tc>
      </w:tr>
    </w:tbl>
    <w:p w14:paraId="3657FF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6F42FF4">
        <w:tblPrEx>
          <w:tblCellMar>
            <w:top w:w="0" w:type="dxa"/>
            <w:left w:w="108" w:type="dxa"/>
            <w:bottom w:w="0" w:type="dxa"/>
            <w:right w:w="108" w:type="dxa"/>
          </w:tblCellMar>
        </w:tblPrEx>
        <w:tc>
          <w:tcPr>
            <w:tcW w:w="8848" w:type="dxa"/>
            <w:gridSpan w:val="14"/>
            <w:vAlign w:val="center"/>
          </w:tcPr>
          <w:p w14:paraId="5D80B64A">
            <w:pPr>
              <w:jc w:val="center"/>
            </w:pPr>
            <w:r>
              <w:rPr>
                <w:rFonts w:ascii="宋体" w:hAnsi="宋体" w:eastAsia="宋体"/>
                <w:sz w:val="24"/>
              </w:rPr>
              <w:t>项目支出绩效自评表</w:t>
            </w:r>
          </w:p>
        </w:tc>
      </w:tr>
      <w:tr w14:paraId="0EC9A581">
        <w:tblPrEx>
          <w:tblCellMar>
            <w:top w:w="0" w:type="dxa"/>
            <w:left w:w="108" w:type="dxa"/>
            <w:bottom w:w="0" w:type="dxa"/>
            <w:right w:w="108" w:type="dxa"/>
          </w:tblCellMar>
        </w:tblPrEx>
        <w:tc>
          <w:tcPr>
            <w:tcW w:w="8848" w:type="dxa"/>
            <w:gridSpan w:val="14"/>
            <w:vAlign w:val="center"/>
          </w:tcPr>
          <w:p w14:paraId="6751F360">
            <w:pPr>
              <w:jc w:val="center"/>
            </w:pPr>
            <w:r>
              <w:rPr>
                <w:rFonts w:ascii="宋体" w:hAnsi="宋体" w:eastAsia="宋体"/>
                <w:sz w:val="24"/>
              </w:rPr>
              <w:t>(2024年度)</w:t>
            </w:r>
          </w:p>
        </w:tc>
      </w:tr>
      <w:tr w14:paraId="363786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B2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C49239">
            <w:pPr>
              <w:jc w:val="center"/>
            </w:pPr>
            <w:r>
              <w:rPr>
                <w:rFonts w:ascii="宋体" w:hAnsi="宋体" w:eastAsia="宋体"/>
                <w:sz w:val="16"/>
              </w:rPr>
              <w:t>2024年其他项目类-托里县房屋征收补偿差价</w:t>
            </w:r>
            <w:r>
              <w:rPr>
                <w:rFonts w:hint="eastAsia" w:ascii="宋体" w:hAnsi="宋体"/>
                <w:sz w:val="16"/>
                <w:lang w:eastAsia="zh-CN"/>
              </w:rPr>
              <w:t>25%</w:t>
            </w:r>
            <w:r>
              <w:rPr>
                <w:rFonts w:ascii="宋体" w:hAnsi="宋体" w:eastAsia="宋体"/>
                <w:sz w:val="16"/>
              </w:rPr>
              <w:t>资金的项目</w:t>
            </w:r>
          </w:p>
        </w:tc>
      </w:tr>
      <w:tr w14:paraId="12BF1C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08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C3FB8">
            <w:pPr>
              <w:jc w:val="center"/>
            </w:pPr>
            <w:r>
              <w:rPr>
                <w:rFonts w:ascii="宋体" w:hAnsi="宋体" w:eastAsia="宋体"/>
                <w:sz w:val="16"/>
              </w:rPr>
              <w:t>托里县国有土地上房屋征收与补偿服务中心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BA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24EC3C">
            <w:pPr>
              <w:jc w:val="center"/>
            </w:pPr>
            <w:r>
              <w:rPr>
                <w:rFonts w:ascii="宋体" w:hAnsi="宋体" w:eastAsia="宋体"/>
                <w:sz w:val="16"/>
              </w:rPr>
              <w:t>托里县国有土地上房屋征收与补偿服务中心</w:t>
            </w:r>
          </w:p>
        </w:tc>
      </w:tr>
      <w:tr w14:paraId="46DCF2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6AC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4F9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29F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3BD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D0A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07C1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56E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5BB6">
            <w:pPr>
              <w:jc w:val="center"/>
            </w:pPr>
            <w:r>
              <w:rPr>
                <w:rFonts w:ascii="宋体" w:hAnsi="宋体" w:eastAsia="宋体"/>
                <w:sz w:val="16"/>
              </w:rPr>
              <w:t>得分</w:t>
            </w:r>
          </w:p>
        </w:tc>
      </w:tr>
      <w:tr w14:paraId="1C5C1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667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ED6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14580">
            <w:pPr>
              <w:jc w:val="center"/>
            </w:pPr>
            <w:r>
              <w:rPr>
                <w:rFonts w:ascii="宋体" w:hAnsi="宋体" w:eastAsia="宋体"/>
                <w:sz w:val="16"/>
              </w:rPr>
              <w:t>985.11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25CE0">
            <w:pPr>
              <w:jc w:val="center"/>
            </w:pPr>
            <w:r>
              <w:rPr>
                <w:rFonts w:ascii="宋体" w:hAnsi="宋体" w:eastAsia="宋体"/>
                <w:sz w:val="16"/>
              </w:rPr>
              <w:t>985.11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4FCA8">
            <w:pPr>
              <w:jc w:val="center"/>
            </w:pPr>
            <w:r>
              <w:rPr>
                <w:rFonts w:ascii="宋体" w:hAnsi="宋体" w:eastAsia="宋体"/>
                <w:sz w:val="16"/>
              </w:rPr>
              <w:t>985.11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97D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186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BE773">
            <w:pPr>
              <w:jc w:val="center"/>
            </w:pPr>
            <w:r>
              <w:rPr>
                <w:rFonts w:ascii="宋体" w:hAnsi="宋体" w:eastAsia="宋体"/>
                <w:sz w:val="16"/>
              </w:rPr>
              <w:t>10.00</w:t>
            </w:r>
          </w:p>
        </w:tc>
      </w:tr>
      <w:tr w14:paraId="17F582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C9B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F3F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357C7">
            <w:pPr>
              <w:jc w:val="center"/>
            </w:pPr>
            <w:r>
              <w:rPr>
                <w:rFonts w:ascii="宋体" w:hAnsi="宋体" w:eastAsia="宋体"/>
                <w:sz w:val="16"/>
              </w:rPr>
              <w:t>985.11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69680">
            <w:pPr>
              <w:jc w:val="center"/>
            </w:pPr>
            <w:r>
              <w:rPr>
                <w:rFonts w:ascii="宋体" w:hAnsi="宋体" w:eastAsia="宋体"/>
                <w:sz w:val="16"/>
              </w:rPr>
              <w:t>985.11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1B5F1">
            <w:pPr>
              <w:jc w:val="center"/>
            </w:pPr>
            <w:r>
              <w:rPr>
                <w:rFonts w:ascii="宋体" w:hAnsi="宋体" w:eastAsia="宋体"/>
                <w:sz w:val="16"/>
              </w:rPr>
              <w:t>985.11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AE3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070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AB61">
            <w:pPr>
              <w:jc w:val="center"/>
            </w:pPr>
            <w:r>
              <w:rPr>
                <w:rFonts w:ascii="宋体" w:hAnsi="宋体" w:eastAsia="宋体"/>
                <w:sz w:val="16"/>
              </w:rPr>
              <w:t>—</w:t>
            </w:r>
          </w:p>
        </w:tc>
      </w:tr>
      <w:tr w14:paraId="3C89C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9B0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47F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DF5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A44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CCF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32B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C3D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5764">
            <w:pPr>
              <w:jc w:val="center"/>
            </w:pPr>
            <w:r>
              <w:rPr>
                <w:rFonts w:ascii="宋体" w:hAnsi="宋体" w:eastAsia="宋体"/>
                <w:sz w:val="16"/>
              </w:rPr>
              <w:t>—</w:t>
            </w:r>
          </w:p>
        </w:tc>
      </w:tr>
      <w:tr w14:paraId="5BB15C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8475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D5C7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62F1BB">
            <w:pPr>
              <w:jc w:val="center"/>
            </w:pPr>
            <w:r>
              <w:rPr>
                <w:rFonts w:ascii="宋体" w:hAnsi="宋体" w:eastAsia="宋体"/>
                <w:sz w:val="16"/>
              </w:rPr>
              <w:t>实际完成情况</w:t>
            </w:r>
          </w:p>
        </w:tc>
      </w:tr>
      <w:tr w14:paraId="1F8F51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1A0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A485B2">
            <w:pPr>
              <w:jc w:val="both"/>
            </w:pPr>
            <w:r>
              <w:rPr>
                <w:rFonts w:ascii="宋体" w:hAnsi="宋体" w:eastAsia="宋体"/>
                <w:sz w:val="16"/>
              </w:rPr>
              <w:t>2024年其他项目类-托里县房屋征收补偿差价25%资金的项目，项目资金964万元，房屋征收工作由县级以上人民政府为征收主体，为进一步规范国有土地上房屋征收与补偿工作，维护公共利益，保障被征收人的合法权益，促进房屋征收工作依法、有序进行需房屋征收补偿差价25%资金。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D1FA16">
            <w:pPr>
              <w:jc w:val="both"/>
            </w:pPr>
            <w:r>
              <w:rPr>
                <w:rFonts w:ascii="宋体" w:hAnsi="宋体" w:eastAsia="宋体"/>
                <w:sz w:val="16"/>
              </w:rPr>
              <w:t>2024年其他项目类-托里县房屋征收补偿差价25%资金的项目资金执行985.112010万元，资金执行率100%，项目完成征收户71户，补偿资金合格率100%，补偿资金支付及时率100%，资金支付执行率100%，通过项目实施进一步规范国有土地上房屋征收与补偿工作，维护公共利益，保障被征收人的合法权益，促进房屋征收工作依法、有序开展。</w:t>
            </w:r>
          </w:p>
        </w:tc>
      </w:tr>
      <w:tr w14:paraId="6A1426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F7F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A8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AB6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51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B7F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32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D9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B1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821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82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54A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FA38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3563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29EA">
            <w:pPr>
              <w:jc w:val="center"/>
            </w:pPr>
            <w:r>
              <w:rPr>
                <w:rFonts w:ascii="宋体" w:hAnsi="宋体" w:eastAsia="宋体"/>
                <w:sz w:val="16"/>
              </w:rPr>
              <w:t>偏差原因分析及改进措施</w:t>
            </w:r>
          </w:p>
        </w:tc>
      </w:tr>
      <w:tr w14:paraId="45CBE9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DE2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C5A4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FA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BE85">
            <w:pPr>
              <w:jc w:val="center"/>
            </w:pPr>
            <w:r>
              <w:rPr>
                <w:rFonts w:ascii="宋体" w:hAnsi="宋体" w:eastAsia="宋体"/>
                <w:sz w:val="16"/>
              </w:rPr>
              <w:t>被征收户户数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B94F">
            <w:pPr>
              <w:jc w:val="center"/>
            </w:pPr>
            <w:r>
              <w:rPr>
                <w:rFonts w:ascii="宋体" w:hAnsi="宋体" w:eastAsia="宋体"/>
                <w:sz w:val="16"/>
              </w:rPr>
              <w:t>&gt;=72户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E6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3DD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853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F7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C260">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7E7A">
            <w:pPr>
              <w:jc w:val="center"/>
            </w:pPr>
            <w:r>
              <w:rPr>
                <w:rFonts w:ascii="宋体" w:hAnsi="宋体" w:eastAsia="宋体"/>
                <w:sz w:val="16"/>
              </w:rPr>
              <w:t>=71户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A7D16">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D857">
            <w:pPr>
              <w:jc w:val="center"/>
            </w:pPr>
            <w:r>
              <w:rPr>
                <w:rFonts w:ascii="宋体" w:hAnsi="宋体" w:eastAsia="宋体"/>
                <w:sz w:val="16"/>
              </w:rPr>
              <w:t>12.87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3F44">
            <w:pPr>
              <w:jc w:val="center"/>
            </w:pPr>
            <w:r>
              <w:rPr>
                <w:rFonts w:ascii="宋体" w:hAnsi="宋体" w:eastAsia="宋体"/>
                <w:sz w:val="16"/>
              </w:rPr>
              <w:t>开展房屋征收补偿工作中个别拆迁户25%补偿资金超出规定补偿范围，经单位研究决定超出部分不多，为顺利完成片区征收补偿工作正常进行支付，所以存在偏差1%。</w:t>
            </w:r>
          </w:p>
        </w:tc>
      </w:tr>
      <w:tr w14:paraId="67636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078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E6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AF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3C72">
            <w:pPr>
              <w:jc w:val="center"/>
            </w:pPr>
            <w:r>
              <w:rPr>
                <w:rFonts w:ascii="宋体" w:hAnsi="宋体" w:eastAsia="宋体"/>
                <w:sz w:val="16"/>
              </w:rPr>
              <w:t>补偿资金合规率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F4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EF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46D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8F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90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697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B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94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38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4E2C">
            <w:pPr>
              <w:jc w:val="center"/>
            </w:pPr>
          </w:p>
        </w:tc>
      </w:tr>
      <w:tr w14:paraId="4E31BB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392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D22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372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2D6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892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FA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92DC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3B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7F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43C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54F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D1B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84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4D1D">
            <w:pPr>
              <w:jc w:val="center"/>
            </w:pPr>
          </w:p>
        </w:tc>
      </w:tr>
      <w:tr w14:paraId="05561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D4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C67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0BE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ACF5">
            <w:pPr>
              <w:jc w:val="center"/>
            </w:pPr>
            <w:r>
              <w:rPr>
                <w:rFonts w:ascii="宋体" w:hAnsi="宋体" w:eastAsia="宋体"/>
                <w:sz w:val="16"/>
              </w:rPr>
              <w:t>补偿资金及时率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1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8D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F37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E1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E3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837E">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FC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9B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CCC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5202">
            <w:pPr>
              <w:jc w:val="center"/>
            </w:pPr>
          </w:p>
        </w:tc>
      </w:tr>
      <w:tr w14:paraId="5FDEF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67A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271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30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C453">
            <w:pPr>
              <w:jc w:val="center"/>
            </w:pPr>
            <w:r>
              <w:rPr>
                <w:rFonts w:ascii="宋体" w:hAnsi="宋体" w:eastAsia="宋体"/>
                <w:sz w:val="16"/>
              </w:rPr>
              <w:t>征收补偿差价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B3B18">
            <w:pPr>
              <w:jc w:val="center"/>
            </w:pPr>
            <w:r>
              <w:rPr>
                <w:rFonts w:ascii="宋体" w:hAnsi="宋体" w:eastAsia="宋体"/>
                <w:sz w:val="16"/>
              </w:rPr>
              <w:t>&lt;=25%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B2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9A6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38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F0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0CD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0B5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81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1F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AEDC">
            <w:pPr>
              <w:jc w:val="center"/>
            </w:pPr>
          </w:p>
        </w:tc>
      </w:tr>
      <w:tr w14:paraId="00F2E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EA5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F8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12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1929">
            <w:pPr>
              <w:jc w:val="center"/>
            </w:pPr>
            <w:r>
              <w:rPr>
                <w:rFonts w:ascii="宋体" w:hAnsi="宋体" w:eastAsia="宋体"/>
                <w:sz w:val="16"/>
              </w:rPr>
              <w:t>加大入户率、广泛宣传政策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82576">
            <w:pPr>
              <w:jc w:val="center"/>
            </w:pPr>
            <w:r>
              <w:rPr>
                <w:rFonts w:ascii="宋体" w:hAnsi="宋体" w:eastAsia="宋体"/>
                <w:sz w:val="16"/>
              </w:rPr>
              <w:t>&gt;=100户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DA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6FE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97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69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739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FD0F">
            <w:pPr>
              <w:jc w:val="center"/>
            </w:pPr>
            <w:r>
              <w:rPr>
                <w:rFonts w:ascii="宋体" w:hAnsi="宋体" w:eastAsia="宋体"/>
                <w:sz w:val="16"/>
              </w:rPr>
              <w:t>=100户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8D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CD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01A3">
            <w:pPr>
              <w:jc w:val="center"/>
            </w:pPr>
          </w:p>
        </w:tc>
      </w:tr>
      <w:tr w14:paraId="18174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C65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5E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99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756D">
            <w:pPr>
              <w:jc w:val="center"/>
            </w:pPr>
            <w:r>
              <w:rPr>
                <w:rFonts w:ascii="宋体" w:hAnsi="宋体" w:eastAsia="宋体"/>
                <w:sz w:val="16"/>
              </w:rPr>
              <w:t>被征收户满意度（%）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FC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3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273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E1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48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ECB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A69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98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3A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73EB">
            <w:pPr>
              <w:jc w:val="center"/>
            </w:pPr>
          </w:p>
        </w:tc>
      </w:tr>
      <w:tr w14:paraId="7A440A00">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0E519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E54C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328E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FC7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1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D9D9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61B3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E9A3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B95A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E650">
            <w:pPr>
              <w:jc w:val="center"/>
            </w:pPr>
            <w:r>
              <w:rPr>
                <w:rFonts w:ascii="宋体" w:hAnsi="宋体" w:eastAsia="宋体"/>
                <w:sz w:val="16"/>
              </w:rPr>
              <w:t>99.87分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4E4A53"/>
        </w:tc>
      </w:tr>
    </w:tbl>
    <w:p w14:paraId="4410C38F">
      <w:r>
        <w:br w:type="page"/>
      </w:r>
    </w:p>
    <w:p w14:paraId="4931BE1F">
      <w:pPr>
        <w:spacing w:line="640" w:lineRule="exact"/>
        <w:ind w:firstLine="640"/>
        <w:jc w:val="both"/>
        <w:outlineLvl w:val="2"/>
      </w:pPr>
      <w:r>
        <w:rPr>
          <w:rFonts w:ascii="黑体" w:hAnsi="黑体" w:eastAsia="黑体"/>
          <w:sz w:val="32"/>
        </w:rPr>
        <w:t>十二、其他需说明的事项</w:t>
      </w:r>
    </w:p>
    <w:p w14:paraId="3D0DD118">
      <w:pPr>
        <w:spacing w:line="580" w:lineRule="exact"/>
        <w:ind w:firstLine="640"/>
        <w:jc w:val="both"/>
      </w:pPr>
      <w:r>
        <w:rPr>
          <w:rFonts w:ascii="仿宋_GB2312" w:hAnsi="仿宋_GB2312" w:eastAsia="仿宋_GB2312"/>
          <w:b w:val="0"/>
          <w:sz w:val="32"/>
        </w:rPr>
        <w:t>本单位无其他需说明的事项。</w:t>
      </w:r>
    </w:p>
    <w:p w14:paraId="6A220FFC">
      <w:r>
        <w:br w:type="page"/>
      </w:r>
    </w:p>
    <w:p w14:paraId="4083FC23">
      <w:pPr>
        <w:spacing w:line="240" w:lineRule="auto"/>
        <w:jc w:val="center"/>
        <w:outlineLvl w:val="1"/>
      </w:pPr>
      <w:r>
        <w:rPr>
          <w:rFonts w:ascii="黑体" w:hAnsi="黑体" w:eastAsia="黑体"/>
          <w:sz w:val="32"/>
        </w:rPr>
        <w:t>第三部分 专业名词解释</w:t>
      </w:r>
    </w:p>
    <w:p w14:paraId="396B0D6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E3DA97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4196B3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B015A8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3BFDF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FFF0CC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5BD24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B08F5D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9F382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60F59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1BC7D4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6F283F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0D5027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D6F87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529A646">
      <w:r>
        <w:br w:type="page"/>
      </w:r>
    </w:p>
    <w:p w14:paraId="0BFC54D1">
      <w:pPr>
        <w:spacing w:line="240" w:lineRule="auto"/>
        <w:jc w:val="center"/>
        <w:outlineLvl w:val="1"/>
      </w:pPr>
      <w:r>
        <w:rPr>
          <w:rFonts w:ascii="黑体" w:hAnsi="黑体" w:eastAsia="黑体"/>
          <w:sz w:val="32"/>
        </w:rPr>
        <w:t>第四部分 部门决算报表（见附表）</w:t>
      </w:r>
    </w:p>
    <w:p w14:paraId="36D1B50B">
      <w:pPr>
        <w:spacing w:line="240" w:lineRule="auto"/>
        <w:ind w:firstLine="640"/>
        <w:jc w:val="both"/>
      </w:pPr>
      <w:r>
        <w:rPr>
          <w:rFonts w:ascii="仿宋_GB2312" w:hAnsi="仿宋_GB2312" w:eastAsia="仿宋_GB2312"/>
          <w:b w:val="0"/>
          <w:sz w:val="32"/>
        </w:rPr>
        <w:t>一、《收入支出决算总表》</w:t>
      </w:r>
    </w:p>
    <w:p w14:paraId="20DCD8F8">
      <w:pPr>
        <w:spacing w:line="240" w:lineRule="auto"/>
        <w:ind w:firstLine="640"/>
        <w:jc w:val="both"/>
      </w:pPr>
      <w:r>
        <w:rPr>
          <w:rFonts w:ascii="仿宋_GB2312" w:hAnsi="仿宋_GB2312" w:eastAsia="仿宋_GB2312"/>
          <w:b w:val="0"/>
          <w:sz w:val="32"/>
        </w:rPr>
        <w:t>二、《收入决算表》</w:t>
      </w:r>
    </w:p>
    <w:p w14:paraId="77214039">
      <w:pPr>
        <w:spacing w:line="240" w:lineRule="auto"/>
        <w:ind w:firstLine="640"/>
        <w:jc w:val="both"/>
      </w:pPr>
      <w:r>
        <w:rPr>
          <w:rFonts w:ascii="仿宋_GB2312" w:hAnsi="仿宋_GB2312" w:eastAsia="仿宋_GB2312"/>
          <w:b w:val="0"/>
          <w:sz w:val="32"/>
        </w:rPr>
        <w:t>三、《支出决算表》</w:t>
      </w:r>
    </w:p>
    <w:p w14:paraId="34F32354">
      <w:pPr>
        <w:spacing w:line="240" w:lineRule="auto"/>
        <w:ind w:firstLine="640"/>
        <w:jc w:val="both"/>
      </w:pPr>
      <w:r>
        <w:rPr>
          <w:rFonts w:ascii="仿宋_GB2312" w:hAnsi="仿宋_GB2312" w:eastAsia="仿宋_GB2312"/>
          <w:b w:val="0"/>
          <w:sz w:val="32"/>
        </w:rPr>
        <w:t>四、《财政拨款收入支出决算总表》</w:t>
      </w:r>
    </w:p>
    <w:p w14:paraId="28EFACBB">
      <w:pPr>
        <w:spacing w:line="240" w:lineRule="auto"/>
        <w:ind w:firstLine="640"/>
        <w:jc w:val="both"/>
      </w:pPr>
      <w:r>
        <w:rPr>
          <w:rFonts w:ascii="仿宋_GB2312" w:hAnsi="仿宋_GB2312" w:eastAsia="仿宋_GB2312"/>
          <w:b w:val="0"/>
          <w:sz w:val="32"/>
        </w:rPr>
        <w:t>五、《一般公共预算财政拨款支出决算表》</w:t>
      </w:r>
    </w:p>
    <w:p w14:paraId="0A1F363E">
      <w:pPr>
        <w:spacing w:line="240" w:lineRule="auto"/>
        <w:ind w:firstLine="640"/>
        <w:jc w:val="both"/>
      </w:pPr>
      <w:r>
        <w:rPr>
          <w:rFonts w:ascii="仿宋_GB2312" w:hAnsi="仿宋_GB2312" w:eastAsia="仿宋_GB2312"/>
          <w:b w:val="0"/>
          <w:sz w:val="32"/>
        </w:rPr>
        <w:t>六、《一般公共预算财政拨款基本支出决算表》</w:t>
      </w:r>
    </w:p>
    <w:p w14:paraId="5D304E05">
      <w:pPr>
        <w:spacing w:line="240" w:lineRule="auto"/>
        <w:ind w:firstLine="640"/>
        <w:jc w:val="both"/>
      </w:pPr>
      <w:r>
        <w:rPr>
          <w:rFonts w:ascii="仿宋_GB2312" w:hAnsi="仿宋_GB2312" w:eastAsia="仿宋_GB2312"/>
          <w:b w:val="0"/>
          <w:sz w:val="32"/>
        </w:rPr>
        <w:t>七、《政府性基金预算财政拨款收入支出决算表》</w:t>
      </w:r>
    </w:p>
    <w:p w14:paraId="77A7A5AE">
      <w:pPr>
        <w:spacing w:line="240" w:lineRule="auto"/>
        <w:ind w:firstLine="640"/>
        <w:jc w:val="both"/>
      </w:pPr>
      <w:r>
        <w:rPr>
          <w:rFonts w:ascii="仿宋_GB2312" w:hAnsi="仿宋_GB2312" w:eastAsia="仿宋_GB2312"/>
          <w:b w:val="0"/>
          <w:sz w:val="32"/>
        </w:rPr>
        <w:t>八、《国有资本经营预算财政拨款收入支出决算表》</w:t>
      </w:r>
    </w:p>
    <w:p w14:paraId="6986FF5F">
      <w:pPr>
        <w:spacing w:line="240" w:lineRule="auto"/>
        <w:ind w:firstLine="640"/>
        <w:jc w:val="both"/>
      </w:pPr>
      <w:r>
        <w:rPr>
          <w:rFonts w:ascii="仿宋_GB2312" w:hAnsi="仿宋_GB2312" w:eastAsia="仿宋_GB2312"/>
          <w:b w:val="0"/>
          <w:sz w:val="32"/>
        </w:rPr>
        <w:t>九、《财政拨款“三公”经费支出决算表》</w:t>
      </w:r>
    </w:p>
    <w:p w14:paraId="064E11EF">
      <w:pPr>
        <w:spacing w:line="240" w:lineRule="auto"/>
        <w:ind w:firstLine="640"/>
        <w:jc w:val="both"/>
      </w:pPr>
    </w:p>
    <w:p w14:paraId="3BE33D14">
      <w:pPr>
        <w:spacing w:line="240" w:lineRule="auto"/>
        <w:ind w:firstLine="640"/>
        <w:jc w:val="both"/>
      </w:pPr>
    </w:p>
    <w:p w14:paraId="02AA19C4">
      <w:pPr>
        <w:spacing w:line="240" w:lineRule="auto"/>
        <w:ind w:firstLine="640"/>
        <w:jc w:val="both"/>
      </w:pPr>
    </w:p>
    <w:p w14:paraId="0843EBDD">
      <w:pPr>
        <w:spacing w:line="240" w:lineRule="auto"/>
        <w:ind w:firstLine="640"/>
        <w:jc w:val="both"/>
      </w:pPr>
    </w:p>
    <w:p w14:paraId="5EAF293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C72D18"/>
    <w:rsid w:val="021B7195"/>
    <w:rsid w:val="02F73D26"/>
    <w:rsid w:val="034D4FEF"/>
    <w:rsid w:val="043E5B56"/>
    <w:rsid w:val="06792773"/>
    <w:rsid w:val="06B95E94"/>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6A7DCC"/>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5671</Words>
  <Characters>6550</Characters>
  <Lines>0</Lines>
  <Paragraphs>0</Paragraphs>
  <TotalTime>4</TotalTime>
  <ScaleCrop>false</ScaleCrop>
  <LinksUpToDate>false</LinksUpToDate>
  <CharactersWithSpaces>6558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2025-10-31T10:42:43Z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