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托里县军粮供应站2024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8377FB0">
      <w:r>
        <w:br w:type="page"/>
      </w:r>
    </w:p>
    <w:p w14:paraId="22F58613">
      <w:pPr>
        <w:spacing w:line="640" w:lineRule="exact"/>
        <w:jc w:val="center"/>
        <w:outlineLvl w:val="1"/>
      </w:pPr>
      <w:r>
        <w:rPr>
          <w:rFonts w:ascii="黑体" w:hAnsi="黑体" w:eastAsia="黑体"/>
          <w:sz w:val="32"/>
        </w:rPr>
        <w:t>第一部分 单位概况</w:t>
      </w:r>
    </w:p>
    <w:p w14:paraId="1DE8788D">
      <w:pPr>
        <w:spacing w:line="640" w:lineRule="exact"/>
        <w:ind w:firstLine="640"/>
        <w:jc w:val="both"/>
        <w:outlineLvl w:val="2"/>
      </w:pPr>
      <w:r>
        <w:rPr>
          <w:rFonts w:ascii="黑体" w:hAnsi="黑体" w:eastAsia="黑体"/>
          <w:sz w:val="32"/>
        </w:rPr>
        <w:t>一、主要职能</w:t>
      </w:r>
    </w:p>
    <w:p w14:paraId="2982C208">
      <w:pPr>
        <w:spacing w:line="580" w:lineRule="exact"/>
        <w:ind w:firstLine="640"/>
        <w:jc w:val="both"/>
      </w:pPr>
      <w:r>
        <w:rPr>
          <w:rFonts w:ascii="仿宋_GB2312" w:hAnsi="仿宋_GB2312" w:eastAsia="仿宋_GB2312"/>
          <w:sz w:val="32"/>
        </w:rPr>
        <w:t>（一）托里县军供站主要承担和保障驻托解放军部队的粮食供应任务。</w:t>
      </w:r>
    </w:p>
    <w:p w14:paraId="1C09BA87">
      <w:pPr>
        <w:spacing w:line="580" w:lineRule="exact"/>
        <w:ind w:firstLine="640"/>
        <w:jc w:val="both"/>
      </w:pPr>
      <w:r>
        <w:rPr>
          <w:rFonts w:ascii="仿宋_GB2312" w:hAnsi="仿宋_GB2312" w:eastAsia="仿宋_GB2312"/>
          <w:sz w:val="32"/>
        </w:rPr>
        <w:t>（二）按军队粮食定量和标准保障军粮供应，以循环经济理论为指导。</w:t>
      </w:r>
    </w:p>
    <w:p w14:paraId="4E5C7E86">
      <w:pPr>
        <w:spacing w:line="580" w:lineRule="exact"/>
        <w:ind w:firstLine="640"/>
        <w:jc w:val="both"/>
      </w:pPr>
      <w:r>
        <w:rPr>
          <w:rFonts w:ascii="仿宋_GB2312" w:hAnsi="仿宋_GB2312" w:eastAsia="仿宋_GB2312"/>
          <w:sz w:val="32"/>
        </w:rPr>
        <w:t>（三）顺利完成驻托解放军、边防等各伙食单位的军粮供应任务。</w:t>
      </w:r>
    </w:p>
    <w:p w14:paraId="02A2E321">
      <w:pPr>
        <w:spacing w:line="580" w:lineRule="exact"/>
        <w:ind w:firstLine="640"/>
        <w:jc w:val="both"/>
      </w:pPr>
      <w:r>
        <w:rPr>
          <w:rFonts w:ascii="仿宋_GB2312" w:hAnsi="仿宋_GB2312" w:eastAsia="仿宋_GB2312"/>
          <w:sz w:val="32"/>
        </w:rPr>
        <w:t>（四）从事、执行贯彻国家军粮供应管理政策；为部队正规化建设提供后勤保障；实施军粮组织、军粮供应及军粮质量管理。</w:t>
      </w:r>
    </w:p>
    <w:p w14:paraId="07596FF9">
      <w:pPr>
        <w:spacing w:line="640" w:lineRule="exact"/>
        <w:ind w:firstLine="640"/>
        <w:jc w:val="both"/>
        <w:outlineLvl w:val="2"/>
      </w:pPr>
      <w:r>
        <w:rPr>
          <w:rFonts w:ascii="黑体" w:hAnsi="黑体" w:eastAsia="黑体"/>
          <w:sz w:val="32"/>
        </w:rPr>
        <w:t>二、机构设置及人员情况</w:t>
      </w:r>
    </w:p>
    <w:p w14:paraId="49DA1B4C">
      <w:pPr>
        <w:spacing w:line="580" w:lineRule="exact"/>
        <w:ind w:firstLine="640"/>
        <w:jc w:val="both"/>
      </w:pPr>
      <w:r>
        <w:rPr>
          <w:rFonts w:ascii="仿宋_GB2312" w:hAnsi="仿宋_GB2312" w:eastAsia="仿宋_GB2312"/>
          <w:sz w:val="32"/>
        </w:rPr>
        <w:t>托里县军粮供应站2024年度，实有人数7人，其中：在职人员0人，减少2人；离休人员0人，增加0人；退休人员7人,增加1人。</w:t>
      </w:r>
    </w:p>
    <w:p w14:paraId="1877F3A9">
      <w:pPr>
        <w:spacing w:line="580" w:lineRule="exact"/>
        <w:ind w:firstLine="640"/>
        <w:jc w:val="both"/>
      </w:pPr>
      <w:r>
        <w:rPr>
          <w:rFonts w:ascii="仿宋_GB2312" w:hAnsi="仿宋_GB2312" w:eastAsia="仿宋_GB2312"/>
          <w:sz w:val="32"/>
        </w:rPr>
        <w:t>托里县军粮供应站无下属预算单位，下设3个科室，分别是：办公室、财务室、票据开具室。</w:t>
      </w:r>
    </w:p>
    <w:p w14:paraId="5F542D1D">
      <w:r>
        <w:br w:type="page"/>
      </w:r>
    </w:p>
    <w:p w14:paraId="4A644A18">
      <w:pPr>
        <w:spacing w:line="240" w:lineRule="auto"/>
        <w:jc w:val="center"/>
        <w:outlineLvl w:val="1"/>
      </w:pPr>
      <w:r>
        <w:rPr>
          <w:rFonts w:ascii="黑体" w:hAnsi="黑体" w:eastAsia="黑体"/>
          <w:sz w:val="32"/>
        </w:rPr>
        <w:t>第二部分 部门决算情况说明</w:t>
      </w:r>
    </w:p>
    <w:p w14:paraId="5030A73D">
      <w:pPr>
        <w:spacing w:line="640" w:lineRule="exact"/>
        <w:ind w:firstLine="640"/>
        <w:jc w:val="both"/>
        <w:outlineLvl w:val="2"/>
      </w:pPr>
      <w:r>
        <w:rPr>
          <w:rFonts w:ascii="黑体" w:hAnsi="黑体" w:eastAsia="黑体"/>
          <w:sz w:val="32"/>
        </w:rPr>
        <w:t>一、收入支出决算总体情况说明</w:t>
      </w:r>
    </w:p>
    <w:p w14:paraId="040F0E30">
      <w:pPr>
        <w:spacing w:line="580" w:lineRule="exact"/>
        <w:ind w:firstLine="640"/>
        <w:jc w:val="both"/>
      </w:pPr>
      <w:r>
        <w:rPr>
          <w:rFonts w:ascii="仿宋_GB2312" w:hAnsi="仿宋_GB2312" w:eastAsia="仿宋_GB2312"/>
          <w:b/>
          <w:sz w:val="32"/>
        </w:rPr>
        <w:t>2024年度收入总计28.29万元，</w:t>
      </w:r>
      <w:r>
        <w:rPr>
          <w:rFonts w:ascii="仿宋_GB2312" w:hAnsi="仿宋_GB2312" w:eastAsia="仿宋_GB2312"/>
          <w:b w:val="0"/>
          <w:sz w:val="32"/>
        </w:rPr>
        <w:t>其中：本年收入合计28.29万元，使用非财政拨款结余（含专用结余）0.00万元，年初结转和结余0.00万元。</w:t>
      </w:r>
    </w:p>
    <w:p w14:paraId="7F8E7890">
      <w:pPr>
        <w:spacing w:line="580" w:lineRule="exact"/>
        <w:ind w:firstLine="640"/>
        <w:jc w:val="both"/>
      </w:pPr>
      <w:r>
        <w:rPr>
          <w:rFonts w:ascii="仿宋_GB2312" w:hAnsi="仿宋_GB2312" w:eastAsia="仿宋_GB2312"/>
          <w:b/>
          <w:sz w:val="32"/>
        </w:rPr>
        <w:t>2024年度支出总计28.29万元，</w:t>
      </w:r>
      <w:r>
        <w:rPr>
          <w:rFonts w:ascii="仿宋_GB2312" w:hAnsi="仿宋_GB2312" w:eastAsia="仿宋_GB2312"/>
          <w:b w:val="0"/>
          <w:sz w:val="32"/>
        </w:rPr>
        <w:t>其中：本年支出合计28.29万元，结余分配0.00万元，年末结转和结余0.00万元。</w:t>
      </w:r>
    </w:p>
    <w:p w14:paraId="245A1EF9">
      <w:pPr>
        <w:spacing w:line="580" w:lineRule="exact"/>
        <w:ind w:firstLine="640"/>
        <w:jc w:val="both"/>
      </w:pPr>
      <w:r>
        <w:rPr>
          <w:rFonts w:ascii="仿宋_GB2312" w:hAnsi="仿宋_GB2312" w:eastAsia="仿宋_GB2312"/>
          <w:b w:val="0"/>
          <w:sz w:val="32"/>
        </w:rPr>
        <w:t>收入支出总体与上年相比，增加3.85万元，增长15.75%，主要原因是：本年在职</w:t>
      </w:r>
      <w:r>
        <w:rPr>
          <w:rFonts w:hint="eastAsia" w:ascii="仿宋_GB2312" w:hAnsi="仿宋_GB2312" w:eastAsia="仿宋_GB2312"/>
          <w:b w:val="0"/>
          <w:sz w:val="32"/>
          <w:lang w:val="en-US" w:eastAsia="zh-CN"/>
        </w:rPr>
        <w:t>2人于12月退休，</w:t>
      </w:r>
      <w:r>
        <w:rPr>
          <w:rFonts w:ascii="仿宋_GB2312" w:hAnsi="仿宋_GB2312" w:eastAsia="仿宋_GB2312"/>
          <w:b w:val="0"/>
          <w:sz w:val="32"/>
        </w:rPr>
        <w:t>工资调增，社保、公积金基数调增，补发2017年及2020年绩效工资，人员经费增加。</w:t>
      </w:r>
    </w:p>
    <w:p w14:paraId="30374489">
      <w:pPr>
        <w:spacing w:line="640" w:lineRule="exact"/>
        <w:ind w:firstLine="640"/>
        <w:jc w:val="both"/>
        <w:outlineLvl w:val="2"/>
      </w:pPr>
      <w:r>
        <w:rPr>
          <w:rFonts w:ascii="黑体" w:hAnsi="黑体" w:eastAsia="黑体"/>
          <w:sz w:val="32"/>
        </w:rPr>
        <w:t>二、收入决算情况说明</w:t>
      </w:r>
    </w:p>
    <w:p w14:paraId="255E0BFE">
      <w:pPr>
        <w:spacing w:line="580" w:lineRule="exact"/>
        <w:ind w:firstLine="640"/>
        <w:jc w:val="both"/>
      </w:pPr>
      <w:r>
        <w:rPr>
          <w:rFonts w:ascii="仿宋_GB2312" w:hAnsi="仿宋_GB2312" w:eastAsia="仿宋_GB2312"/>
          <w:b/>
          <w:sz w:val="32"/>
        </w:rPr>
        <w:t>本年收入28.29万元，</w:t>
      </w:r>
      <w:r>
        <w:rPr>
          <w:rFonts w:ascii="仿宋_GB2312" w:hAnsi="仿宋_GB2312" w:eastAsia="仿宋_GB2312"/>
          <w:b w:val="0"/>
          <w:sz w:val="32"/>
        </w:rPr>
        <w:t>其中：财政拨款收入28.29万元，占100.00%；上级补助收入0.00万元，占0.00%；事业收入0.00万元，占0.00%；经营收入0.00万元，占0.00%；附属单位上缴收入0.00万元，占0.00%；其他收入0.00万元，占0.00%。</w:t>
      </w:r>
    </w:p>
    <w:p w14:paraId="1DCB5912">
      <w:pPr>
        <w:spacing w:line="640" w:lineRule="exact"/>
        <w:ind w:firstLine="640"/>
        <w:jc w:val="both"/>
        <w:outlineLvl w:val="2"/>
      </w:pPr>
      <w:r>
        <w:rPr>
          <w:rFonts w:ascii="黑体" w:hAnsi="黑体" w:eastAsia="黑体"/>
          <w:sz w:val="32"/>
        </w:rPr>
        <w:t>三、支出决算情况说明</w:t>
      </w:r>
    </w:p>
    <w:p w14:paraId="74EFAB23">
      <w:pPr>
        <w:spacing w:line="580" w:lineRule="exact"/>
        <w:ind w:firstLine="640"/>
        <w:jc w:val="both"/>
      </w:pPr>
      <w:r>
        <w:rPr>
          <w:rFonts w:ascii="仿宋_GB2312" w:hAnsi="仿宋_GB2312" w:eastAsia="仿宋_GB2312"/>
          <w:b/>
          <w:sz w:val="32"/>
        </w:rPr>
        <w:t>本年支出28.29万元，</w:t>
      </w:r>
      <w:r>
        <w:rPr>
          <w:rFonts w:ascii="仿宋_GB2312" w:hAnsi="仿宋_GB2312" w:eastAsia="仿宋_GB2312"/>
          <w:b w:val="0"/>
          <w:sz w:val="32"/>
        </w:rPr>
        <w:t>其中：基本支出28.29万元，占100.00%；项目支出0.00万元，占0.00%；上缴上级支出0.00万元，占0.00%；经营支出0.00万元，占0.00%；对附属单位补助支出0.00万元，占0.00%。</w:t>
      </w:r>
    </w:p>
    <w:p w14:paraId="358965B1">
      <w:pPr>
        <w:spacing w:line="640" w:lineRule="exact"/>
        <w:ind w:firstLine="640"/>
        <w:jc w:val="both"/>
        <w:outlineLvl w:val="2"/>
      </w:pPr>
      <w:r>
        <w:rPr>
          <w:rFonts w:ascii="黑体" w:hAnsi="黑体" w:eastAsia="黑体"/>
          <w:sz w:val="32"/>
        </w:rPr>
        <w:t>四、财政拨款收入支出决算总体情况说明</w:t>
      </w:r>
    </w:p>
    <w:p w14:paraId="656A5D1F">
      <w:pPr>
        <w:spacing w:line="580" w:lineRule="exact"/>
        <w:ind w:firstLine="640"/>
        <w:jc w:val="both"/>
      </w:pPr>
      <w:r>
        <w:rPr>
          <w:rFonts w:ascii="仿宋_GB2312" w:hAnsi="仿宋_GB2312" w:eastAsia="仿宋_GB2312"/>
          <w:b/>
          <w:sz w:val="32"/>
        </w:rPr>
        <w:t>2024年度财政拨款收入总计28.29万元，</w:t>
      </w:r>
      <w:r>
        <w:rPr>
          <w:rFonts w:ascii="仿宋_GB2312" w:hAnsi="仿宋_GB2312" w:eastAsia="仿宋_GB2312"/>
          <w:b w:val="0"/>
          <w:sz w:val="32"/>
        </w:rPr>
        <w:t>其中：年初财政拨款结转和结余0.00万元，本年财政拨款收入28.29万元。</w:t>
      </w:r>
      <w:r>
        <w:rPr>
          <w:rFonts w:ascii="仿宋_GB2312" w:hAnsi="仿宋_GB2312" w:eastAsia="仿宋_GB2312"/>
          <w:b/>
          <w:sz w:val="32"/>
        </w:rPr>
        <w:t>财政拨款支出总计28.29万元，</w:t>
      </w:r>
      <w:r>
        <w:rPr>
          <w:rFonts w:ascii="仿宋_GB2312" w:hAnsi="仿宋_GB2312" w:eastAsia="仿宋_GB2312"/>
          <w:b w:val="0"/>
          <w:sz w:val="32"/>
        </w:rPr>
        <w:t>其中：年末财政拨款结转和结余0.00万元，本年财政拨款支出28.29万元。</w:t>
      </w:r>
    </w:p>
    <w:p w14:paraId="5071052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增加3.85万元，增长15.75%，主要原因是：本年在职</w:t>
      </w:r>
      <w:r>
        <w:rPr>
          <w:rFonts w:hint="eastAsia" w:ascii="仿宋_GB2312" w:hAnsi="仿宋_GB2312" w:eastAsia="仿宋_GB2312"/>
          <w:b w:val="0"/>
          <w:sz w:val="32"/>
          <w:lang w:val="en-US" w:eastAsia="zh-CN"/>
        </w:rPr>
        <w:t>2人于12月退休，</w:t>
      </w:r>
      <w:r>
        <w:rPr>
          <w:rFonts w:ascii="仿宋_GB2312" w:hAnsi="仿宋_GB2312" w:eastAsia="仿宋_GB2312"/>
          <w:b w:val="0"/>
          <w:sz w:val="32"/>
        </w:rPr>
        <w:t>工资调增，社保、公积金基数调增，补发2017年及2020年绩效工资，人员经费增加。</w:t>
      </w:r>
      <w:r>
        <w:rPr>
          <w:rFonts w:ascii="仿宋_GB2312" w:hAnsi="仿宋_GB2312" w:eastAsia="仿宋_GB2312"/>
          <w:b/>
          <w:sz w:val="32"/>
        </w:rPr>
        <w:t>与年初预算相比，</w:t>
      </w:r>
      <w:r>
        <w:rPr>
          <w:rFonts w:ascii="仿宋_GB2312" w:hAnsi="仿宋_GB2312" w:eastAsia="仿宋_GB2312"/>
          <w:b w:val="0"/>
          <w:sz w:val="32"/>
        </w:rPr>
        <w:t>年初预算数27.32万元，决算数28.29万元，预决算差异率3.55%，主要原因是：年中追加在职人员工资、社保、公积金基数调增部分资金，导致预决算存在差异。</w:t>
      </w:r>
    </w:p>
    <w:p w14:paraId="6A61943E">
      <w:pPr>
        <w:spacing w:line="640" w:lineRule="exact"/>
        <w:ind w:firstLine="640"/>
        <w:jc w:val="both"/>
        <w:outlineLvl w:val="2"/>
      </w:pPr>
      <w:r>
        <w:rPr>
          <w:rFonts w:ascii="黑体" w:hAnsi="黑体" w:eastAsia="黑体"/>
          <w:sz w:val="32"/>
        </w:rPr>
        <w:t>五、一般公共预算财政拨款支出决算情况说明</w:t>
      </w:r>
    </w:p>
    <w:p w14:paraId="7E5D9E4C">
      <w:pPr>
        <w:spacing w:line="640" w:lineRule="exact"/>
        <w:ind w:firstLine="640"/>
        <w:jc w:val="both"/>
        <w:outlineLvl w:val="3"/>
      </w:pPr>
      <w:r>
        <w:rPr>
          <w:rFonts w:ascii="楷体_GB2312" w:hAnsi="楷体_GB2312" w:eastAsia="楷体_GB2312"/>
          <w:b/>
          <w:sz w:val="32"/>
        </w:rPr>
        <w:t>（一）一般公共预算财政拨款支出决算总体情况</w:t>
      </w:r>
    </w:p>
    <w:p w14:paraId="6E0C741B">
      <w:pPr>
        <w:spacing w:line="580" w:lineRule="exact"/>
        <w:ind w:firstLine="640"/>
        <w:jc w:val="both"/>
      </w:pPr>
      <w:r>
        <w:rPr>
          <w:rFonts w:ascii="仿宋_GB2312" w:hAnsi="仿宋_GB2312" w:eastAsia="仿宋_GB2312"/>
          <w:b/>
          <w:sz w:val="32"/>
        </w:rPr>
        <w:t>2024年度一般公共预算财政拨款支出28.29万元，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增加3.85万元，增长15.75%，主要原因是：本年在职</w:t>
      </w:r>
      <w:r>
        <w:rPr>
          <w:rFonts w:hint="eastAsia" w:ascii="仿宋_GB2312" w:hAnsi="仿宋_GB2312" w:eastAsia="仿宋_GB2312"/>
          <w:b w:val="0"/>
          <w:sz w:val="32"/>
          <w:lang w:val="en-US" w:eastAsia="zh-CN"/>
        </w:rPr>
        <w:t>2人于12月退休，</w:t>
      </w:r>
      <w:r>
        <w:rPr>
          <w:rFonts w:ascii="仿宋_GB2312" w:hAnsi="仿宋_GB2312" w:eastAsia="仿宋_GB2312"/>
          <w:b w:val="0"/>
          <w:sz w:val="32"/>
        </w:rPr>
        <w:t>工资调增，社保、公积金基数调增，补发2017年及2020年绩效工资，人员经费增加。</w:t>
      </w:r>
      <w:r>
        <w:rPr>
          <w:rFonts w:ascii="仿宋_GB2312" w:hAnsi="仿宋_GB2312" w:eastAsia="仿宋_GB2312"/>
          <w:b/>
          <w:sz w:val="32"/>
        </w:rPr>
        <w:t>与年初预算相比,</w:t>
      </w:r>
      <w:r>
        <w:rPr>
          <w:rFonts w:ascii="仿宋_GB2312" w:hAnsi="仿宋_GB2312" w:eastAsia="仿宋_GB2312"/>
          <w:b w:val="0"/>
          <w:sz w:val="32"/>
        </w:rPr>
        <w:t>年初预算数27.32万元，决算数28.29万元，预决算差异率3.55%，主要原因是：年中追加人员工资、社保、公积金基数调增部分资金，导致预决算存在差异。</w:t>
      </w:r>
    </w:p>
    <w:p w14:paraId="70BB52C4">
      <w:pPr>
        <w:spacing w:line="640" w:lineRule="exact"/>
        <w:ind w:firstLine="640"/>
        <w:jc w:val="both"/>
        <w:outlineLvl w:val="3"/>
      </w:pPr>
      <w:r>
        <w:rPr>
          <w:rFonts w:ascii="楷体_GB2312" w:hAnsi="楷体_GB2312" w:eastAsia="楷体_GB2312"/>
          <w:b/>
          <w:sz w:val="32"/>
        </w:rPr>
        <w:t>（二）一般公共预算财政拨款支出决算结构情况</w:t>
      </w:r>
    </w:p>
    <w:p w14:paraId="7BF2996C">
      <w:pPr>
        <w:spacing w:line="580" w:lineRule="exact"/>
        <w:ind w:firstLine="640"/>
        <w:jc w:val="both"/>
      </w:pPr>
      <w:r>
        <w:rPr>
          <w:rFonts w:ascii="仿宋_GB2312" w:hAnsi="仿宋_GB2312" w:eastAsia="仿宋_GB2312"/>
          <w:b w:val="0"/>
          <w:sz w:val="32"/>
        </w:rPr>
        <w:t>1.社会保障和就业支出(类)11.05万元,占39.06%。</w:t>
      </w:r>
    </w:p>
    <w:p w14:paraId="42F34932">
      <w:pPr>
        <w:spacing w:line="580" w:lineRule="exact"/>
        <w:ind w:firstLine="640"/>
        <w:jc w:val="both"/>
      </w:pPr>
      <w:r>
        <w:rPr>
          <w:rFonts w:ascii="仿宋_GB2312" w:hAnsi="仿宋_GB2312" w:eastAsia="仿宋_GB2312"/>
          <w:b w:val="0"/>
          <w:sz w:val="32"/>
        </w:rPr>
        <w:t>2.卫生健康支出(类)1.25万元,占4.42%。</w:t>
      </w:r>
    </w:p>
    <w:p w14:paraId="157FFE3A">
      <w:pPr>
        <w:spacing w:line="580" w:lineRule="exact"/>
        <w:ind w:firstLine="640"/>
        <w:jc w:val="both"/>
      </w:pPr>
      <w:r>
        <w:rPr>
          <w:rFonts w:ascii="仿宋_GB2312" w:hAnsi="仿宋_GB2312" w:eastAsia="仿宋_GB2312"/>
          <w:b w:val="0"/>
          <w:sz w:val="32"/>
        </w:rPr>
        <w:t>3.住房保障支出(类)1.40万元,占4.95%。</w:t>
      </w:r>
    </w:p>
    <w:p w14:paraId="187823B3">
      <w:pPr>
        <w:spacing w:line="580" w:lineRule="exact"/>
        <w:ind w:firstLine="640"/>
        <w:jc w:val="both"/>
      </w:pPr>
      <w:r>
        <w:rPr>
          <w:rFonts w:ascii="仿宋_GB2312" w:hAnsi="仿宋_GB2312" w:eastAsia="仿宋_GB2312"/>
          <w:b w:val="0"/>
          <w:sz w:val="32"/>
        </w:rPr>
        <w:t>4.粮油物资储备支出(类)14.59万元,占51.57%。</w:t>
      </w:r>
    </w:p>
    <w:p w14:paraId="692B3B03">
      <w:pPr>
        <w:spacing w:line="640" w:lineRule="exact"/>
        <w:ind w:firstLine="640"/>
        <w:jc w:val="both"/>
        <w:outlineLvl w:val="3"/>
      </w:pPr>
      <w:r>
        <w:rPr>
          <w:rFonts w:ascii="楷体_GB2312" w:hAnsi="楷体_GB2312" w:eastAsia="楷体_GB2312"/>
          <w:b/>
          <w:sz w:val="32"/>
        </w:rPr>
        <w:t>（三）一般公共预算财政拨款支出决算具体情况</w:t>
      </w:r>
    </w:p>
    <w:p w14:paraId="387F4CDF">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1.47万元，比上年决算减少4.75万元，下降76.37%,主要原因是：上年补发退休人员基础绩效，本年正常发放，导致经费较上年减少。</w:t>
      </w:r>
    </w:p>
    <w:p w14:paraId="4D16238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2.社会保障和就业支出(类)行政事业单位养老支出(款)机关事业单位基本养老保险缴费支出(项):支出决算数为1.82万元，比上年决算增加0.02万元，增长1.11%,主要原因是：本年在职</w:t>
      </w:r>
      <w:r>
        <w:rPr>
          <w:rFonts w:hint="eastAsia" w:ascii="仿宋_GB2312" w:hAnsi="仿宋_GB2312" w:eastAsia="仿宋_GB2312"/>
          <w:b w:val="0"/>
          <w:sz w:val="32"/>
          <w:lang w:val="en-US" w:eastAsia="zh-CN"/>
        </w:rPr>
        <w:t>2人于12月退休，</w:t>
      </w:r>
      <w:r>
        <w:rPr>
          <w:rFonts w:ascii="仿宋_GB2312" w:hAnsi="仿宋_GB2312" w:eastAsia="仿宋_GB2312"/>
          <w:b w:val="0"/>
          <w:sz w:val="32"/>
        </w:rPr>
        <w:t>工资基数调增，养老缴费基数上涨，相应支出增加。</w:t>
      </w:r>
    </w:p>
    <w:p w14:paraId="3716CF7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3.社会保障和就业支出(类)行政事业单位养老支出(款)机关事业单位职业年金缴费支出(项):支出决算数为7.76万元，比上年决算增加7.76万元，增长100.00%,主要原因是：本年新增退休人员，职业年金缴费支出增加。</w:t>
      </w:r>
    </w:p>
    <w:p w14:paraId="10616E0E">
      <w:pPr>
        <w:spacing w:line="580" w:lineRule="exact"/>
        <w:ind w:firstLine="640"/>
        <w:jc w:val="both"/>
      </w:pPr>
      <w:r>
        <w:rPr>
          <w:rFonts w:ascii="仿宋_GB2312" w:hAnsi="仿宋_GB2312" w:eastAsia="仿宋_GB2312"/>
          <w:b w:val="0"/>
          <w:sz w:val="32"/>
        </w:rPr>
        <w:t>4.卫生健康支出(类)行政事业单位医疗(款)行政单位医疗(项):支出决算数为0.83万元，比上年决算增加0.02万元，增长2.47%,主要原因是：本年在职</w:t>
      </w:r>
      <w:r>
        <w:rPr>
          <w:rFonts w:hint="eastAsia" w:ascii="仿宋_GB2312" w:hAnsi="仿宋_GB2312" w:eastAsia="仿宋_GB2312"/>
          <w:b w:val="0"/>
          <w:sz w:val="32"/>
          <w:lang w:val="en-US" w:eastAsia="zh-CN"/>
        </w:rPr>
        <w:t>2人于12月退休，</w:t>
      </w:r>
      <w:r>
        <w:rPr>
          <w:rFonts w:ascii="仿宋_GB2312" w:hAnsi="仿宋_GB2312" w:eastAsia="仿宋_GB2312"/>
          <w:b w:val="0"/>
          <w:sz w:val="32"/>
        </w:rPr>
        <w:t>工资基数调增，医疗缴费基数上涨，相应支出增加。</w:t>
      </w:r>
    </w:p>
    <w:p w14:paraId="4ED14028">
      <w:pPr>
        <w:spacing w:line="580" w:lineRule="exact"/>
        <w:ind w:firstLine="640"/>
        <w:jc w:val="both"/>
      </w:pPr>
      <w:r>
        <w:rPr>
          <w:rFonts w:ascii="仿宋_GB2312" w:hAnsi="仿宋_GB2312" w:eastAsia="仿宋_GB2312"/>
          <w:b w:val="0"/>
          <w:sz w:val="32"/>
        </w:rPr>
        <w:t>5.卫生健康支出(类)行政事业单位医疗(款)公务员医疗补助(项):支出决算数为0.42万元，比上年决算增加0.01万元，增长2.44%,主要原因是：本年在职</w:t>
      </w:r>
      <w:r>
        <w:rPr>
          <w:rFonts w:hint="eastAsia" w:ascii="仿宋_GB2312" w:hAnsi="仿宋_GB2312" w:eastAsia="仿宋_GB2312"/>
          <w:b w:val="0"/>
          <w:sz w:val="32"/>
          <w:lang w:val="en-US" w:eastAsia="zh-CN"/>
        </w:rPr>
        <w:t>2人于12月退休，</w:t>
      </w:r>
      <w:r>
        <w:rPr>
          <w:rFonts w:ascii="仿宋_GB2312" w:hAnsi="仿宋_GB2312" w:eastAsia="仿宋_GB2312"/>
          <w:b w:val="0"/>
          <w:sz w:val="32"/>
        </w:rPr>
        <w:t>工资基数调增，医疗缴费基数上涨，相应支出增加。</w:t>
      </w:r>
    </w:p>
    <w:p w14:paraId="315D6353">
      <w:pPr>
        <w:spacing w:line="580" w:lineRule="exact"/>
        <w:ind w:firstLine="640"/>
        <w:jc w:val="both"/>
      </w:pPr>
      <w:r>
        <w:rPr>
          <w:rFonts w:ascii="仿宋_GB2312" w:hAnsi="仿宋_GB2312" w:eastAsia="仿宋_GB2312"/>
          <w:b w:val="0"/>
          <w:sz w:val="32"/>
        </w:rPr>
        <w:t>6.住房保障支出(类)住房改革支出(款)住房公积金(项):支出决算数为1.40万元，比上年决算减少0.01万元，下降0.71%,主要原因是：本年在职人员转退休，只发放1-11月公积金，导致经费支出较上年减少。</w:t>
      </w:r>
    </w:p>
    <w:p w14:paraId="05085643">
      <w:pPr>
        <w:spacing w:line="580" w:lineRule="exact"/>
        <w:ind w:firstLine="640"/>
        <w:jc w:val="both"/>
      </w:pPr>
      <w:r>
        <w:rPr>
          <w:rFonts w:ascii="仿宋_GB2312" w:hAnsi="仿宋_GB2312" w:eastAsia="仿宋_GB2312"/>
          <w:b w:val="0"/>
          <w:sz w:val="32"/>
        </w:rPr>
        <w:t>7.粮油物资储备支出(类)粮油物资事务(款)行政运行(项):支出决算数为14.59万元，比上年决算增加0.80万元，增长5.80%,主要原因是：本年在职</w:t>
      </w:r>
      <w:r>
        <w:rPr>
          <w:rFonts w:hint="eastAsia" w:ascii="仿宋_GB2312" w:hAnsi="仿宋_GB2312" w:eastAsia="仿宋_GB2312"/>
          <w:b w:val="0"/>
          <w:sz w:val="32"/>
          <w:lang w:val="en-US" w:eastAsia="zh-CN"/>
        </w:rPr>
        <w:t>2人于12月退休，</w:t>
      </w:r>
      <w:bookmarkStart w:id="0" w:name="_GoBack"/>
      <w:bookmarkEnd w:id="0"/>
      <w:r>
        <w:rPr>
          <w:rFonts w:ascii="仿宋_GB2312" w:hAnsi="仿宋_GB2312" w:eastAsia="仿宋_GB2312"/>
          <w:b w:val="0"/>
          <w:sz w:val="32"/>
        </w:rPr>
        <w:t>在职人员工资调增，导致相关人员经费较上年有所增加。</w:t>
      </w:r>
    </w:p>
    <w:p w14:paraId="6AE6A1C9">
      <w:pPr>
        <w:spacing w:line="640" w:lineRule="exact"/>
        <w:ind w:firstLine="640"/>
        <w:jc w:val="both"/>
        <w:outlineLvl w:val="2"/>
      </w:pPr>
      <w:r>
        <w:rPr>
          <w:rFonts w:ascii="黑体" w:hAnsi="黑体" w:eastAsia="黑体"/>
          <w:sz w:val="32"/>
        </w:rPr>
        <w:t>六、一般公共预算财政拨款基本支出决算情况说明</w:t>
      </w:r>
    </w:p>
    <w:p w14:paraId="59227EA5">
      <w:pPr>
        <w:spacing w:line="580" w:lineRule="exact"/>
        <w:ind w:firstLine="640"/>
        <w:jc w:val="both"/>
      </w:pPr>
      <w:r>
        <w:rPr>
          <w:rFonts w:ascii="仿宋_GB2312" w:hAnsi="仿宋_GB2312" w:eastAsia="仿宋_GB2312"/>
          <w:b w:val="0"/>
          <w:sz w:val="32"/>
        </w:rPr>
        <w:t>2024年度一般公共预算财政拨款基本支出28.29万元，其中：</w:t>
      </w:r>
      <w:r>
        <w:rPr>
          <w:rFonts w:ascii="仿宋_GB2312" w:hAnsi="仿宋_GB2312" w:eastAsia="仿宋_GB2312"/>
          <w:b/>
          <w:sz w:val="32"/>
        </w:rPr>
        <w:t>人员经费28.21万元，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w:t>
      </w:r>
    </w:p>
    <w:p w14:paraId="4DB9445E">
      <w:pPr>
        <w:spacing w:line="580" w:lineRule="exact"/>
        <w:ind w:firstLine="640"/>
        <w:jc w:val="both"/>
      </w:pPr>
      <w:r>
        <w:rPr>
          <w:rFonts w:ascii="仿宋_GB2312" w:hAnsi="仿宋_GB2312" w:eastAsia="仿宋_GB2312"/>
          <w:b/>
          <w:sz w:val="32"/>
        </w:rPr>
        <w:t>公用经费0.08万元，</w:t>
      </w:r>
      <w:r>
        <w:rPr>
          <w:rFonts w:ascii="仿宋_GB2312" w:hAnsi="仿宋_GB2312" w:eastAsia="仿宋_GB2312"/>
          <w:b w:val="0"/>
          <w:sz w:val="32"/>
        </w:rPr>
        <w:t>包括：工会经费。</w:t>
      </w:r>
    </w:p>
    <w:p w14:paraId="145D72CF">
      <w:pPr>
        <w:spacing w:line="640" w:lineRule="exact"/>
        <w:ind w:firstLine="640"/>
        <w:jc w:val="both"/>
        <w:outlineLvl w:val="2"/>
      </w:pPr>
      <w:r>
        <w:rPr>
          <w:rFonts w:ascii="黑体" w:hAnsi="黑体" w:eastAsia="黑体"/>
          <w:sz w:val="32"/>
        </w:rPr>
        <w:t>七、政府性基金预算财政拨款收入支出决算情况说明</w:t>
      </w:r>
    </w:p>
    <w:p w14:paraId="5CFCECA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990424A">
      <w:pPr>
        <w:spacing w:line="640" w:lineRule="exact"/>
        <w:ind w:firstLine="640"/>
        <w:jc w:val="both"/>
        <w:outlineLvl w:val="2"/>
      </w:pPr>
      <w:r>
        <w:rPr>
          <w:rFonts w:ascii="黑体" w:hAnsi="黑体" w:eastAsia="黑体"/>
          <w:sz w:val="32"/>
        </w:rPr>
        <w:t>八、国有资本经营预算财政拨款收入支出决算情况说明</w:t>
      </w:r>
    </w:p>
    <w:p w14:paraId="3A626BD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B7E1FD8">
      <w:pPr>
        <w:spacing w:line="640" w:lineRule="exact"/>
        <w:ind w:firstLine="640"/>
        <w:jc w:val="both"/>
        <w:outlineLvl w:val="2"/>
      </w:pPr>
      <w:r>
        <w:rPr>
          <w:rFonts w:ascii="黑体" w:hAnsi="黑体" w:eastAsia="黑体"/>
          <w:sz w:val="32"/>
        </w:rPr>
        <w:t>九、财政拨款“三公”经费支出决算情况说明</w:t>
      </w:r>
    </w:p>
    <w:p w14:paraId="0D2078F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70762C8">
      <w:pPr>
        <w:spacing w:line="580" w:lineRule="exact"/>
        <w:ind w:firstLine="640"/>
        <w:jc w:val="both"/>
      </w:pPr>
      <w:r>
        <w:rPr>
          <w:rFonts w:ascii="仿宋_GB2312" w:hAnsi="仿宋_GB2312" w:eastAsia="仿宋_GB2312"/>
          <w:b/>
          <w:sz w:val="32"/>
        </w:rPr>
        <w:t>具体情况如下：</w:t>
      </w:r>
    </w:p>
    <w:p w14:paraId="0137445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31E810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CD818A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098479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B4AF172">
      <w:pPr>
        <w:spacing w:line="640" w:lineRule="exact"/>
        <w:ind w:firstLine="640"/>
        <w:jc w:val="both"/>
        <w:outlineLvl w:val="2"/>
      </w:pPr>
      <w:r>
        <w:rPr>
          <w:rFonts w:ascii="黑体" w:hAnsi="黑体" w:eastAsia="黑体"/>
          <w:sz w:val="32"/>
        </w:rPr>
        <w:t>十、其他重要事项的情况说明</w:t>
      </w:r>
    </w:p>
    <w:p w14:paraId="467A9A19">
      <w:pPr>
        <w:spacing w:line="640" w:lineRule="exact"/>
        <w:ind w:firstLine="640"/>
        <w:jc w:val="both"/>
        <w:outlineLvl w:val="3"/>
      </w:pPr>
      <w:r>
        <w:rPr>
          <w:rFonts w:ascii="楷体_GB2312" w:hAnsi="楷体_GB2312" w:eastAsia="楷体_GB2312"/>
          <w:b/>
          <w:sz w:val="32"/>
        </w:rPr>
        <w:t>（一）机关运行经费及公用经费支出情况</w:t>
      </w:r>
    </w:p>
    <w:p w14:paraId="504D2ECB">
      <w:pPr>
        <w:spacing w:line="580" w:lineRule="exact"/>
        <w:ind w:firstLine="640"/>
        <w:jc w:val="both"/>
      </w:pPr>
      <w:r>
        <w:rPr>
          <w:rFonts w:ascii="仿宋_GB2312" w:hAnsi="仿宋_GB2312" w:eastAsia="仿宋_GB2312"/>
          <w:b w:val="0"/>
          <w:sz w:val="32"/>
        </w:rPr>
        <w:t>2024年度托里县军粮供应站（行政单位和参照公务员法管理事业单位）机关运行经费支出0.08万元，比上年减少0.09万元，下降52.94%，主要原因是：严控经费支出，厉行节约，减少经费支出。</w:t>
      </w:r>
    </w:p>
    <w:p w14:paraId="3231DA9E">
      <w:pPr>
        <w:spacing w:line="640" w:lineRule="exact"/>
        <w:ind w:firstLine="640"/>
        <w:jc w:val="both"/>
        <w:outlineLvl w:val="3"/>
      </w:pPr>
      <w:r>
        <w:rPr>
          <w:rFonts w:ascii="楷体_GB2312" w:hAnsi="楷体_GB2312" w:eastAsia="楷体_GB2312"/>
          <w:b/>
          <w:sz w:val="32"/>
        </w:rPr>
        <w:t>（二）政府采购情况</w:t>
      </w:r>
    </w:p>
    <w:p w14:paraId="7ABDFCB1">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C1E298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719F1AC">
      <w:pPr>
        <w:spacing w:line="640" w:lineRule="exact"/>
        <w:ind w:firstLine="640"/>
        <w:jc w:val="both"/>
        <w:outlineLvl w:val="3"/>
      </w:pPr>
      <w:r>
        <w:rPr>
          <w:rFonts w:ascii="楷体_GB2312" w:hAnsi="楷体_GB2312" w:eastAsia="楷体_GB2312"/>
          <w:b/>
          <w:sz w:val="32"/>
        </w:rPr>
        <w:t>（三）国有资产占用情况说明</w:t>
      </w:r>
    </w:p>
    <w:p w14:paraId="791DB6CB">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F496F64">
      <w:pPr>
        <w:spacing w:line="640" w:lineRule="exact"/>
        <w:ind w:firstLine="640"/>
        <w:jc w:val="both"/>
        <w:outlineLvl w:val="2"/>
      </w:pPr>
      <w:r>
        <w:rPr>
          <w:rFonts w:ascii="黑体" w:hAnsi="黑体" w:eastAsia="黑体"/>
          <w:sz w:val="32"/>
        </w:rPr>
        <w:t>十一、预算绩效的情况说明</w:t>
      </w:r>
    </w:p>
    <w:p w14:paraId="7BA6F55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28.29万元，实际执行总额28.29万元；预算绩效评价项目0个，全年预算数0.00万元，全年执行数0.00万元。预算绩效管理取得的成效：本单位无预算绩效项目。发现的问题及原因：本单位无预算绩效项目。下一步改进措施：本单位无预算绩效项目。具体附整体支出绩效自评表。</w:t>
      </w:r>
    </w:p>
    <w:p w14:paraId="5B7994D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0C03E87">
        <w:tblPrEx>
          <w:tblCellMar>
            <w:top w:w="0" w:type="dxa"/>
            <w:left w:w="108" w:type="dxa"/>
            <w:bottom w:w="0" w:type="dxa"/>
            <w:right w:w="108" w:type="dxa"/>
          </w:tblCellMar>
        </w:tblPrEx>
        <w:tc>
          <w:tcPr>
            <w:tcW w:w="8840" w:type="dxa"/>
            <w:gridSpan w:val="8"/>
            <w:vAlign w:val="center"/>
          </w:tcPr>
          <w:p w14:paraId="7024BB64">
            <w:pPr>
              <w:jc w:val="center"/>
            </w:pPr>
            <w:r>
              <w:rPr>
                <w:rFonts w:ascii="宋体" w:hAnsi="宋体" w:eastAsia="宋体"/>
                <w:sz w:val="24"/>
              </w:rPr>
              <w:t>单位整体支出绩效自评表</w:t>
            </w:r>
          </w:p>
        </w:tc>
      </w:tr>
      <w:tr w14:paraId="64CD1C1A">
        <w:tblPrEx>
          <w:tblCellMar>
            <w:top w:w="0" w:type="dxa"/>
            <w:left w:w="108" w:type="dxa"/>
            <w:bottom w:w="0" w:type="dxa"/>
            <w:right w:w="108" w:type="dxa"/>
          </w:tblCellMar>
        </w:tblPrEx>
        <w:tc>
          <w:tcPr>
            <w:tcW w:w="8840" w:type="dxa"/>
            <w:gridSpan w:val="8"/>
            <w:vAlign w:val="center"/>
          </w:tcPr>
          <w:p w14:paraId="6803B807">
            <w:pPr>
              <w:jc w:val="center"/>
            </w:pPr>
            <w:r>
              <w:rPr>
                <w:rFonts w:ascii="宋体" w:hAnsi="宋体" w:eastAsia="宋体"/>
                <w:sz w:val="24"/>
              </w:rPr>
              <w:t>（2024年度）</w:t>
            </w:r>
          </w:p>
        </w:tc>
      </w:tr>
      <w:tr w14:paraId="67D71BB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BE31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B87DF">
            <w:pPr>
              <w:jc w:val="center"/>
            </w:pPr>
            <w:r>
              <w:rPr>
                <w:rFonts w:ascii="宋体" w:hAnsi="宋体" w:eastAsia="宋体"/>
                <w:sz w:val="16"/>
              </w:rPr>
              <w:t>托里县军粮供应站</w:t>
            </w:r>
          </w:p>
        </w:tc>
      </w:tr>
      <w:tr w14:paraId="5861462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2A69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A3B2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06F3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AFC81">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98F12">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0997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F767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3AD93">
            <w:pPr>
              <w:jc w:val="center"/>
            </w:pPr>
            <w:r>
              <w:rPr>
                <w:rFonts w:ascii="宋体" w:hAnsi="宋体" w:eastAsia="宋体"/>
                <w:sz w:val="16"/>
              </w:rPr>
              <w:t>得分</w:t>
            </w:r>
          </w:p>
        </w:tc>
      </w:tr>
      <w:tr w14:paraId="3F61B8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D47E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3450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EE784">
            <w:pPr>
              <w:jc w:val="center"/>
            </w:pPr>
            <w:r>
              <w:rPr>
                <w:rFonts w:ascii="宋体" w:hAnsi="宋体" w:eastAsia="宋体"/>
                <w:sz w:val="16"/>
              </w:rPr>
              <w:t>27.32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411F7">
            <w:pPr>
              <w:jc w:val="center"/>
            </w:pPr>
            <w:r>
              <w:rPr>
                <w:rFonts w:ascii="宋体" w:hAnsi="宋体" w:eastAsia="宋体"/>
                <w:sz w:val="16"/>
              </w:rPr>
              <w:t>28.29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1B63D">
            <w:pPr>
              <w:jc w:val="center"/>
            </w:pPr>
            <w:r>
              <w:rPr>
                <w:rFonts w:ascii="宋体" w:hAnsi="宋体" w:eastAsia="宋体"/>
                <w:sz w:val="16"/>
              </w:rPr>
              <w:t>28.29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5FB3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F3F9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3294A">
            <w:pPr>
              <w:jc w:val="center"/>
            </w:pPr>
            <w:r>
              <w:rPr>
                <w:rFonts w:ascii="宋体" w:hAnsi="宋体" w:eastAsia="宋体"/>
                <w:sz w:val="16"/>
              </w:rPr>
              <w:t>10</w:t>
            </w:r>
          </w:p>
        </w:tc>
      </w:tr>
      <w:tr w14:paraId="56D160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D4F9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BD075">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3435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1371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4E61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D6A7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306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30637">
            <w:pPr>
              <w:jc w:val="center"/>
            </w:pPr>
            <w:r>
              <w:rPr>
                <w:rFonts w:ascii="宋体" w:hAnsi="宋体" w:eastAsia="宋体"/>
                <w:sz w:val="16"/>
              </w:rPr>
              <w:t>-</w:t>
            </w:r>
          </w:p>
        </w:tc>
      </w:tr>
      <w:tr w14:paraId="720C3C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5F40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DAE7A">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A1F56">
            <w:pPr>
              <w:jc w:val="center"/>
            </w:pPr>
            <w:r>
              <w:rPr>
                <w:rFonts w:ascii="宋体" w:hAnsi="宋体" w:eastAsia="宋体"/>
                <w:sz w:val="16"/>
              </w:rPr>
              <w:t>27.32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03793">
            <w:pPr>
              <w:jc w:val="center"/>
            </w:pPr>
            <w:r>
              <w:rPr>
                <w:rFonts w:ascii="宋体" w:hAnsi="宋体" w:eastAsia="宋体"/>
                <w:sz w:val="16"/>
              </w:rPr>
              <w:t>28.29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1CAF6">
            <w:pPr>
              <w:jc w:val="center"/>
            </w:pPr>
            <w:r>
              <w:rPr>
                <w:rFonts w:ascii="宋体" w:hAnsi="宋体" w:eastAsia="宋体"/>
                <w:sz w:val="16"/>
              </w:rPr>
              <w:t>28.29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9842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949A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CA5AA">
            <w:pPr>
              <w:jc w:val="center"/>
            </w:pPr>
            <w:r>
              <w:rPr>
                <w:rFonts w:ascii="宋体" w:hAnsi="宋体" w:eastAsia="宋体"/>
                <w:sz w:val="16"/>
              </w:rPr>
              <w:t>-</w:t>
            </w:r>
          </w:p>
        </w:tc>
      </w:tr>
      <w:tr w14:paraId="5796FC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1883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ABC6A4">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BAF7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4647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3135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055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475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E7300">
            <w:pPr>
              <w:jc w:val="center"/>
            </w:pPr>
            <w:r>
              <w:rPr>
                <w:rFonts w:ascii="宋体" w:hAnsi="宋体" w:eastAsia="宋体"/>
                <w:sz w:val="16"/>
              </w:rPr>
              <w:t>-</w:t>
            </w:r>
          </w:p>
        </w:tc>
      </w:tr>
      <w:tr w14:paraId="4CD039B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C4048">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CE7B9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40AF1F">
            <w:pPr>
              <w:jc w:val="center"/>
            </w:pPr>
            <w:r>
              <w:rPr>
                <w:rFonts w:ascii="宋体" w:hAnsi="宋体" w:eastAsia="宋体"/>
                <w:sz w:val="16"/>
              </w:rPr>
              <w:t>实际完成情况</w:t>
            </w:r>
          </w:p>
        </w:tc>
      </w:tr>
      <w:tr w14:paraId="5D177E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BA7F0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7A771D">
            <w:pPr>
              <w:jc w:val="both"/>
            </w:pPr>
            <w:r>
              <w:rPr>
                <w:rFonts w:ascii="宋体" w:hAnsi="宋体" w:eastAsia="宋体"/>
                <w:sz w:val="16"/>
              </w:rPr>
              <w:t>1.加强质量管理，确保部队吃上放心粮、2.严格执行军供政策，提升管理水平和服务水平、3.加强财务管理，确保军粮专项资金使用规范、4加强基础管理和安全管理。突出重点，增强责任意识，全力保障军粮供应，不断提升管理水平和服务水平。预期目标：检查粮库数量达到120次；开展各类消防安全培训次数4次；粮食质量安全100%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C9C8F9">
            <w:pPr>
              <w:jc w:val="both"/>
            </w:pPr>
            <w:r>
              <w:rPr>
                <w:rFonts w:ascii="宋体" w:hAnsi="宋体" w:eastAsia="宋体"/>
                <w:sz w:val="16"/>
              </w:rPr>
              <w:t>2024年度本单位实际完成了：管理水平、服务水平和质量管理水平的提高，严格执行军供政策，保障部队粮食安全；财务管理水平提高，保障了军粮专项资金的使用规范；加强基础管理和安全管理，增强责任意识，全力保障军粮供应。并且达到了预期目标</w:t>
            </w:r>
            <w:r>
              <w:rPr>
                <w:rFonts w:hint="eastAsia" w:ascii="宋体" w:hAnsi="宋体"/>
                <w:sz w:val="16"/>
                <w:lang w:eastAsia="zh-CN"/>
              </w:rPr>
              <w:t>：</w:t>
            </w:r>
            <w:r>
              <w:rPr>
                <w:rFonts w:ascii="宋体" w:hAnsi="宋体" w:eastAsia="宋体"/>
                <w:sz w:val="16"/>
              </w:rPr>
              <w:t>检查粮库数量达到120次；开展各类消防安全培训次数4次；全年供粮次数16次；重大质量安全事故发生数0个；粮食质量安全100%。</w:t>
            </w:r>
          </w:p>
        </w:tc>
      </w:tr>
      <w:tr w14:paraId="1CEBE5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F2E1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E914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0C5B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B828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9748A">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D1D0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4F3B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913E8">
            <w:pPr>
              <w:jc w:val="center"/>
            </w:pPr>
            <w:r>
              <w:rPr>
                <w:rFonts w:ascii="宋体" w:hAnsi="宋体" w:eastAsia="宋体"/>
                <w:sz w:val="16"/>
              </w:rPr>
              <w:t>得分</w:t>
            </w:r>
          </w:p>
        </w:tc>
      </w:tr>
      <w:tr w14:paraId="700ED6F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6145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E177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1662B">
            <w:pPr>
              <w:jc w:val="center"/>
            </w:pPr>
            <w:r>
              <w:rPr>
                <w:rFonts w:ascii="宋体" w:hAnsi="宋体" w:eastAsia="宋体"/>
                <w:sz w:val="16"/>
              </w:rPr>
              <w:t>检查粮库次数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C9A8E">
            <w:pPr>
              <w:jc w:val="center"/>
            </w:pPr>
            <w:r>
              <w:rPr>
                <w:rFonts w:ascii="宋体" w:hAnsi="宋体" w:eastAsia="宋体"/>
                <w:sz w:val="16"/>
              </w:rPr>
              <w:t>&gt;=120次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2F7FD">
            <w:pPr>
              <w:jc w:val="center"/>
            </w:pPr>
            <w:r>
              <w:rPr>
                <w:rFonts w:ascii="宋体" w:hAnsi="宋体" w:eastAsia="宋体"/>
                <w:sz w:val="16"/>
              </w:rPr>
              <w:t>军供站2024年工作计划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5BC2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FA0C8">
            <w:pPr>
              <w:jc w:val="center"/>
            </w:pPr>
            <w:r>
              <w:rPr>
                <w:rFonts w:ascii="宋体" w:hAnsi="宋体" w:eastAsia="宋体"/>
                <w:sz w:val="16"/>
              </w:rPr>
              <w:t>120次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9B314">
            <w:pPr>
              <w:jc w:val="center"/>
            </w:pPr>
            <w:r>
              <w:rPr>
                <w:rFonts w:ascii="宋体" w:hAnsi="宋体" w:eastAsia="宋体"/>
                <w:sz w:val="16"/>
              </w:rPr>
              <w:t>18</w:t>
            </w:r>
          </w:p>
        </w:tc>
      </w:tr>
      <w:tr w14:paraId="1397E5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89C8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16FD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157C7">
            <w:pPr>
              <w:jc w:val="center"/>
            </w:pPr>
            <w:r>
              <w:rPr>
                <w:rFonts w:ascii="宋体" w:hAnsi="宋体" w:eastAsia="宋体"/>
                <w:sz w:val="16"/>
              </w:rPr>
              <w:t>开展各类消防安全培训次数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96230">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2F869">
            <w:pPr>
              <w:jc w:val="center"/>
            </w:pPr>
            <w:r>
              <w:rPr>
                <w:rFonts w:ascii="宋体" w:hAnsi="宋体" w:eastAsia="宋体"/>
                <w:sz w:val="16"/>
              </w:rPr>
              <w:t>军供站2024年工作计划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9527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F27F9">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61848">
            <w:pPr>
              <w:jc w:val="center"/>
            </w:pPr>
            <w:r>
              <w:rPr>
                <w:rFonts w:ascii="宋体" w:hAnsi="宋体" w:eastAsia="宋体"/>
                <w:sz w:val="16"/>
              </w:rPr>
              <w:t>18</w:t>
            </w:r>
          </w:p>
        </w:tc>
      </w:tr>
      <w:tr w14:paraId="4522D9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A8EB8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59F9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0852D">
            <w:pPr>
              <w:jc w:val="center"/>
            </w:pPr>
            <w:r>
              <w:rPr>
                <w:rFonts w:ascii="宋体" w:hAnsi="宋体" w:eastAsia="宋体"/>
                <w:sz w:val="16"/>
              </w:rPr>
              <w:t>全年供粮次数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528E2">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F1330">
            <w:pPr>
              <w:jc w:val="center"/>
            </w:pPr>
            <w:r>
              <w:rPr>
                <w:rFonts w:ascii="宋体" w:hAnsi="宋体" w:eastAsia="宋体"/>
                <w:sz w:val="16"/>
              </w:rPr>
              <w:t>军供站2024年工作计划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3990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86321">
            <w:pPr>
              <w:jc w:val="center"/>
            </w:pPr>
            <w:r>
              <w:rPr>
                <w:rFonts w:ascii="宋体" w:hAnsi="宋体" w:eastAsia="宋体"/>
                <w:sz w:val="16"/>
              </w:rPr>
              <w:t>16次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2B990">
            <w:pPr>
              <w:jc w:val="center"/>
            </w:pPr>
            <w:r>
              <w:rPr>
                <w:rFonts w:ascii="宋体" w:hAnsi="宋体" w:eastAsia="宋体"/>
                <w:sz w:val="16"/>
              </w:rPr>
              <w:t>18</w:t>
            </w:r>
          </w:p>
        </w:tc>
      </w:tr>
      <w:tr w14:paraId="2B1FC4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F999A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83DB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BAB51">
            <w:pPr>
              <w:jc w:val="center"/>
            </w:pPr>
            <w:r>
              <w:rPr>
                <w:rFonts w:ascii="宋体" w:hAnsi="宋体" w:eastAsia="宋体"/>
                <w:sz w:val="16"/>
              </w:rPr>
              <w:t>重大质量安全事故发生数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6B807">
            <w:pPr>
              <w:jc w:val="center"/>
            </w:pPr>
            <w:r>
              <w:rPr>
                <w:rFonts w:ascii="宋体" w:hAnsi="宋体" w:eastAsia="宋体"/>
                <w:sz w:val="16"/>
              </w:rPr>
              <w:t>=0个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5B0FC">
            <w:pPr>
              <w:jc w:val="center"/>
            </w:pPr>
            <w:r>
              <w:rPr>
                <w:rFonts w:ascii="宋体" w:hAnsi="宋体" w:eastAsia="宋体"/>
                <w:sz w:val="16"/>
              </w:rPr>
              <w:t>军供站2024年工作计划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B136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C913F">
            <w:pPr>
              <w:jc w:val="center"/>
            </w:pPr>
            <w:r>
              <w:rPr>
                <w:rFonts w:ascii="宋体" w:hAnsi="宋体" w:eastAsia="宋体"/>
                <w:sz w:val="16"/>
              </w:rPr>
              <w:t>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67E72">
            <w:pPr>
              <w:jc w:val="center"/>
            </w:pPr>
            <w:r>
              <w:rPr>
                <w:rFonts w:ascii="宋体" w:hAnsi="宋体" w:eastAsia="宋体"/>
                <w:sz w:val="16"/>
              </w:rPr>
              <w:t>18</w:t>
            </w:r>
          </w:p>
        </w:tc>
      </w:tr>
      <w:tr w14:paraId="0A731D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FF7AF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8738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174CD">
            <w:pPr>
              <w:jc w:val="center"/>
            </w:pPr>
            <w:r>
              <w:rPr>
                <w:rFonts w:ascii="宋体" w:hAnsi="宋体" w:eastAsia="宋体"/>
                <w:sz w:val="16"/>
              </w:rPr>
              <w:t>粮食质量安全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A16C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08F1A">
            <w:pPr>
              <w:jc w:val="center"/>
            </w:pPr>
            <w:r>
              <w:rPr>
                <w:rFonts w:ascii="宋体" w:hAnsi="宋体" w:eastAsia="宋体"/>
                <w:sz w:val="16"/>
              </w:rPr>
              <w:t>军供站2024年工作计划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0B98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20F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BF2DA">
            <w:pPr>
              <w:jc w:val="center"/>
            </w:pPr>
            <w:r>
              <w:rPr>
                <w:rFonts w:ascii="宋体" w:hAnsi="宋体" w:eastAsia="宋体"/>
                <w:sz w:val="16"/>
              </w:rPr>
              <w:t>18</w:t>
            </w:r>
          </w:p>
        </w:tc>
      </w:tr>
    </w:tbl>
    <w:p w14:paraId="37426D3B">
      <w:r>
        <w:br w:type="page"/>
      </w:r>
    </w:p>
    <w:p w14:paraId="5EA41DE1">
      <w:pPr>
        <w:spacing w:line="640" w:lineRule="exact"/>
        <w:ind w:firstLine="640"/>
        <w:jc w:val="both"/>
        <w:outlineLvl w:val="2"/>
      </w:pPr>
      <w:r>
        <w:rPr>
          <w:rFonts w:ascii="黑体" w:hAnsi="黑体" w:eastAsia="黑体"/>
          <w:sz w:val="32"/>
        </w:rPr>
        <w:t>十二、其他需说明的事项</w:t>
      </w:r>
    </w:p>
    <w:p w14:paraId="6214596E">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AD57E36">
      <w:r>
        <w:br w:type="page"/>
      </w:r>
    </w:p>
    <w:p w14:paraId="0BA18550">
      <w:pPr>
        <w:spacing w:line="240" w:lineRule="auto"/>
        <w:jc w:val="center"/>
        <w:outlineLvl w:val="1"/>
      </w:pPr>
      <w:r>
        <w:rPr>
          <w:rFonts w:ascii="黑体" w:hAnsi="黑体" w:eastAsia="黑体"/>
          <w:sz w:val="32"/>
        </w:rPr>
        <w:t>第三部分 专业名词解释</w:t>
      </w:r>
    </w:p>
    <w:p w14:paraId="68061C0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018EB4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393A68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1C5D40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4D0DA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6846FC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152326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F024F1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A1641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04BA8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42860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A543B8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34833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1E3DB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B208135">
      <w:r>
        <w:br w:type="page"/>
      </w:r>
    </w:p>
    <w:p w14:paraId="057DD215">
      <w:pPr>
        <w:spacing w:line="240" w:lineRule="auto"/>
        <w:jc w:val="center"/>
        <w:outlineLvl w:val="1"/>
      </w:pPr>
      <w:r>
        <w:rPr>
          <w:rFonts w:ascii="黑体" w:hAnsi="黑体" w:eastAsia="黑体"/>
          <w:sz w:val="32"/>
        </w:rPr>
        <w:t>第四部分 部门决算报表（见附表）</w:t>
      </w:r>
    </w:p>
    <w:p w14:paraId="0CB4503A">
      <w:pPr>
        <w:spacing w:line="240" w:lineRule="auto"/>
        <w:ind w:firstLine="640"/>
        <w:jc w:val="both"/>
      </w:pPr>
      <w:r>
        <w:rPr>
          <w:rFonts w:ascii="仿宋_GB2312" w:hAnsi="仿宋_GB2312" w:eastAsia="仿宋_GB2312"/>
          <w:b w:val="0"/>
          <w:sz w:val="32"/>
        </w:rPr>
        <w:t>一、《收入支出决算总表》</w:t>
      </w:r>
    </w:p>
    <w:p w14:paraId="629CC681">
      <w:pPr>
        <w:spacing w:line="240" w:lineRule="auto"/>
        <w:ind w:firstLine="640"/>
        <w:jc w:val="both"/>
      </w:pPr>
      <w:r>
        <w:rPr>
          <w:rFonts w:ascii="仿宋_GB2312" w:hAnsi="仿宋_GB2312" w:eastAsia="仿宋_GB2312"/>
          <w:b w:val="0"/>
          <w:sz w:val="32"/>
        </w:rPr>
        <w:t>二、《收入决算表》</w:t>
      </w:r>
    </w:p>
    <w:p w14:paraId="20919E9C">
      <w:pPr>
        <w:spacing w:line="240" w:lineRule="auto"/>
        <w:ind w:firstLine="640"/>
        <w:jc w:val="both"/>
      </w:pPr>
      <w:r>
        <w:rPr>
          <w:rFonts w:ascii="仿宋_GB2312" w:hAnsi="仿宋_GB2312" w:eastAsia="仿宋_GB2312"/>
          <w:b w:val="0"/>
          <w:sz w:val="32"/>
        </w:rPr>
        <w:t>三、《支出决算表》</w:t>
      </w:r>
    </w:p>
    <w:p w14:paraId="62BA4B09">
      <w:pPr>
        <w:spacing w:line="240" w:lineRule="auto"/>
        <w:ind w:firstLine="640"/>
        <w:jc w:val="both"/>
      </w:pPr>
      <w:r>
        <w:rPr>
          <w:rFonts w:ascii="仿宋_GB2312" w:hAnsi="仿宋_GB2312" w:eastAsia="仿宋_GB2312"/>
          <w:b w:val="0"/>
          <w:sz w:val="32"/>
        </w:rPr>
        <w:t>四、《财政拨款收入支出决算总表》</w:t>
      </w:r>
    </w:p>
    <w:p w14:paraId="4037B731">
      <w:pPr>
        <w:spacing w:line="240" w:lineRule="auto"/>
        <w:ind w:firstLine="640"/>
        <w:jc w:val="both"/>
      </w:pPr>
      <w:r>
        <w:rPr>
          <w:rFonts w:ascii="仿宋_GB2312" w:hAnsi="仿宋_GB2312" w:eastAsia="仿宋_GB2312"/>
          <w:b w:val="0"/>
          <w:sz w:val="32"/>
        </w:rPr>
        <w:t>五、《一般公共预算财政拨款支出决算表》</w:t>
      </w:r>
    </w:p>
    <w:p w14:paraId="425C4FA9">
      <w:pPr>
        <w:spacing w:line="240" w:lineRule="auto"/>
        <w:ind w:firstLine="640"/>
        <w:jc w:val="both"/>
      </w:pPr>
      <w:r>
        <w:rPr>
          <w:rFonts w:ascii="仿宋_GB2312" w:hAnsi="仿宋_GB2312" w:eastAsia="仿宋_GB2312"/>
          <w:b w:val="0"/>
          <w:sz w:val="32"/>
        </w:rPr>
        <w:t>六、《一般公共预算财政拨款基本支出决算表》</w:t>
      </w:r>
    </w:p>
    <w:p w14:paraId="61A2AF71">
      <w:pPr>
        <w:spacing w:line="240" w:lineRule="auto"/>
        <w:ind w:firstLine="640"/>
        <w:jc w:val="both"/>
      </w:pPr>
      <w:r>
        <w:rPr>
          <w:rFonts w:ascii="仿宋_GB2312" w:hAnsi="仿宋_GB2312" w:eastAsia="仿宋_GB2312"/>
          <w:b w:val="0"/>
          <w:sz w:val="32"/>
        </w:rPr>
        <w:t>七、《政府性基金预算财政拨款收入支出决算表》</w:t>
      </w:r>
    </w:p>
    <w:p w14:paraId="4C56F9E8">
      <w:pPr>
        <w:spacing w:line="240" w:lineRule="auto"/>
        <w:ind w:firstLine="640"/>
        <w:jc w:val="both"/>
      </w:pPr>
      <w:r>
        <w:rPr>
          <w:rFonts w:ascii="仿宋_GB2312" w:hAnsi="仿宋_GB2312" w:eastAsia="仿宋_GB2312"/>
          <w:b w:val="0"/>
          <w:sz w:val="32"/>
        </w:rPr>
        <w:t>八、《国有资本经营预算财政拨款收入支出决算表》</w:t>
      </w:r>
    </w:p>
    <w:p w14:paraId="7DC4C70E">
      <w:pPr>
        <w:spacing w:line="240" w:lineRule="auto"/>
        <w:ind w:firstLine="640"/>
        <w:jc w:val="both"/>
      </w:pPr>
      <w:r>
        <w:rPr>
          <w:rFonts w:ascii="仿宋_GB2312" w:hAnsi="仿宋_GB2312" w:eastAsia="仿宋_GB2312"/>
          <w:b w:val="0"/>
          <w:sz w:val="32"/>
        </w:rPr>
        <w:t>九、《财政拨款“三公”经费支出决算表》</w:t>
      </w:r>
    </w:p>
    <w:p w14:paraId="247E5A29">
      <w:pPr>
        <w:spacing w:line="240" w:lineRule="auto"/>
        <w:ind w:firstLine="640"/>
        <w:jc w:val="both"/>
      </w:pPr>
    </w:p>
    <w:p w14:paraId="43DD7191">
      <w:pPr>
        <w:spacing w:line="240" w:lineRule="auto"/>
        <w:ind w:firstLine="640"/>
        <w:jc w:val="both"/>
      </w:pPr>
    </w:p>
    <w:p w14:paraId="7F1BD301">
      <w:pPr>
        <w:spacing w:line="240" w:lineRule="auto"/>
        <w:ind w:firstLine="640"/>
        <w:jc w:val="both"/>
      </w:pPr>
    </w:p>
    <w:p w14:paraId="6BD97138">
      <w:pPr>
        <w:spacing w:line="240" w:lineRule="auto"/>
        <w:ind w:firstLine="640"/>
        <w:jc w:val="both"/>
      </w:pPr>
    </w:p>
    <w:p w14:paraId="27D4578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7B0481-3B3E-4A09-B499-657233F013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A5A7F17-AFA6-4631-A60F-52BC1D148149}"/>
  </w:font>
  <w:font w:name="仿宋_GB2312">
    <w:altName w:val="仿宋"/>
    <w:panose1 w:val="02010609030101010101"/>
    <w:charset w:val="86"/>
    <w:family w:val="modern"/>
    <w:pitch w:val="default"/>
    <w:sig w:usb0="00000000" w:usb1="00000000" w:usb2="00000000" w:usb3="00000000" w:csb0="00040000" w:csb1="00000000"/>
    <w:embedRegular r:id="rId3" w:fontKey="{D734A826-9DFC-4F99-AC5A-A88ED23A4A67}"/>
  </w:font>
  <w:font w:name="楷体_GB2312">
    <w:altName w:val="楷体"/>
    <w:panose1 w:val="00000000000000000000"/>
    <w:charset w:val="00"/>
    <w:family w:val="auto"/>
    <w:pitch w:val="default"/>
    <w:sig w:usb0="00000000" w:usb1="00000000" w:usb2="00000000" w:usb3="00000000" w:csb0="00000000" w:csb1="00000000"/>
    <w:embedRegular r:id="rId4" w:fontKey="{8C1FD9D4-C576-4D72-A316-DC48E8EC0A5E}"/>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A20D71"/>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71755"/>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5685</Words>
  <Characters>6410</Characters>
  <Lines>0</Lines>
  <Paragraphs>0</Paragraphs>
  <TotalTime>8</TotalTime>
  <ScaleCrop>false</ScaleCrop>
  <LinksUpToDate>false</LinksUpToDate>
  <CharactersWithSpaces>6420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2025-10-31T11:09:54Z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