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F5A6C8">
      <w:r>
        <w:br w:type="page"/>
      </w:r>
    </w:p>
    <w:p w14:paraId="017A50A7">
      <w:pPr>
        <w:spacing w:line="640" w:lineRule="exact"/>
        <w:jc w:val="center"/>
        <w:outlineLvl w:val="1"/>
      </w:pPr>
      <w:r>
        <w:rPr>
          <w:rFonts w:ascii="黑体" w:hAnsi="黑体" w:eastAsia="黑体"/>
          <w:sz w:val="32"/>
        </w:rPr>
        <w:t>第一部分 单位概况</w:t>
      </w:r>
    </w:p>
    <w:p w14:paraId="47FE3C4A">
      <w:pPr>
        <w:spacing w:line="640" w:lineRule="exact"/>
        <w:ind w:firstLine="640"/>
        <w:jc w:val="both"/>
        <w:outlineLvl w:val="2"/>
      </w:pPr>
      <w:r>
        <w:rPr>
          <w:rFonts w:ascii="黑体" w:hAnsi="黑体" w:eastAsia="黑体"/>
          <w:sz w:val="32"/>
        </w:rPr>
        <w:t>一、主要职能</w:t>
      </w:r>
    </w:p>
    <w:p w14:paraId="0553473B">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贯彻落实党和政府有关农村经济和社会发展的方针、政策和法规研究制定全县供销社和</w:t>
      </w:r>
      <w:r>
        <w:rPr>
          <w:rFonts w:hint="eastAsia" w:ascii="仿宋_GB2312" w:hAnsi="仿宋_GB2312" w:eastAsia="仿宋_GB2312"/>
          <w:sz w:val="32"/>
          <w:lang w:eastAsia="zh-CN"/>
        </w:rPr>
        <w:t>农村集体经济组织</w:t>
      </w:r>
      <w:r>
        <w:rPr>
          <w:rFonts w:ascii="仿宋_GB2312" w:hAnsi="仿宋_GB2312" w:eastAsia="仿宋_GB2312"/>
          <w:sz w:val="32"/>
        </w:rPr>
        <w:t>发展计划和发展规划。</w:t>
      </w:r>
    </w:p>
    <w:p w14:paraId="0364AC22">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对托里县供销社合作社的社有资产行使出资人代表和管理职能、监督社有资产保值增值。</w:t>
      </w:r>
    </w:p>
    <w:p w14:paraId="72BE832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负责有关农村流通体制改革，发展和完善农业生产资料，农副产品，日用消费品，再生资源等新农村现代流通</w:t>
      </w:r>
      <w:r>
        <w:rPr>
          <w:rFonts w:hint="eastAsia" w:ascii="仿宋_GB2312" w:hAnsi="仿宋_GB2312" w:eastAsia="仿宋_GB2312"/>
          <w:sz w:val="32"/>
          <w:lang w:eastAsia="zh-CN"/>
        </w:rPr>
        <w:t>网络促进</w:t>
      </w:r>
      <w:r>
        <w:rPr>
          <w:rFonts w:ascii="仿宋_GB2312" w:hAnsi="仿宋_GB2312" w:eastAsia="仿宋_GB2312"/>
          <w:sz w:val="32"/>
        </w:rPr>
        <w:t>工业品与农产品双向流通。</w:t>
      </w:r>
    </w:p>
    <w:p w14:paraId="1A6EE7C5">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按照县人民政府授权，负责对农业生产资料、农副产品、日用消费品、烟花爆竹和再生资源的组织、协调和经营管理，负责棉花，化肥，农药、连销茶等重要物资的县级储备。</w:t>
      </w:r>
      <w:bookmarkStart w:id="0" w:name="_GoBack"/>
      <w:bookmarkEnd w:id="0"/>
    </w:p>
    <w:p w14:paraId="388F39F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贯彻落实《中华人民共和国农民专业合作社法》等法律法规，引领创办农民专业合作社，建立综合服务社，建设乡镇基层供销社，维护供销社及社办企业，</w:t>
      </w:r>
      <w:r>
        <w:rPr>
          <w:rFonts w:hint="eastAsia" w:ascii="仿宋_GB2312" w:hAnsi="仿宋_GB2312" w:eastAsia="仿宋_GB2312"/>
          <w:sz w:val="32"/>
          <w:lang w:eastAsia="zh-CN"/>
        </w:rPr>
        <w:t>农村集体经济组织</w:t>
      </w:r>
      <w:r>
        <w:rPr>
          <w:rFonts w:ascii="仿宋_GB2312" w:hAnsi="仿宋_GB2312" w:eastAsia="仿宋_GB2312"/>
          <w:sz w:val="32"/>
        </w:rPr>
        <w:t>和全体社员的合法权益。</w:t>
      </w:r>
    </w:p>
    <w:p w14:paraId="431CEDBD">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承办托里县委、县人民政府、上级供销合作社交办的其他事项工作。</w:t>
      </w:r>
    </w:p>
    <w:p w14:paraId="19D9B985">
      <w:pPr>
        <w:spacing w:line="640" w:lineRule="exact"/>
        <w:ind w:firstLine="640"/>
        <w:jc w:val="both"/>
        <w:outlineLvl w:val="2"/>
      </w:pPr>
      <w:r>
        <w:rPr>
          <w:rFonts w:ascii="黑体" w:hAnsi="黑体" w:eastAsia="黑体"/>
          <w:sz w:val="32"/>
        </w:rPr>
        <w:t>二、机构设置及人员情况</w:t>
      </w:r>
    </w:p>
    <w:p w14:paraId="0624319B">
      <w:pPr>
        <w:spacing w:line="580" w:lineRule="exact"/>
        <w:ind w:firstLine="640"/>
        <w:jc w:val="both"/>
      </w:pPr>
      <w:r>
        <w:rPr>
          <w:rFonts w:ascii="仿宋_GB2312" w:hAnsi="仿宋_GB2312" w:eastAsia="仿宋_GB2312"/>
          <w:sz w:val="32"/>
        </w:rPr>
        <w:t>托里县供销合作社联合社2024年度，实有人数21人，其中：在职人员8人，增加0人；离休人员0人，增加0人；退休人员13人,增加0人。</w:t>
      </w:r>
    </w:p>
    <w:p w14:paraId="76B9AB48">
      <w:pPr>
        <w:spacing w:line="580" w:lineRule="exact"/>
        <w:ind w:firstLine="640"/>
        <w:jc w:val="both"/>
      </w:pPr>
      <w:r>
        <w:rPr>
          <w:rFonts w:ascii="仿宋_GB2312" w:hAnsi="仿宋_GB2312" w:eastAsia="仿宋_GB2312"/>
          <w:sz w:val="32"/>
        </w:rPr>
        <w:t>托里县供销合作社联合社无下属预算单位，下设2个科室，分别是：办公室、财务室。</w:t>
      </w:r>
    </w:p>
    <w:p w14:paraId="6CD025C0">
      <w:r>
        <w:br w:type="page"/>
      </w:r>
    </w:p>
    <w:p w14:paraId="60653233">
      <w:pPr>
        <w:spacing w:line="240" w:lineRule="auto"/>
        <w:jc w:val="center"/>
        <w:outlineLvl w:val="1"/>
      </w:pPr>
      <w:r>
        <w:rPr>
          <w:rFonts w:ascii="黑体" w:hAnsi="黑体" w:eastAsia="黑体"/>
          <w:sz w:val="32"/>
        </w:rPr>
        <w:t>第二部分 部门决算情况说明</w:t>
      </w:r>
    </w:p>
    <w:p w14:paraId="69E189F6">
      <w:pPr>
        <w:spacing w:line="640" w:lineRule="exact"/>
        <w:ind w:firstLine="640"/>
        <w:jc w:val="both"/>
        <w:outlineLvl w:val="2"/>
      </w:pPr>
      <w:r>
        <w:rPr>
          <w:rFonts w:ascii="黑体" w:hAnsi="黑体" w:eastAsia="黑体"/>
          <w:sz w:val="32"/>
        </w:rPr>
        <w:t>一、收入支出决算总体情况说明</w:t>
      </w:r>
    </w:p>
    <w:p w14:paraId="7FDEA50A">
      <w:pPr>
        <w:spacing w:line="580" w:lineRule="exact"/>
        <w:ind w:firstLine="640"/>
        <w:jc w:val="both"/>
      </w:pPr>
      <w:r>
        <w:rPr>
          <w:rFonts w:ascii="仿宋_GB2312" w:hAnsi="仿宋_GB2312" w:eastAsia="仿宋_GB2312"/>
          <w:b/>
          <w:sz w:val="32"/>
        </w:rPr>
        <w:t>2024年度收入总计146.21万元，</w:t>
      </w:r>
      <w:r>
        <w:rPr>
          <w:rFonts w:ascii="仿宋_GB2312" w:hAnsi="仿宋_GB2312" w:eastAsia="仿宋_GB2312"/>
          <w:b w:val="0"/>
          <w:sz w:val="32"/>
        </w:rPr>
        <w:t>其中：本年收入合计146.20万元，使用非财政拨款结余（含专用结余）0.00万元，年初结转和结余0.00万元。</w:t>
      </w:r>
    </w:p>
    <w:p w14:paraId="3F78E60C">
      <w:pPr>
        <w:spacing w:line="580" w:lineRule="exact"/>
        <w:ind w:firstLine="640"/>
        <w:jc w:val="both"/>
      </w:pPr>
      <w:r>
        <w:rPr>
          <w:rFonts w:ascii="仿宋_GB2312" w:hAnsi="仿宋_GB2312" w:eastAsia="仿宋_GB2312"/>
          <w:b/>
          <w:sz w:val="32"/>
        </w:rPr>
        <w:t>2024年度支出总计146.21万元，</w:t>
      </w:r>
      <w:r>
        <w:rPr>
          <w:rFonts w:ascii="仿宋_GB2312" w:hAnsi="仿宋_GB2312" w:eastAsia="仿宋_GB2312"/>
          <w:b w:val="0"/>
          <w:sz w:val="32"/>
        </w:rPr>
        <w:t>其中：本年支出合计146.20万元，结余分配0.00万元，年末结转和结余0.01万元。</w:t>
      </w:r>
    </w:p>
    <w:p w14:paraId="5EC981E3">
      <w:pPr>
        <w:spacing w:line="580" w:lineRule="exact"/>
        <w:ind w:firstLine="640"/>
        <w:jc w:val="both"/>
      </w:pPr>
      <w:r>
        <w:rPr>
          <w:rFonts w:ascii="仿宋_GB2312" w:hAnsi="仿宋_GB2312" w:eastAsia="仿宋_GB2312"/>
          <w:b w:val="0"/>
          <w:sz w:val="32"/>
        </w:rPr>
        <w:t>收入支出总体与上年相比，增加28.11万元，增长23.80%，主要原因是：本年在职人员工资基数调增，相关人员经费增加；本年补发人员2024年7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12月基本工资调标及13月工资调增部分，补发2017年绩效、2020年下半年绩效及2023年考核奖，导致经费较上年增加。</w:t>
      </w:r>
    </w:p>
    <w:p w14:paraId="38507C7F">
      <w:pPr>
        <w:spacing w:line="640" w:lineRule="exact"/>
        <w:ind w:firstLine="640"/>
        <w:jc w:val="both"/>
        <w:outlineLvl w:val="2"/>
      </w:pPr>
      <w:r>
        <w:rPr>
          <w:rFonts w:ascii="黑体" w:hAnsi="黑体" w:eastAsia="黑体"/>
          <w:sz w:val="32"/>
        </w:rPr>
        <w:t>二、收入决算情况说明</w:t>
      </w:r>
    </w:p>
    <w:p w14:paraId="60AB3A11">
      <w:pPr>
        <w:spacing w:line="580" w:lineRule="exact"/>
        <w:ind w:firstLine="640"/>
        <w:jc w:val="both"/>
      </w:pPr>
      <w:r>
        <w:rPr>
          <w:rFonts w:ascii="仿宋_GB2312" w:hAnsi="仿宋_GB2312" w:eastAsia="仿宋_GB2312"/>
          <w:b/>
          <w:sz w:val="32"/>
        </w:rPr>
        <w:t>本年收入146.20万元，</w:t>
      </w:r>
      <w:r>
        <w:rPr>
          <w:rFonts w:ascii="仿宋_GB2312" w:hAnsi="仿宋_GB2312" w:eastAsia="仿宋_GB2312"/>
          <w:b w:val="0"/>
          <w:sz w:val="32"/>
        </w:rPr>
        <w:t>其中：财政拨款收入146.20万元，占100.00%；上级补助收入0.00万元，占0.00%；事业收入0.00万元，占0.00%；经营收入0.00万元，占0.00%；附属单位上缴收入0.00万元，占0.00%；其他收入0.00万元，占0.00%。</w:t>
      </w:r>
    </w:p>
    <w:p w14:paraId="7DEF8D18">
      <w:pPr>
        <w:spacing w:line="640" w:lineRule="exact"/>
        <w:ind w:firstLine="640"/>
        <w:jc w:val="both"/>
        <w:outlineLvl w:val="2"/>
      </w:pPr>
      <w:r>
        <w:rPr>
          <w:rFonts w:ascii="黑体" w:hAnsi="黑体" w:eastAsia="黑体"/>
          <w:sz w:val="32"/>
        </w:rPr>
        <w:t>三、支出决算情况说明</w:t>
      </w:r>
    </w:p>
    <w:p w14:paraId="38CD31CA">
      <w:pPr>
        <w:spacing w:line="580" w:lineRule="exact"/>
        <w:ind w:firstLine="640"/>
        <w:jc w:val="both"/>
      </w:pPr>
      <w:r>
        <w:rPr>
          <w:rFonts w:ascii="仿宋_GB2312" w:hAnsi="仿宋_GB2312" w:eastAsia="仿宋_GB2312"/>
          <w:b/>
          <w:sz w:val="32"/>
        </w:rPr>
        <w:t>本年支出146.20万元，</w:t>
      </w:r>
      <w:r>
        <w:rPr>
          <w:rFonts w:ascii="仿宋_GB2312" w:hAnsi="仿宋_GB2312" w:eastAsia="仿宋_GB2312"/>
          <w:b w:val="0"/>
          <w:sz w:val="32"/>
        </w:rPr>
        <w:t>其中：基本支出146.20万元，占100.00%；项目支出0.00万元，占0.00%；上缴上级支出0.00万元，占0.00%；经营支出0.00万元，占0.00%；对附属单位补助支出0.00万元，占0.00%。</w:t>
      </w:r>
    </w:p>
    <w:p w14:paraId="542ED1A4">
      <w:pPr>
        <w:spacing w:line="640" w:lineRule="exact"/>
        <w:ind w:firstLine="640"/>
        <w:jc w:val="both"/>
        <w:outlineLvl w:val="2"/>
      </w:pPr>
      <w:r>
        <w:rPr>
          <w:rFonts w:ascii="黑体" w:hAnsi="黑体" w:eastAsia="黑体"/>
          <w:sz w:val="32"/>
        </w:rPr>
        <w:t>四、财政拨款收入支出决算总体情况说明</w:t>
      </w:r>
    </w:p>
    <w:p w14:paraId="356E4652">
      <w:pPr>
        <w:spacing w:line="580" w:lineRule="exact"/>
        <w:ind w:firstLine="640"/>
        <w:jc w:val="both"/>
      </w:pPr>
      <w:r>
        <w:rPr>
          <w:rFonts w:ascii="仿宋_GB2312" w:hAnsi="仿宋_GB2312" w:eastAsia="仿宋_GB2312"/>
          <w:b/>
          <w:sz w:val="32"/>
        </w:rPr>
        <w:t>2024年度财政拨款收入总计146.20万元，</w:t>
      </w:r>
      <w:r>
        <w:rPr>
          <w:rFonts w:ascii="仿宋_GB2312" w:hAnsi="仿宋_GB2312" w:eastAsia="仿宋_GB2312"/>
          <w:b w:val="0"/>
          <w:sz w:val="32"/>
        </w:rPr>
        <w:t>其中：年初财政拨款结转和结余0.00万元，本年财政拨款收入146.20万元。</w:t>
      </w:r>
      <w:r>
        <w:rPr>
          <w:rFonts w:ascii="仿宋_GB2312" w:hAnsi="仿宋_GB2312" w:eastAsia="仿宋_GB2312"/>
          <w:b/>
          <w:sz w:val="32"/>
        </w:rPr>
        <w:t>财政拨款支出总计146.20万元，</w:t>
      </w:r>
      <w:r>
        <w:rPr>
          <w:rFonts w:ascii="仿宋_GB2312" w:hAnsi="仿宋_GB2312" w:eastAsia="仿宋_GB2312"/>
          <w:b w:val="0"/>
          <w:sz w:val="32"/>
        </w:rPr>
        <w:t>其中：年末财政拨款结转和结余0.00万元，本年财政拨款支出146.20万元。</w:t>
      </w:r>
    </w:p>
    <w:p w14:paraId="13B04F0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增加28.11万元，增长23.80%，主要原因是：本年在职人员工资基数调增，相关人员经费增加；本年补发人员2024年7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12月基本工资调标及13月工资调增部分，补发2017年绩效、2020年下半年绩效及2023年考核奖，导致经费较上年增加。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年初预算数148.13万元，决算数146.20万元，预决算差异率-1.30%，主要原因是：严格落实中央八项规定精神，厉行节约，减少不必要的开支。</w:t>
      </w:r>
    </w:p>
    <w:p w14:paraId="2CC2F2F8">
      <w:pPr>
        <w:spacing w:line="640" w:lineRule="exact"/>
        <w:ind w:firstLine="640"/>
        <w:jc w:val="both"/>
        <w:outlineLvl w:val="2"/>
      </w:pPr>
      <w:r>
        <w:rPr>
          <w:rFonts w:ascii="黑体" w:hAnsi="黑体" w:eastAsia="黑体"/>
          <w:sz w:val="32"/>
        </w:rPr>
        <w:t>五、一般公共预算财政拨款支出决算情况说明</w:t>
      </w:r>
    </w:p>
    <w:p w14:paraId="2E2CC3D6">
      <w:pPr>
        <w:spacing w:line="640" w:lineRule="exact"/>
        <w:ind w:firstLine="640"/>
        <w:jc w:val="both"/>
        <w:outlineLvl w:val="3"/>
      </w:pPr>
      <w:r>
        <w:rPr>
          <w:rFonts w:ascii="楷体_GB2312" w:hAnsi="楷体_GB2312" w:eastAsia="楷体_GB2312"/>
          <w:b/>
          <w:sz w:val="32"/>
        </w:rPr>
        <w:t>（一）一般公共预算财政拨款支出决算总体情况</w:t>
      </w:r>
    </w:p>
    <w:p w14:paraId="0715AD98">
      <w:pPr>
        <w:spacing w:line="580" w:lineRule="exact"/>
        <w:ind w:firstLine="640"/>
        <w:jc w:val="both"/>
      </w:pPr>
      <w:r>
        <w:rPr>
          <w:rFonts w:ascii="仿宋_GB2312" w:hAnsi="仿宋_GB2312" w:eastAsia="仿宋_GB2312"/>
          <w:b/>
          <w:sz w:val="32"/>
        </w:rPr>
        <w:t>2024年度一般公共预算财政拨款支出146.20万元，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增加28.11万元，增长23.80%，主要原因是：本年在职人员工资基数调增，相关人员经费增加；本年补发人员2024年7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12月基本工资调标及13月工资调增部分，补发2017年绩效、2020年下半年绩效及2023年考核奖，导致经费较上年增加。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年初预算数148.13万元，决算数146.20万元，预决算差异率-1.30%，主要原因是：严格落实中央八项规定精神，厉行节约，减少不必要的开支。</w:t>
      </w:r>
    </w:p>
    <w:p w14:paraId="76565D0C">
      <w:pPr>
        <w:spacing w:line="640" w:lineRule="exact"/>
        <w:ind w:firstLine="640"/>
        <w:jc w:val="both"/>
        <w:outlineLvl w:val="3"/>
      </w:pPr>
      <w:r>
        <w:rPr>
          <w:rFonts w:ascii="楷体_GB2312" w:hAnsi="楷体_GB2312" w:eastAsia="楷体_GB2312"/>
          <w:b/>
          <w:sz w:val="32"/>
        </w:rPr>
        <w:t>（二）一般公共预算财政拨款支出决算结构情况</w:t>
      </w:r>
    </w:p>
    <w:p w14:paraId="6E3C19CF">
      <w:pPr>
        <w:spacing w:line="580" w:lineRule="exact"/>
        <w:ind w:firstLine="640"/>
        <w:jc w:val="both"/>
      </w:pPr>
      <w:r>
        <w:rPr>
          <w:rFonts w:ascii="仿宋_GB2312" w:hAnsi="仿宋_GB2312" w:eastAsia="仿宋_GB2312"/>
          <w:b w:val="0"/>
          <w:sz w:val="32"/>
        </w:rPr>
        <w:t>1.社会保障和就业支出(类)23.14万元,占15.83%。</w:t>
      </w:r>
    </w:p>
    <w:p w14:paraId="446AF6AC">
      <w:pPr>
        <w:spacing w:line="580" w:lineRule="exact"/>
        <w:ind w:firstLine="640"/>
        <w:jc w:val="both"/>
      </w:pPr>
      <w:r>
        <w:rPr>
          <w:rFonts w:ascii="仿宋_GB2312" w:hAnsi="仿宋_GB2312" w:eastAsia="仿宋_GB2312"/>
          <w:b w:val="0"/>
          <w:sz w:val="32"/>
        </w:rPr>
        <w:t>2.卫生健康支出(类)5.60万元,占3.83%。</w:t>
      </w:r>
    </w:p>
    <w:p w14:paraId="57CB90EA">
      <w:pPr>
        <w:spacing w:line="580" w:lineRule="exact"/>
        <w:ind w:firstLine="640"/>
        <w:jc w:val="both"/>
      </w:pPr>
      <w:r>
        <w:rPr>
          <w:rFonts w:ascii="仿宋_GB2312" w:hAnsi="仿宋_GB2312" w:eastAsia="仿宋_GB2312"/>
          <w:b w:val="0"/>
          <w:sz w:val="32"/>
        </w:rPr>
        <w:t>3.商业服务业等支出(类)106.75万元,占73.02%。</w:t>
      </w:r>
    </w:p>
    <w:p w14:paraId="6D7E8CDA">
      <w:pPr>
        <w:spacing w:line="580" w:lineRule="exact"/>
        <w:ind w:firstLine="640"/>
        <w:jc w:val="both"/>
      </w:pPr>
      <w:r>
        <w:rPr>
          <w:rFonts w:ascii="仿宋_GB2312" w:hAnsi="仿宋_GB2312" w:eastAsia="仿宋_GB2312"/>
          <w:b w:val="0"/>
          <w:sz w:val="32"/>
        </w:rPr>
        <w:t>4.住房保障支出(类)10.72万元,占7.33%。</w:t>
      </w:r>
    </w:p>
    <w:p w14:paraId="016ED429">
      <w:pPr>
        <w:spacing w:line="640" w:lineRule="exact"/>
        <w:ind w:firstLine="640"/>
        <w:jc w:val="both"/>
        <w:outlineLvl w:val="3"/>
      </w:pPr>
      <w:r>
        <w:rPr>
          <w:rFonts w:ascii="楷体_GB2312" w:hAnsi="楷体_GB2312" w:eastAsia="楷体_GB2312"/>
          <w:b/>
          <w:sz w:val="32"/>
        </w:rPr>
        <w:t>（三）一般公共预算财政拨款支出决算具体情况</w:t>
      </w:r>
    </w:p>
    <w:p w14:paraId="78078C9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1.社会保障和就业支出(类)行政事业单位养老支出(款)事业单位离退休(项):支出决算数为9.68万元，比上年决算增加2.52万元，增长35.20%,主要原因是：本年增加退休人员基础绩效奖，退休费支出增加。</w:t>
      </w:r>
    </w:p>
    <w:p w14:paraId="6C69C68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13.46万元，比上年决算增加2.71万元，增长25.21%,主要原因是：本年在职人员工资基数调增，养老缴费基数上涨，相应支出增加。</w:t>
      </w:r>
    </w:p>
    <w:p w14:paraId="10FFA65F">
      <w:pPr>
        <w:spacing w:line="580" w:lineRule="exact"/>
        <w:ind w:firstLine="640"/>
        <w:jc w:val="both"/>
      </w:pPr>
      <w:r>
        <w:rPr>
          <w:rFonts w:ascii="仿宋_GB2312" w:hAnsi="仿宋_GB2312" w:eastAsia="仿宋_GB2312"/>
          <w:b w:val="0"/>
          <w:sz w:val="32"/>
        </w:rPr>
        <w:t>3.卫生健康支出(类)行政事业单位医疗(款)事业单位医疗(项):支出决算数为5.60万元，比上年决算增加0.75万元，增长15.46%,主要原因是：本年在职人员工资基数调增，医疗缴费基数上涨，相应支出增加。</w:t>
      </w:r>
    </w:p>
    <w:p w14:paraId="5870EE55">
      <w:pPr>
        <w:spacing w:line="580" w:lineRule="exact"/>
        <w:ind w:firstLine="640"/>
        <w:jc w:val="both"/>
      </w:pPr>
      <w:r>
        <w:rPr>
          <w:rFonts w:ascii="仿宋_GB2312" w:hAnsi="仿宋_GB2312" w:eastAsia="仿宋_GB2312"/>
          <w:b w:val="0"/>
          <w:sz w:val="32"/>
        </w:rPr>
        <w:t>4.商业服务业等支出(类)商业流通事务(款)事业运行(项):支出决算数为106.75万元，比上年决算增加20.07万元，增长23.15%,主要原因是：本年在职人员工资基数调增，相关人员经费增加；本年补发人员2024年7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12月基本工资调标及13月工资调增部分，补发2017年绩效、2020年下半年绩效及2023年考核奖，导致经费较上年增加。</w:t>
      </w:r>
    </w:p>
    <w:p w14:paraId="4DFE2BAC">
      <w:pPr>
        <w:spacing w:line="580" w:lineRule="exact"/>
        <w:ind w:firstLine="640"/>
        <w:jc w:val="both"/>
      </w:pPr>
      <w:r>
        <w:rPr>
          <w:rFonts w:ascii="仿宋_GB2312" w:hAnsi="仿宋_GB2312" w:eastAsia="仿宋_GB2312"/>
          <w:b w:val="0"/>
          <w:sz w:val="32"/>
        </w:rPr>
        <w:t>5.住房保障支出(类)住房改革支出(款)住房公积金(项):支出决算数为10.72万元，比上年决算增加2.06万元，增长23.79%,主要原因是：本年在职人员工资基数调增，公积金缴费基数上涨，相应支出增加。</w:t>
      </w:r>
    </w:p>
    <w:p w14:paraId="779384A0">
      <w:pPr>
        <w:spacing w:line="640" w:lineRule="exact"/>
        <w:ind w:firstLine="640"/>
        <w:jc w:val="both"/>
        <w:outlineLvl w:val="2"/>
      </w:pPr>
      <w:r>
        <w:rPr>
          <w:rFonts w:ascii="黑体" w:hAnsi="黑体" w:eastAsia="黑体"/>
          <w:sz w:val="32"/>
        </w:rPr>
        <w:t>六、一般公共预算财政拨款基本支出决算情况说明</w:t>
      </w:r>
    </w:p>
    <w:p w14:paraId="52449DAF">
      <w:pPr>
        <w:spacing w:line="580" w:lineRule="exact"/>
        <w:ind w:firstLine="640"/>
        <w:jc w:val="both"/>
      </w:pPr>
      <w:r>
        <w:rPr>
          <w:rFonts w:ascii="仿宋_GB2312" w:hAnsi="仿宋_GB2312" w:eastAsia="仿宋_GB2312"/>
          <w:b w:val="0"/>
          <w:sz w:val="32"/>
        </w:rPr>
        <w:t>2024年度一般公共预算财政拨款基本支出146.20万元，其中：</w:t>
      </w:r>
      <w:r>
        <w:rPr>
          <w:rFonts w:ascii="仿宋_GB2312" w:hAnsi="仿宋_GB2312" w:eastAsia="仿宋_GB2312"/>
          <w:b/>
          <w:sz w:val="32"/>
        </w:rPr>
        <w:t>人员经费141.61万元，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包括：基本工资、津贴补贴、奖金、绩效工资、机关事业单位基本养老保险缴费、职工基本医疗保险缴费、其他社会保障缴费、住房公积金、退休费、生活补助、奖励金。</w:t>
      </w:r>
    </w:p>
    <w:p w14:paraId="3F06BAF7">
      <w:pPr>
        <w:spacing w:line="580" w:lineRule="exact"/>
        <w:ind w:firstLine="640"/>
        <w:jc w:val="both"/>
      </w:pPr>
      <w:r>
        <w:rPr>
          <w:rFonts w:ascii="仿宋_GB2312" w:hAnsi="仿宋_GB2312" w:eastAsia="仿宋_GB2312"/>
          <w:b/>
          <w:sz w:val="32"/>
        </w:rPr>
        <w:t>公用经费4.59万元，</w:t>
      </w:r>
      <w:r>
        <w:rPr>
          <w:rFonts w:ascii="仿宋_GB2312" w:hAnsi="仿宋_GB2312" w:eastAsia="仿宋_GB2312"/>
          <w:b w:val="0"/>
          <w:sz w:val="32"/>
        </w:rPr>
        <w:t>包括：办公费、印刷费、邮电费、取暖费、差旅费、维修（护）费、培训费、工会经费、办公设备购置。</w:t>
      </w:r>
    </w:p>
    <w:p w14:paraId="3F555EA9">
      <w:pPr>
        <w:spacing w:line="640" w:lineRule="exact"/>
        <w:ind w:firstLine="640"/>
        <w:jc w:val="both"/>
        <w:outlineLvl w:val="2"/>
      </w:pPr>
      <w:r>
        <w:rPr>
          <w:rFonts w:ascii="黑体" w:hAnsi="黑体" w:eastAsia="黑体"/>
          <w:sz w:val="32"/>
        </w:rPr>
        <w:t>七、政府性基金预算财政拨款收入支出决算情况说明</w:t>
      </w:r>
    </w:p>
    <w:p w14:paraId="11A41BA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54057F9">
      <w:pPr>
        <w:spacing w:line="640" w:lineRule="exact"/>
        <w:ind w:firstLine="640"/>
        <w:jc w:val="both"/>
        <w:outlineLvl w:val="2"/>
      </w:pPr>
      <w:r>
        <w:rPr>
          <w:rFonts w:ascii="黑体" w:hAnsi="黑体" w:eastAsia="黑体"/>
          <w:sz w:val="32"/>
        </w:rPr>
        <w:t>八、国有资本经营预算财政拨款收入支出决算情况说明</w:t>
      </w:r>
    </w:p>
    <w:p w14:paraId="1562594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7CFB80B">
      <w:pPr>
        <w:spacing w:line="640" w:lineRule="exact"/>
        <w:ind w:firstLine="640"/>
        <w:jc w:val="both"/>
        <w:outlineLvl w:val="2"/>
      </w:pPr>
      <w:r>
        <w:rPr>
          <w:rFonts w:ascii="黑体" w:hAnsi="黑体" w:eastAsia="黑体"/>
          <w:sz w:val="32"/>
        </w:rPr>
        <w:t>九、财政拨款“三公”经费支出决算情况说明</w:t>
      </w:r>
    </w:p>
    <w:p w14:paraId="7CF5B6D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0.05万元，下降100.00%，主要原因是：严格落实中央八项规定精神，厉行节约，减少公务接待费。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减少0.05万元，下降100.00%，主要原因是：严格落实中央八项规定精神，厉行节约，减少公务接待费。</w:t>
      </w:r>
    </w:p>
    <w:p w14:paraId="14F4DD30">
      <w:pPr>
        <w:spacing w:line="580" w:lineRule="exact"/>
        <w:ind w:firstLine="640"/>
        <w:jc w:val="both"/>
      </w:pPr>
      <w:r>
        <w:rPr>
          <w:rFonts w:ascii="仿宋_GB2312" w:hAnsi="仿宋_GB2312" w:eastAsia="仿宋_GB2312"/>
          <w:b/>
          <w:sz w:val="32"/>
        </w:rPr>
        <w:t>具体情况如下：</w:t>
      </w:r>
    </w:p>
    <w:p w14:paraId="30EEE85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B59E3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520FE8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D0C5A5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F73B738">
      <w:pPr>
        <w:spacing w:line="640" w:lineRule="exact"/>
        <w:ind w:firstLine="640"/>
        <w:jc w:val="both"/>
        <w:outlineLvl w:val="2"/>
      </w:pPr>
      <w:r>
        <w:rPr>
          <w:rFonts w:ascii="黑体" w:hAnsi="黑体" w:eastAsia="黑体"/>
          <w:sz w:val="32"/>
        </w:rPr>
        <w:t>十、其他重要事项的情况说明</w:t>
      </w:r>
    </w:p>
    <w:p w14:paraId="5E70B60F">
      <w:pPr>
        <w:spacing w:line="640" w:lineRule="exact"/>
        <w:ind w:firstLine="640"/>
        <w:jc w:val="both"/>
        <w:outlineLvl w:val="3"/>
      </w:pPr>
      <w:r>
        <w:rPr>
          <w:rFonts w:ascii="楷体_GB2312" w:hAnsi="楷体_GB2312" w:eastAsia="楷体_GB2312"/>
          <w:b/>
          <w:sz w:val="32"/>
        </w:rPr>
        <w:t>（一）机关运行经费及公用经费支出情况</w:t>
      </w:r>
    </w:p>
    <w:p w14:paraId="37EC1D20">
      <w:pPr>
        <w:spacing w:line="580" w:lineRule="exact"/>
        <w:ind w:firstLine="640"/>
        <w:jc w:val="both"/>
      </w:pPr>
      <w:r>
        <w:rPr>
          <w:rFonts w:ascii="仿宋_GB2312" w:hAnsi="仿宋_GB2312" w:eastAsia="仿宋_GB2312"/>
          <w:b w:val="0"/>
          <w:sz w:val="32"/>
        </w:rPr>
        <w:t>2024年度托里县供销合作社联合社（事业单位）公用经费支出4.59万元，比上年增加2.09万元，增长83.60%，主要原因是：本年更新、维护补充办公用品，导致公用经费较上年增加。</w:t>
      </w:r>
    </w:p>
    <w:p w14:paraId="453FC84C">
      <w:pPr>
        <w:spacing w:line="640" w:lineRule="exact"/>
        <w:ind w:firstLine="640"/>
        <w:jc w:val="both"/>
        <w:outlineLvl w:val="3"/>
      </w:pPr>
      <w:r>
        <w:rPr>
          <w:rFonts w:ascii="楷体_GB2312" w:hAnsi="楷体_GB2312" w:eastAsia="楷体_GB2312"/>
          <w:b/>
          <w:sz w:val="32"/>
        </w:rPr>
        <w:t>（二）政府采购情况</w:t>
      </w:r>
    </w:p>
    <w:p w14:paraId="0896B89C">
      <w:pPr>
        <w:spacing w:line="580" w:lineRule="exact"/>
        <w:ind w:firstLine="640"/>
        <w:jc w:val="both"/>
      </w:pPr>
      <w:r>
        <w:rPr>
          <w:rFonts w:ascii="仿宋_GB2312" w:hAnsi="仿宋_GB2312" w:eastAsia="仿宋_GB2312"/>
          <w:b w:val="0"/>
          <w:sz w:val="32"/>
        </w:rPr>
        <w:t>2024年度政府采购支出总额0.54万元，其中：政府采购货物支出0.39万元、政府采购工程支出0.00万元、政府采购服务支出0.16万元。</w:t>
      </w:r>
    </w:p>
    <w:p w14:paraId="0FBF8A41">
      <w:pPr>
        <w:spacing w:line="580" w:lineRule="exact"/>
        <w:ind w:firstLine="640"/>
        <w:jc w:val="both"/>
      </w:pPr>
      <w:r>
        <w:rPr>
          <w:rFonts w:ascii="仿宋_GB2312" w:hAnsi="仿宋_GB2312" w:eastAsia="仿宋_GB2312"/>
          <w:b w:val="0"/>
          <w:sz w:val="32"/>
        </w:rPr>
        <w:t>授予中小企业合同金额0.54万元，占政府采购支出总额的100.00%，其中：授予小微企业合同金额0.54万元，占政府采购支出总额的100.00%。</w:t>
      </w:r>
    </w:p>
    <w:p w14:paraId="0E941DDB">
      <w:pPr>
        <w:spacing w:line="640" w:lineRule="exact"/>
        <w:ind w:firstLine="640"/>
        <w:jc w:val="both"/>
        <w:outlineLvl w:val="3"/>
      </w:pPr>
      <w:r>
        <w:rPr>
          <w:rFonts w:ascii="楷体_GB2312" w:hAnsi="楷体_GB2312" w:eastAsia="楷体_GB2312"/>
          <w:b/>
          <w:sz w:val="32"/>
        </w:rPr>
        <w:t>（三）国有资产占用情况说明</w:t>
      </w:r>
    </w:p>
    <w:p w14:paraId="273E8374">
      <w:pPr>
        <w:spacing w:line="580" w:lineRule="exact"/>
        <w:ind w:firstLine="640"/>
        <w:jc w:val="both"/>
      </w:pPr>
      <w:r>
        <w:rPr>
          <w:rFonts w:ascii="仿宋_GB2312" w:hAnsi="仿宋_GB2312" w:eastAsia="仿宋_GB2312"/>
          <w:b w:val="0"/>
          <w:sz w:val="32"/>
        </w:rPr>
        <w:t>截至2024年12月31日，房屋183.00平方米，价值30.09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8EF8944">
      <w:pPr>
        <w:spacing w:line="640" w:lineRule="exact"/>
        <w:ind w:firstLine="640"/>
        <w:jc w:val="both"/>
        <w:outlineLvl w:val="2"/>
      </w:pPr>
      <w:r>
        <w:rPr>
          <w:rFonts w:ascii="黑体" w:hAnsi="黑体" w:eastAsia="黑体"/>
          <w:sz w:val="32"/>
        </w:rPr>
        <w:t>十一、预算绩效的情况说明</w:t>
      </w:r>
    </w:p>
    <w:p w14:paraId="6644459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146.20万元，实际执行总额146.20万元；预算绩效评价项目0个，全年预算数0.00万元，全年执行数0.00万元。预算绩效管理取得的成效：本单位无预算绩效项目。发现的问题及原因：本单位无预算绩效项目。下一步改进措施：本单位无预算绩效项目。具体附整体支出绩效自评表。</w:t>
      </w:r>
    </w:p>
    <w:p w14:paraId="24DA7F1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5D1ACB8">
        <w:tblPrEx>
          <w:tblCellMar>
            <w:top w:w="0" w:type="dxa"/>
            <w:left w:w="108" w:type="dxa"/>
            <w:bottom w:w="0" w:type="dxa"/>
            <w:right w:w="108" w:type="dxa"/>
          </w:tblCellMar>
        </w:tblPrEx>
        <w:tc>
          <w:tcPr>
            <w:tcW w:w="8840" w:type="dxa"/>
            <w:gridSpan w:val="8"/>
            <w:vAlign w:val="center"/>
          </w:tcPr>
          <w:p w14:paraId="2CA6FD23">
            <w:pPr>
              <w:jc w:val="center"/>
            </w:pPr>
            <w:r>
              <w:rPr>
                <w:rFonts w:ascii="宋体" w:hAnsi="宋体" w:eastAsia="宋体"/>
                <w:sz w:val="24"/>
              </w:rPr>
              <w:t>单位整体支出绩效自评表</w:t>
            </w:r>
          </w:p>
        </w:tc>
      </w:tr>
      <w:tr w14:paraId="0A973372">
        <w:tblPrEx>
          <w:tblCellMar>
            <w:top w:w="0" w:type="dxa"/>
            <w:left w:w="108" w:type="dxa"/>
            <w:bottom w:w="0" w:type="dxa"/>
            <w:right w:w="108" w:type="dxa"/>
          </w:tblCellMar>
        </w:tblPrEx>
        <w:tc>
          <w:tcPr>
            <w:tcW w:w="8840" w:type="dxa"/>
            <w:gridSpan w:val="8"/>
            <w:vAlign w:val="center"/>
          </w:tcPr>
          <w:p w14:paraId="0819C165">
            <w:pPr>
              <w:jc w:val="center"/>
            </w:pPr>
            <w:r>
              <w:rPr>
                <w:rFonts w:ascii="宋体" w:hAnsi="宋体" w:eastAsia="宋体"/>
                <w:sz w:val="24"/>
              </w:rPr>
              <w:t>（2024年度）</w:t>
            </w:r>
          </w:p>
        </w:tc>
      </w:tr>
      <w:tr w14:paraId="233AD13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2AFD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50DE7">
            <w:pPr>
              <w:jc w:val="center"/>
            </w:pPr>
            <w:r>
              <w:rPr>
                <w:rFonts w:ascii="宋体" w:hAnsi="宋体" w:eastAsia="宋体"/>
                <w:sz w:val="16"/>
              </w:rPr>
              <w:t>托里县供销合作社联合社</w:t>
            </w:r>
          </w:p>
        </w:tc>
      </w:tr>
      <w:tr w14:paraId="7ED86DF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3F42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98A5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CCC4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074E0">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3C80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1865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213E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BE19A">
            <w:pPr>
              <w:jc w:val="center"/>
            </w:pPr>
            <w:r>
              <w:rPr>
                <w:rFonts w:ascii="宋体" w:hAnsi="宋体" w:eastAsia="宋体"/>
                <w:sz w:val="16"/>
              </w:rPr>
              <w:t>得分</w:t>
            </w:r>
          </w:p>
        </w:tc>
      </w:tr>
      <w:tr w14:paraId="0A511B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EDC4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17D2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7F762">
            <w:pPr>
              <w:jc w:val="center"/>
            </w:pPr>
            <w:r>
              <w:rPr>
                <w:rFonts w:ascii="宋体" w:hAnsi="宋体" w:eastAsia="宋体"/>
                <w:sz w:val="16"/>
              </w:rPr>
              <w:t>148.13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C1ADF">
            <w:pPr>
              <w:jc w:val="center"/>
            </w:pPr>
            <w:r>
              <w:rPr>
                <w:rFonts w:ascii="宋体" w:hAnsi="宋体" w:eastAsia="宋体"/>
                <w:sz w:val="16"/>
              </w:rPr>
              <w:t>146.20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B0B4D">
            <w:pPr>
              <w:jc w:val="center"/>
            </w:pPr>
            <w:r>
              <w:rPr>
                <w:rFonts w:ascii="宋体" w:hAnsi="宋体" w:eastAsia="宋体"/>
                <w:sz w:val="16"/>
              </w:rPr>
              <w:t>146.20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DEDA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3C9E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C82E1">
            <w:pPr>
              <w:jc w:val="center"/>
            </w:pPr>
            <w:r>
              <w:rPr>
                <w:rFonts w:ascii="宋体" w:hAnsi="宋体" w:eastAsia="宋体"/>
                <w:sz w:val="16"/>
              </w:rPr>
              <w:t>10</w:t>
            </w:r>
          </w:p>
        </w:tc>
      </w:tr>
      <w:tr w14:paraId="651972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C6AA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3066D">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BA05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9F57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415F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EB0E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245C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E0AA7">
            <w:pPr>
              <w:jc w:val="center"/>
            </w:pPr>
            <w:r>
              <w:rPr>
                <w:rFonts w:ascii="宋体" w:hAnsi="宋体" w:eastAsia="宋体"/>
                <w:sz w:val="16"/>
              </w:rPr>
              <w:t>-</w:t>
            </w:r>
          </w:p>
        </w:tc>
      </w:tr>
      <w:tr w14:paraId="60ED18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0DB7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C1FE2">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ACFFB">
            <w:pPr>
              <w:jc w:val="center"/>
            </w:pPr>
            <w:r>
              <w:rPr>
                <w:rFonts w:ascii="宋体" w:hAnsi="宋体" w:eastAsia="宋体"/>
                <w:sz w:val="16"/>
              </w:rPr>
              <w:t>148.13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37FD5">
            <w:pPr>
              <w:jc w:val="center"/>
            </w:pPr>
            <w:r>
              <w:rPr>
                <w:rFonts w:ascii="宋体" w:hAnsi="宋体" w:eastAsia="宋体"/>
                <w:sz w:val="16"/>
              </w:rPr>
              <w:t>146.20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2708D">
            <w:pPr>
              <w:jc w:val="center"/>
            </w:pPr>
            <w:r>
              <w:rPr>
                <w:rFonts w:ascii="宋体" w:hAnsi="宋体" w:eastAsia="宋体"/>
                <w:sz w:val="16"/>
              </w:rPr>
              <w:t>146.20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5DC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7AB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20316">
            <w:pPr>
              <w:jc w:val="center"/>
            </w:pPr>
            <w:r>
              <w:rPr>
                <w:rFonts w:ascii="宋体" w:hAnsi="宋体" w:eastAsia="宋体"/>
                <w:sz w:val="16"/>
              </w:rPr>
              <w:t>-</w:t>
            </w:r>
          </w:p>
        </w:tc>
      </w:tr>
      <w:tr w14:paraId="5B1C24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ECAC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345D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3E9C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4B9E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2E63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A0B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B3E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36970">
            <w:pPr>
              <w:jc w:val="center"/>
            </w:pPr>
            <w:r>
              <w:rPr>
                <w:rFonts w:ascii="宋体" w:hAnsi="宋体" w:eastAsia="宋体"/>
                <w:sz w:val="16"/>
              </w:rPr>
              <w:t>-</w:t>
            </w:r>
          </w:p>
        </w:tc>
      </w:tr>
      <w:tr w14:paraId="14E950F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93D50">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5C7A8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2C54FA">
            <w:pPr>
              <w:jc w:val="center"/>
            </w:pPr>
            <w:r>
              <w:rPr>
                <w:rFonts w:ascii="宋体" w:hAnsi="宋体" w:eastAsia="宋体"/>
                <w:sz w:val="16"/>
              </w:rPr>
              <w:t>实际完成情况</w:t>
            </w:r>
          </w:p>
        </w:tc>
      </w:tr>
      <w:tr w14:paraId="16B436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C68BD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86B667">
            <w:pPr>
              <w:jc w:val="both"/>
            </w:pPr>
            <w:r>
              <w:rPr>
                <w:rFonts w:hint="eastAsia" w:ascii="宋体" w:hAnsi="宋体"/>
                <w:sz w:val="16"/>
                <w:lang w:eastAsia="zh-CN"/>
              </w:rPr>
              <w:t>1.</w:t>
            </w:r>
            <w:r>
              <w:rPr>
                <w:rFonts w:ascii="宋体" w:hAnsi="宋体" w:eastAsia="宋体"/>
                <w:sz w:val="16"/>
              </w:rPr>
              <w:t>组织党员干部理论学习不少于10次。2、引导农资经营户按农户需求供应农资500吨。3、县供销合作社联合社通过领办农民专业合作社开展“菜单式”服务，达到农机社会化服务面积200亩。4、深入宣传贯彻落实《中华人民共和国农民专业合作社法》引导农民专业合作社规范运行，增强服务功能，提高带动农民增收致富的能力，年内宣传不少于2次。5、深化供销合作社综合改革，改造农村综合服务社1个。</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F26315">
            <w:pPr>
              <w:jc w:val="both"/>
            </w:pPr>
            <w:r>
              <w:rPr>
                <w:rFonts w:hint="eastAsia" w:ascii="宋体" w:hAnsi="宋体"/>
                <w:sz w:val="16"/>
                <w:lang w:eastAsia="zh-CN"/>
              </w:rPr>
              <w:t>1.</w:t>
            </w:r>
            <w:r>
              <w:rPr>
                <w:rFonts w:ascii="宋体" w:hAnsi="宋体" w:eastAsia="宋体"/>
                <w:sz w:val="16"/>
              </w:rPr>
              <w:t>组织党员干部理论</w:t>
            </w:r>
            <w:r>
              <w:rPr>
                <w:rFonts w:hint="eastAsia" w:ascii="宋体" w:hAnsi="宋体"/>
                <w:sz w:val="16"/>
                <w:lang w:eastAsia="zh-CN"/>
              </w:rPr>
              <w:t>学习</w:t>
            </w:r>
            <w:r>
              <w:rPr>
                <w:rFonts w:ascii="宋体" w:hAnsi="宋体" w:eastAsia="宋体"/>
                <w:sz w:val="16"/>
              </w:rPr>
              <w:t>10次。2、依托托里县广发农资店和硕丰农资经销部。化肥供应量5000吨。3、引领指导托里县华鑫德农机服务农民专业合作社开展农机作业，完成社会化服务面积3000亩（次）。4、深入宣传贯彻落实《中华人民共和国农民专业合作社法》引导农民专业合作社规范运行，增强服务功能，提高带动农民增收致富的能力，年内宣传了2次。5、改造升级农村综合服务社3个。将托里县多拉特乡加玛特村综合服务社、阿合别斗乡玛依根村综合服务社、库普乡杰特窝巴村综合服务社进行改造升级。</w:t>
            </w:r>
          </w:p>
        </w:tc>
      </w:tr>
      <w:tr w14:paraId="18874A0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4ED6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20AD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9470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5D03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7CAF6">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95CD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4529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39DD8">
            <w:pPr>
              <w:jc w:val="center"/>
            </w:pPr>
            <w:r>
              <w:rPr>
                <w:rFonts w:ascii="宋体" w:hAnsi="宋体" w:eastAsia="宋体"/>
                <w:sz w:val="16"/>
              </w:rPr>
              <w:t>得分</w:t>
            </w:r>
          </w:p>
        </w:tc>
      </w:tr>
      <w:tr w14:paraId="02E42D8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D499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5526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59FC3">
            <w:pPr>
              <w:jc w:val="center"/>
            </w:pPr>
            <w:r>
              <w:rPr>
                <w:rFonts w:ascii="宋体" w:hAnsi="宋体" w:eastAsia="宋体"/>
                <w:sz w:val="16"/>
              </w:rPr>
              <w:t>组织党员干部理论学习次数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67202">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1572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00E0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759E5">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E485F">
            <w:pPr>
              <w:jc w:val="center"/>
            </w:pPr>
            <w:r>
              <w:rPr>
                <w:rFonts w:ascii="宋体" w:hAnsi="宋体" w:eastAsia="宋体"/>
                <w:sz w:val="16"/>
              </w:rPr>
              <w:t>18</w:t>
            </w:r>
          </w:p>
        </w:tc>
      </w:tr>
      <w:tr w14:paraId="1A7BFA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29AA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5920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9ED9E">
            <w:pPr>
              <w:jc w:val="center"/>
            </w:pPr>
            <w:r>
              <w:rPr>
                <w:rFonts w:ascii="宋体" w:hAnsi="宋体" w:eastAsia="宋体"/>
                <w:sz w:val="16"/>
              </w:rPr>
              <w:t>农资经营户按农户需求供应农资量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76ED4">
            <w:pPr>
              <w:jc w:val="center"/>
            </w:pPr>
            <w:r>
              <w:rPr>
                <w:rFonts w:ascii="宋体" w:hAnsi="宋体" w:eastAsia="宋体"/>
                <w:sz w:val="16"/>
              </w:rPr>
              <w:t>&gt;=500吨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25F6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B1E3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99FF7">
            <w:pPr>
              <w:jc w:val="center"/>
            </w:pPr>
            <w:r>
              <w:rPr>
                <w:rFonts w:ascii="宋体" w:hAnsi="宋体" w:eastAsia="宋体"/>
                <w:sz w:val="16"/>
              </w:rPr>
              <w:t>5000吨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B3A3C">
            <w:pPr>
              <w:jc w:val="center"/>
            </w:pPr>
            <w:r>
              <w:rPr>
                <w:rFonts w:ascii="宋体" w:hAnsi="宋体" w:eastAsia="宋体"/>
                <w:sz w:val="16"/>
              </w:rPr>
              <w:t>18</w:t>
            </w:r>
          </w:p>
        </w:tc>
      </w:tr>
      <w:tr w14:paraId="2F8CE4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B24B2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6954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1A0EF">
            <w:pPr>
              <w:jc w:val="center"/>
            </w:pPr>
            <w:r>
              <w:rPr>
                <w:rFonts w:ascii="宋体" w:hAnsi="宋体" w:eastAsia="宋体"/>
                <w:sz w:val="16"/>
              </w:rPr>
              <w:t>农机社会化服务面积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F6F35">
            <w:pPr>
              <w:jc w:val="center"/>
            </w:pPr>
            <w:r>
              <w:rPr>
                <w:rFonts w:ascii="宋体" w:hAnsi="宋体" w:eastAsia="宋体"/>
                <w:sz w:val="16"/>
              </w:rPr>
              <w:t>=200亩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7F52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6E74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AD586">
            <w:pPr>
              <w:jc w:val="center"/>
            </w:pPr>
            <w:r>
              <w:rPr>
                <w:rFonts w:ascii="宋体" w:hAnsi="宋体" w:eastAsia="宋体"/>
                <w:sz w:val="16"/>
              </w:rPr>
              <w:t>3000亩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12CC0">
            <w:pPr>
              <w:jc w:val="center"/>
            </w:pPr>
            <w:r>
              <w:rPr>
                <w:rFonts w:ascii="宋体" w:hAnsi="宋体" w:eastAsia="宋体"/>
                <w:sz w:val="16"/>
              </w:rPr>
              <w:t>18</w:t>
            </w:r>
          </w:p>
        </w:tc>
      </w:tr>
      <w:tr w14:paraId="1C846E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FED06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78DE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6F28A">
            <w:pPr>
              <w:jc w:val="center"/>
            </w:pPr>
            <w:r>
              <w:rPr>
                <w:rFonts w:ascii="宋体" w:hAnsi="宋体" w:eastAsia="宋体"/>
                <w:sz w:val="16"/>
              </w:rPr>
              <w:t>宣传《中华人民共和国农民专业合作社法》次数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09B74">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97E3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9E33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5DB82">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B0969">
            <w:pPr>
              <w:jc w:val="center"/>
            </w:pPr>
            <w:r>
              <w:rPr>
                <w:rFonts w:ascii="宋体" w:hAnsi="宋体" w:eastAsia="宋体"/>
                <w:sz w:val="16"/>
              </w:rPr>
              <w:t>18</w:t>
            </w:r>
          </w:p>
        </w:tc>
      </w:tr>
      <w:tr w14:paraId="726CBC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491E8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78E9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D6314">
            <w:pPr>
              <w:jc w:val="center"/>
            </w:pPr>
            <w:r>
              <w:rPr>
                <w:rFonts w:ascii="宋体" w:hAnsi="宋体" w:eastAsia="宋体"/>
                <w:sz w:val="16"/>
              </w:rPr>
              <w:t>改造农村综合服务社数量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35655">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6F46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D628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907D0">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8F460">
            <w:pPr>
              <w:jc w:val="center"/>
            </w:pPr>
            <w:r>
              <w:rPr>
                <w:rFonts w:ascii="宋体" w:hAnsi="宋体" w:eastAsia="宋体"/>
                <w:sz w:val="16"/>
              </w:rPr>
              <w:t>18</w:t>
            </w:r>
          </w:p>
        </w:tc>
      </w:tr>
    </w:tbl>
    <w:p w14:paraId="04DFC780">
      <w:r>
        <w:br w:type="page"/>
      </w:r>
    </w:p>
    <w:p w14:paraId="5D24B641">
      <w:pPr>
        <w:spacing w:line="640" w:lineRule="exact"/>
        <w:ind w:firstLine="640"/>
        <w:jc w:val="both"/>
        <w:outlineLvl w:val="2"/>
      </w:pPr>
      <w:r>
        <w:rPr>
          <w:rFonts w:ascii="黑体" w:hAnsi="黑体" w:eastAsia="黑体"/>
          <w:sz w:val="32"/>
        </w:rPr>
        <w:t>十二、其他需说明的事项</w:t>
      </w:r>
    </w:p>
    <w:p w14:paraId="3A934B4D">
      <w:pPr>
        <w:spacing w:line="580" w:lineRule="exact"/>
        <w:ind w:firstLine="640"/>
        <w:jc w:val="both"/>
      </w:pPr>
      <w:r>
        <w:rPr>
          <w:rFonts w:ascii="仿宋_GB2312" w:hAnsi="仿宋_GB2312" w:eastAsia="仿宋_GB2312"/>
          <w:b w:val="0"/>
          <w:sz w:val="32"/>
        </w:rPr>
        <w:t>本单位无其他需说明的事项。</w:t>
      </w:r>
    </w:p>
    <w:p w14:paraId="519102CF">
      <w:r>
        <w:br w:type="page"/>
      </w:r>
    </w:p>
    <w:p w14:paraId="79C3459C">
      <w:pPr>
        <w:spacing w:line="240" w:lineRule="auto"/>
        <w:jc w:val="center"/>
        <w:outlineLvl w:val="1"/>
      </w:pPr>
      <w:r>
        <w:rPr>
          <w:rFonts w:ascii="黑体" w:hAnsi="黑体" w:eastAsia="黑体"/>
          <w:sz w:val="32"/>
        </w:rPr>
        <w:t>第三部分 专业名词解释</w:t>
      </w:r>
    </w:p>
    <w:p w14:paraId="0A0CF83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0DB77D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87532D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994ED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DA53BE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822CA0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3F0155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55212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CD306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97850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36C36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6E3F3F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563CD5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86790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6E8BEF1">
      <w:r>
        <w:br w:type="page"/>
      </w:r>
    </w:p>
    <w:p w14:paraId="1C49C7A7">
      <w:pPr>
        <w:spacing w:line="240" w:lineRule="auto"/>
        <w:jc w:val="center"/>
        <w:outlineLvl w:val="1"/>
      </w:pPr>
      <w:r>
        <w:rPr>
          <w:rFonts w:ascii="黑体" w:hAnsi="黑体" w:eastAsia="黑体"/>
          <w:sz w:val="32"/>
        </w:rPr>
        <w:t>第四部分 部门决算报表（见附表）</w:t>
      </w:r>
    </w:p>
    <w:p w14:paraId="3A2FB5EB">
      <w:pPr>
        <w:spacing w:line="240" w:lineRule="auto"/>
        <w:ind w:firstLine="640"/>
        <w:jc w:val="both"/>
      </w:pPr>
      <w:r>
        <w:rPr>
          <w:rFonts w:ascii="仿宋_GB2312" w:hAnsi="仿宋_GB2312" w:eastAsia="仿宋_GB2312"/>
          <w:b w:val="0"/>
          <w:sz w:val="32"/>
        </w:rPr>
        <w:t>一、《收入支出决算总表》</w:t>
      </w:r>
    </w:p>
    <w:p w14:paraId="01943C81">
      <w:pPr>
        <w:spacing w:line="240" w:lineRule="auto"/>
        <w:ind w:firstLine="640"/>
        <w:jc w:val="both"/>
      </w:pPr>
      <w:r>
        <w:rPr>
          <w:rFonts w:ascii="仿宋_GB2312" w:hAnsi="仿宋_GB2312" w:eastAsia="仿宋_GB2312"/>
          <w:b w:val="0"/>
          <w:sz w:val="32"/>
        </w:rPr>
        <w:t>二、《收入决算表》</w:t>
      </w:r>
    </w:p>
    <w:p w14:paraId="7DEE7673">
      <w:pPr>
        <w:spacing w:line="240" w:lineRule="auto"/>
        <w:ind w:firstLine="640"/>
        <w:jc w:val="both"/>
      </w:pPr>
      <w:r>
        <w:rPr>
          <w:rFonts w:ascii="仿宋_GB2312" w:hAnsi="仿宋_GB2312" w:eastAsia="仿宋_GB2312"/>
          <w:b w:val="0"/>
          <w:sz w:val="32"/>
        </w:rPr>
        <w:t>三、《支出决算表》</w:t>
      </w:r>
    </w:p>
    <w:p w14:paraId="755236EB">
      <w:pPr>
        <w:spacing w:line="240" w:lineRule="auto"/>
        <w:ind w:firstLine="640"/>
        <w:jc w:val="both"/>
      </w:pPr>
      <w:r>
        <w:rPr>
          <w:rFonts w:ascii="仿宋_GB2312" w:hAnsi="仿宋_GB2312" w:eastAsia="仿宋_GB2312"/>
          <w:b w:val="0"/>
          <w:sz w:val="32"/>
        </w:rPr>
        <w:t>四、《财政拨款收入支出决算总表》</w:t>
      </w:r>
    </w:p>
    <w:p w14:paraId="546D28CC">
      <w:pPr>
        <w:spacing w:line="240" w:lineRule="auto"/>
        <w:ind w:firstLine="640"/>
        <w:jc w:val="both"/>
      </w:pPr>
      <w:r>
        <w:rPr>
          <w:rFonts w:ascii="仿宋_GB2312" w:hAnsi="仿宋_GB2312" w:eastAsia="仿宋_GB2312"/>
          <w:b w:val="0"/>
          <w:sz w:val="32"/>
        </w:rPr>
        <w:t>五、《一般公共预算财政拨款支出决算表》</w:t>
      </w:r>
    </w:p>
    <w:p w14:paraId="14A4A754">
      <w:pPr>
        <w:spacing w:line="240" w:lineRule="auto"/>
        <w:ind w:firstLine="640"/>
        <w:jc w:val="both"/>
      </w:pPr>
      <w:r>
        <w:rPr>
          <w:rFonts w:ascii="仿宋_GB2312" w:hAnsi="仿宋_GB2312" w:eastAsia="仿宋_GB2312"/>
          <w:b w:val="0"/>
          <w:sz w:val="32"/>
        </w:rPr>
        <w:t>六、《一般公共预算财政拨款基本支出决算表》</w:t>
      </w:r>
    </w:p>
    <w:p w14:paraId="13543CA7">
      <w:pPr>
        <w:spacing w:line="240" w:lineRule="auto"/>
        <w:ind w:firstLine="640"/>
        <w:jc w:val="both"/>
      </w:pPr>
      <w:r>
        <w:rPr>
          <w:rFonts w:ascii="仿宋_GB2312" w:hAnsi="仿宋_GB2312" w:eastAsia="仿宋_GB2312"/>
          <w:b w:val="0"/>
          <w:sz w:val="32"/>
        </w:rPr>
        <w:t>七、《政府性基金预算财政拨款收入支出决算表》</w:t>
      </w:r>
    </w:p>
    <w:p w14:paraId="0BF211F6">
      <w:pPr>
        <w:spacing w:line="240" w:lineRule="auto"/>
        <w:ind w:firstLine="640"/>
        <w:jc w:val="both"/>
      </w:pPr>
      <w:r>
        <w:rPr>
          <w:rFonts w:ascii="仿宋_GB2312" w:hAnsi="仿宋_GB2312" w:eastAsia="仿宋_GB2312"/>
          <w:b w:val="0"/>
          <w:sz w:val="32"/>
        </w:rPr>
        <w:t>八、《国有资本经营预算财政拨款收入支出决算表》</w:t>
      </w:r>
    </w:p>
    <w:p w14:paraId="36ABB1E8">
      <w:pPr>
        <w:spacing w:line="240" w:lineRule="auto"/>
        <w:ind w:firstLine="640"/>
        <w:jc w:val="both"/>
      </w:pPr>
      <w:r>
        <w:rPr>
          <w:rFonts w:ascii="仿宋_GB2312" w:hAnsi="仿宋_GB2312" w:eastAsia="仿宋_GB2312"/>
          <w:b w:val="0"/>
          <w:sz w:val="32"/>
        </w:rPr>
        <w:t>九、《财政拨款“三公”经费支出决算表》</w:t>
      </w:r>
    </w:p>
    <w:p w14:paraId="6DCD4C35">
      <w:pPr>
        <w:spacing w:line="240" w:lineRule="auto"/>
        <w:ind w:firstLine="640"/>
        <w:jc w:val="both"/>
      </w:pPr>
    </w:p>
    <w:p w14:paraId="0DF0F2BC">
      <w:pPr>
        <w:spacing w:line="240" w:lineRule="auto"/>
        <w:ind w:firstLine="640"/>
        <w:jc w:val="both"/>
      </w:pPr>
    </w:p>
    <w:p w14:paraId="43B9E9E8">
      <w:pPr>
        <w:spacing w:line="240" w:lineRule="auto"/>
        <w:ind w:firstLine="640"/>
        <w:jc w:val="both"/>
      </w:pPr>
    </w:p>
    <w:p w14:paraId="37D6162B">
      <w:pPr>
        <w:spacing w:line="240" w:lineRule="auto"/>
        <w:ind w:firstLine="640"/>
        <w:jc w:val="both"/>
      </w:pPr>
    </w:p>
    <w:p w14:paraId="7FFCA33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2FF83059"/>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05248D"/>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be2b290b-66c3-4e6f-aa53-2f9b6a4e2b48</errorID>
      <errorWord>棉花</errorWord>
      <group>L1_Sensitive</group>
      <groupName>敏感问题</groupName>
      <ability>L2_UserSensitive</ability>
      <abilityName>自定义敏感词</abilityName>
      <candidateList/>
      <explain>来自自定义敏感词库。</explain>
      <paraID>1A6EE7C5</paraID>
      <start>56</start>
      <end>58</end>
      <status>unmodified</status>
      <modifiedWord/>
      <trackRevisions>false</trackRevisions>
    </reviewItem>
    <reviewItem>
      <errorID>ec9eb30f-39f8-4ac0-a43e-882704d895c2</errorID>
      <errorWord>2月31日</errorWord>
      <group>L1_Sensitive</group>
      <groupName>敏感问题</groupName>
      <ability>L2_UserSensitive</ability>
      <abilityName>自定义敏感词</abilityName>
      <candidateList/>
      <explain>来自自定义敏感词库。</explain>
      <paraID>273E8374</paraID>
      <start>8</start>
      <end>13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418620-591e-4f47-91b9-50ea772eb191}">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6004</Words>
  <Characters>6777</Characters>
  <Lines>0</Lines>
  <Paragraphs>0</Paragraphs>
  <TotalTime>3</TotalTime>
  <ScaleCrop>false</ScaleCrop>
  <LinksUpToDate>false</LinksUpToDate>
  <CharactersWithSpaces>6787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