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托里县退役军人事务局2024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5E5C09A">
      <w:r>
        <w:br w:type="page"/>
      </w:r>
    </w:p>
    <w:p w14:paraId="457FB684">
      <w:pPr>
        <w:spacing w:line="640" w:lineRule="exact"/>
        <w:jc w:val="center"/>
        <w:outlineLvl w:val="1"/>
      </w:pPr>
      <w:r>
        <w:rPr>
          <w:rFonts w:ascii="黑体" w:hAnsi="黑体" w:eastAsia="黑体"/>
          <w:sz w:val="32"/>
        </w:rPr>
        <w:t>第一部分 单位概况</w:t>
      </w:r>
    </w:p>
    <w:p w14:paraId="1B714CD6">
      <w:pPr>
        <w:spacing w:line="640" w:lineRule="exact"/>
        <w:ind w:firstLine="640"/>
        <w:jc w:val="both"/>
        <w:outlineLvl w:val="2"/>
      </w:pPr>
      <w:r>
        <w:rPr>
          <w:rFonts w:ascii="黑体" w:hAnsi="黑体" w:eastAsia="黑体"/>
          <w:sz w:val="32"/>
        </w:rPr>
        <w:t>一、主要职能</w:t>
      </w:r>
    </w:p>
    <w:p w14:paraId="458476D6">
      <w:pPr>
        <w:spacing w:line="580" w:lineRule="exact"/>
        <w:ind w:firstLine="640"/>
        <w:jc w:val="both"/>
      </w:pPr>
      <w:r>
        <w:rPr>
          <w:rFonts w:ascii="仿宋_GB2312" w:hAnsi="仿宋_GB2312" w:eastAsia="仿宋_GB2312"/>
          <w:sz w:val="32"/>
        </w:rPr>
        <w:t>托里县退役军人事务局2018年11月25日成立。</w:t>
      </w:r>
    </w:p>
    <w:p w14:paraId="25198358">
      <w:pPr>
        <w:spacing w:line="580" w:lineRule="exact"/>
        <w:ind w:firstLine="640"/>
        <w:jc w:val="both"/>
      </w:pPr>
      <w:r>
        <w:rPr>
          <w:rFonts w:ascii="仿宋_GB2312" w:hAnsi="仿宋_GB2312" w:eastAsia="仿宋_GB2312"/>
          <w:sz w:val="32"/>
        </w:rPr>
        <w:t>（一）组织实施退役军人思想政治、管理保障和安置优抚等工作政策法规，褒扬彰显退役军人为党、国家和人民牺牲奉献的精神风范和价值导向。</w:t>
      </w:r>
    </w:p>
    <w:p w14:paraId="0C6BAF41">
      <w:pPr>
        <w:spacing w:line="580" w:lineRule="exact"/>
        <w:ind w:firstLine="640"/>
        <w:jc w:val="both"/>
      </w:pPr>
      <w:r>
        <w:rPr>
          <w:rFonts w:ascii="仿宋_GB2312" w:hAnsi="仿宋_GB2312" w:eastAsia="仿宋_GB2312"/>
          <w:sz w:val="32"/>
        </w:rPr>
        <w:t>（二）负责军队转业干部、复员干部、离休退休干部、退役士兵和无军籍退休退职职工的移交安置工作和自主择业、就业退役军人服务管理工作；落实退役军人留疆安置优惠优待政策；促进退役军人留在新疆，奉献基层；配合做好招录、培训退役士兵就业创业工作。</w:t>
      </w:r>
    </w:p>
    <w:p w14:paraId="224C6930">
      <w:pPr>
        <w:spacing w:line="580" w:lineRule="exact"/>
        <w:ind w:firstLine="640"/>
        <w:jc w:val="both"/>
      </w:pPr>
      <w:r>
        <w:rPr>
          <w:rFonts w:ascii="仿宋_GB2312" w:hAnsi="仿宋_GB2312" w:eastAsia="仿宋_GB2312"/>
          <w:sz w:val="32"/>
        </w:rPr>
        <w:t>（三）组织实施退役军人教育培训工作；协调扶持退役军人和随军随调家属就业创业。</w:t>
      </w:r>
    </w:p>
    <w:p w14:paraId="6C052362">
      <w:pPr>
        <w:spacing w:line="580" w:lineRule="exact"/>
        <w:ind w:firstLine="640"/>
        <w:jc w:val="both"/>
      </w:pPr>
      <w:r>
        <w:rPr>
          <w:rFonts w:ascii="仿宋_GB2312" w:hAnsi="仿宋_GB2312" w:eastAsia="仿宋_GB2312"/>
          <w:sz w:val="32"/>
        </w:rPr>
        <w:t>（四）会同有关部门组织落实退役军人特殊保障政策。</w:t>
      </w:r>
    </w:p>
    <w:p w14:paraId="62661161">
      <w:pPr>
        <w:spacing w:line="580" w:lineRule="exact"/>
        <w:ind w:firstLine="640"/>
        <w:jc w:val="both"/>
      </w:pPr>
      <w:r>
        <w:rPr>
          <w:rFonts w:ascii="仿宋_GB2312" w:hAnsi="仿宋_GB2312" w:eastAsia="仿宋_GB2312"/>
          <w:sz w:val="32"/>
        </w:rPr>
        <w:t>（五）组织落实移交地方的离休退休军人、符合条件的其他退役军人和无军籍退休退职职工的住房保障,以及退役军人医疗保障、社会保险等待遇保障工作。</w:t>
      </w:r>
    </w:p>
    <w:p w14:paraId="620172C4">
      <w:pPr>
        <w:spacing w:line="580" w:lineRule="exact"/>
        <w:ind w:firstLine="640"/>
        <w:jc w:val="both"/>
      </w:pPr>
      <w:r>
        <w:rPr>
          <w:rFonts w:ascii="仿宋_GB2312" w:hAnsi="仿宋_GB2312" w:eastAsia="仿宋_GB2312"/>
          <w:sz w:val="32"/>
        </w:rPr>
        <w:t>（六）负责伤病残退役军人服务管理和抚恤工作,贯彻落实有关退役军人医疗、疗养、养老等机构的规划政策；承担不适宜继续服役的伤病残军人相关工作；指导军供服务保障。</w:t>
      </w:r>
    </w:p>
    <w:p w14:paraId="1471B331">
      <w:pPr>
        <w:spacing w:line="580" w:lineRule="exact"/>
        <w:ind w:firstLine="640"/>
        <w:jc w:val="both"/>
      </w:pPr>
      <w:r>
        <w:rPr>
          <w:rFonts w:ascii="仿宋_GB2312" w:hAnsi="仿宋_GB2312" w:eastAsia="仿宋_GB2312"/>
          <w:sz w:val="32"/>
        </w:rPr>
        <w:t>（七）负责拥军优属工作。负责现役军人、退役军人、军队文职人员和军属优待、抚恤等工作,落实国民党抗战老兵等有关人员优待政策并指导实施；承担拥军优属慰问工作。</w:t>
      </w:r>
    </w:p>
    <w:p w14:paraId="10088183">
      <w:pPr>
        <w:spacing w:line="580" w:lineRule="exact"/>
        <w:ind w:firstLine="640"/>
        <w:jc w:val="both"/>
      </w:pPr>
      <w:r>
        <w:rPr>
          <w:rFonts w:ascii="仿宋_GB2312" w:hAnsi="仿宋_GB2312" w:eastAsia="仿宋_GB2312"/>
          <w:sz w:val="32"/>
        </w:rPr>
        <w:t>（八）负责烈士及退役军人荣誉奖励、军人公墓管理维护、纪念活动等工作</w:t>
      </w:r>
      <w:r>
        <w:rPr>
          <w:rFonts w:hint="eastAsia" w:ascii="仿宋_GB2312" w:hAnsi="仿宋_GB2312" w:eastAsia="仿宋_GB2312"/>
          <w:sz w:val="32"/>
          <w:lang w:eastAsia="zh-CN"/>
        </w:rPr>
        <w:t>；</w:t>
      </w:r>
      <w:r>
        <w:rPr>
          <w:rFonts w:ascii="仿宋_GB2312" w:hAnsi="仿宋_GB2312" w:eastAsia="仿宋_GB2312"/>
          <w:sz w:val="32"/>
        </w:rPr>
        <w:t>依法承担英雄烈士保护相关工作；审核拟列入全国和自治区重点保护单位的烈士纪念建筑物名录；总结表彰和宣扬退役军人、退役军人工作单位和个人先进典型事迹。</w:t>
      </w:r>
    </w:p>
    <w:p w14:paraId="3446D63C">
      <w:pPr>
        <w:spacing w:line="580" w:lineRule="exact"/>
        <w:ind w:firstLine="640"/>
        <w:jc w:val="both"/>
      </w:pPr>
      <w:r>
        <w:rPr>
          <w:rFonts w:ascii="仿宋_GB2312" w:hAnsi="仿宋_GB2312" w:eastAsia="仿宋_GB2312"/>
          <w:sz w:val="32"/>
        </w:rPr>
        <w:t>（九）落实退役军人相关法律法规和政策措施；负责退役军人权益维护和有关人员的帮扶援助工作。</w:t>
      </w:r>
    </w:p>
    <w:p w14:paraId="0499D3CF">
      <w:pPr>
        <w:spacing w:line="580" w:lineRule="exact"/>
        <w:ind w:firstLine="640"/>
        <w:jc w:val="both"/>
      </w:pPr>
      <w:r>
        <w:rPr>
          <w:rFonts w:ascii="仿宋_GB2312" w:hAnsi="仿宋_GB2312" w:eastAsia="仿宋_GB2312"/>
          <w:sz w:val="32"/>
        </w:rPr>
        <w:t>（十）完成县委、县政府交办的其他任务。</w:t>
      </w:r>
    </w:p>
    <w:p w14:paraId="73AFBF63">
      <w:pPr>
        <w:spacing w:line="640" w:lineRule="exact"/>
        <w:ind w:firstLine="640"/>
        <w:jc w:val="both"/>
        <w:outlineLvl w:val="2"/>
      </w:pPr>
      <w:r>
        <w:rPr>
          <w:rFonts w:ascii="黑体" w:hAnsi="黑体" w:eastAsia="黑体"/>
          <w:sz w:val="32"/>
        </w:rPr>
        <w:t>二、机构设置及人员情况</w:t>
      </w:r>
    </w:p>
    <w:p w14:paraId="53527DB5">
      <w:pPr>
        <w:spacing w:line="580" w:lineRule="exact"/>
        <w:ind w:firstLine="640"/>
        <w:jc w:val="both"/>
      </w:pPr>
      <w:r>
        <w:rPr>
          <w:rFonts w:ascii="仿宋_GB2312" w:hAnsi="仿宋_GB2312" w:eastAsia="仿宋_GB2312"/>
          <w:sz w:val="32"/>
        </w:rPr>
        <w:t>托里县退役军人事务局2024年度，实有人数11人，其中：在职人员10人，减少1人；离休人员0人，增加0人；退休人员1人,增加1人。</w:t>
      </w:r>
    </w:p>
    <w:p w14:paraId="55A23018">
      <w:pPr>
        <w:spacing w:line="580" w:lineRule="exact"/>
        <w:ind w:firstLine="640"/>
        <w:jc w:val="both"/>
      </w:pPr>
      <w:r>
        <w:rPr>
          <w:rFonts w:ascii="仿宋_GB2312" w:hAnsi="仿宋_GB2312" w:eastAsia="仿宋_GB2312"/>
          <w:sz w:val="32"/>
        </w:rPr>
        <w:t>托里县退役军人事务局无下属预算单位，下设5个科室，分别是：综合办公室、业务室、财务室、双拥办公室、信息采集室。</w:t>
      </w:r>
    </w:p>
    <w:p w14:paraId="7592AB61">
      <w:r>
        <w:br w:type="page"/>
      </w:r>
    </w:p>
    <w:p w14:paraId="61B97F99">
      <w:pPr>
        <w:spacing w:line="240" w:lineRule="auto"/>
        <w:jc w:val="center"/>
        <w:outlineLvl w:val="1"/>
      </w:pPr>
      <w:r>
        <w:rPr>
          <w:rFonts w:ascii="黑体" w:hAnsi="黑体" w:eastAsia="黑体"/>
          <w:sz w:val="32"/>
        </w:rPr>
        <w:t>第二部分 部门决算情况说明</w:t>
      </w:r>
    </w:p>
    <w:p w14:paraId="7CB3DA18">
      <w:pPr>
        <w:spacing w:line="640" w:lineRule="exact"/>
        <w:ind w:firstLine="640"/>
        <w:jc w:val="both"/>
        <w:outlineLvl w:val="2"/>
      </w:pPr>
      <w:r>
        <w:rPr>
          <w:rFonts w:ascii="黑体" w:hAnsi="黑体" w:eastAsia="黑体"/>
          <w:sz w:val="32"/>
        </w:rPr>
        <w:t>一、收入支出决算总体情况说明</w:t>
      </w:r>
    </w:p>
    <w:p w14:paraId="70A55D2E">
      <w:pPr>
        <w:spacing w:line="580" w:lineRule="exact"/>
        <w:ind w:firstLine="640"/>
        <w:jc w:val="both"/>
      </w:pPr>
      <w:r>
        <w:rPr>
          <w:rFonts w:ascii="仿宋_GB2312" w:hAnsi="仿宋_GB2312" w:eastAsia="仿宋_GB2312"/>
          <w:b/>
          <w:sz w:val="32"/>
        </w:rPr>
        <w:t>2024年度收入总计1,921.15万元，</w:t>
      </w:r>
      <w:r>
        <w:rPr>
          <w:rFonts w:ascii="仿宋_GB2312" w:hAnsi="仿宋_GB2312" w:eastAsia="仿宋_GB2312"/>
          <w:b w:val="0"/>
          <w:sz w:val="32"/>
        </w:rPr>
        <w:t>其中：本年收入合计1,921.13万元，使用非财政拨款结余（含专用结余）0.00万元，年初结转和结余0.01万元。</w:t>
      </w:r>
    </w:p>
    <w:p w14:paraId="3B345BAC">
      <w:pPr>
        <w:spacing w:line="580" w:lineRule="exact"/>
        <w:ind w:firstLine="640"/>
        <w:jc w:val="both"/>
        <w:rPr>
          <w:spacing w:val="-6"/>
          <w:sz w:val="32"/>
        </w:rPr>
      </w:pPr>
      <w:r>
        <w:rPr>
          <w:rFonts w:ascii="仿宋_GB2312" w:hAnsi="仿宋_GB2312" w:eastAsia="仿宋_GB2312"/>
          <w:b/>
          <w:spacing w:val="-6"/>
          <w:sz w:val="32"/>
        </w:rPr>
        <w:t>2024年度支出总计1,921.15万元，</w:t>
      </w:r>
      <w:r>
        <w:rPr>
          <w:rFonts w:ascii="仿宋_GB2312" w:hAnsi="仿宋_GB2312" w:eastAsia="仿宋_GB2312"/>
          <w:b w:val="0"/>
          <w:spacing w:val="-6"/>
          <w:sz w:val="32"/>
        </w:rPr>
        <w:t>其中：本年支出合计1,921.12万元，结余分配0.00万元，年末结转和结余0.03万元。</w:t>
      </w:r>
    </w:p>
    <w:p w14:paraId="10EC74F1">
      <w:pPr>
        <w:spacing w:line="580" w:lineRule="exact"/>
        <w:ind w:firstLine="640"/>
        <w:jc w:val="both"/>
      </w:pPr>
      <w:r>
        <w:rPr>
          <w:rFonts w:ascii="仿宋_GB2312" w:hAnsi="仿宋_GB2312" w:eastAsia="仿宋_GB2312"/>
          <w:b w:val="0"/>
          <w:sz w:val="32"/>
        </w:rPr>
        <w:t>收入支出总体与上年相比，减少19.84万元，下降1.02%，主要原因是：本年减少退伍士兵人员年发放一次性就业补助金，在职人员减少，相关人员经费减少，导致经费较上年减少。</w:t>
      </w:r>
    </w:p>
    <w:p w14:paraId="1E8A8093">
      <w:pPr>
        <w:spacing w:line="640" w:lineRule="exact"/>
        <w:ind w:firstLine="640"/>
        <w:jc w:val="both"/>
        <w:outlineLvl w:val="2"/>
      </w:pPr>
      <w:r>
        <w:rPr>
          <w:rFonts w:ascii="黑体" w:hAnsi="黑体" w:eastAsia="黑体"/>
          <w:sz w:val="32"/>
        </w:rPr>
        <w:t>二、收入决算情况说明</w:t>
      </w:r>
    </w:p>
    <w:p w14:paraId="5049671A">
      <w:pPr>
        <w:spacing w:line="580" w:lineRule="exact"/>
        <w:ind w:firstLine="640"/>
        <w:jc w:val="both"/>
      </w:pPr>
      <w:r>
        <w:rPr>
          <w:rFonts w:ascii="仿宋_GB2312" w:hAnsi="仿宋_GB2312" w:eastAsia="仿宋_GB2312"/>
          <w:b/>
          <w:sz w:val="32"/>
        </w:rPr>
        <w:t>本年收入1,921.13万元，</w:t>
      </w:r>
      <w:r>
        <w:rPr>
          <w:rFonts w:ascii="仿宋_GB2312" w:hAnsi="仿宋_GB2312" w:eastAsia="仿宋_GB2312"/>
          <w:b w:val="0"/>
          <w:sz w:val="32"/>
        </w:rPr>
        <w:t>其中：财政拨款收入1,921.12万元，占100.00%；上级补助收入0.00万元，占0.00%；事业收入0.00万元，占0.00%；经营收入0.00万元，占0.00%；附属单位上缴收入0.00万元，占0.00%；其他收入0.02万元，占0.001%。</w:t>
      </w:r>
    </w:p>
    <w:p w14:paraId="5C10972E">
      <w:pPr>
        <w:spacing w:line="640" w:lineRule="exact"/>
        <w:ind w:firstLine="640"/>
        <w:jc w:val="both"/>
        <w:outlineLvl w:val="2"/>
      </w:pPr>
      <w:r>
        <w:rPr>
          <w:rFonts w:ascii="黑体" w:hAnsi="黑体" w:eastAsia="黑体"/>
          <w:sz w:val="32"/>
        </w:rPr>
        <w:t>三、支出决算情况说明</w:t>
      </w:r>
    </w:p>
    <w:p w14:paraId="59AC6B31">
      <w:pPr>
        <w:spacing w:line="580" w:lineRule="exact"/>
        <w:ind w:firstLine="640"/>
        <w:jc w:val="both"/>
      </w:pPr>
      <w:r>
        <w:rPr>
          <w:rFonts w:ascii="仿宋_GB2312" w:hAnsi="仿宋_GB2312" w:eastAsia="仿宋_GB2312"/>
          <w:b/>
          <w:sz w:val="32"/>
        </w:rPr>
        <w:t>本年支出1,921.12万元，</w:t>
      </w:r>
      <w:r>
        <w:rPr>
          <w:rFonts w:ascii="仿宋_GB2312" w:hAnsi="仿宋_GB2312" w:eastAsia="仿宋_GB2312"/>
          <w:b w:val="0"/>
          <w:sz w:val="32"/>
        </w:rPr>
        <w:t>其中：基本支出202.51万元，占10.54%；项目支出1,718.61万元，占89.46%；上缴上级支出0.00万元，占0.00%；经营支出0.00万元，占0.00%；对附属单位补助支出0.00万元，占0.00%。</w:t>
      </w:r>
    </w:p>
    <w:p w14:paraId="0759137D">
      <w:pPr>
        <w:spacing w:line="640" w:lineRule="exact"/>
        <w:ind w:firstLine="640"/>
        <w:jc w:val="both"/>
        <w:outlineLvl w:val="2"/>
      </w:pPr>
      <w:r>
        <w:rPr>
          <w:rFonts w:ascii="黑体" w:hAnsi="黑体" w:eastAsia="黑体"/>
          <w:sz w:val="32"/>
        </w:rPr>
        <w:t>四、财政拨款收入支出决算总体情况说明</w:t>
      </w:r>
    </w:p>
    <w:p w14:paraId="547FAC20">
      <w:pPr>
        <w:spacing w:line="580" w:lineRule="exact"/>
        <w:ind w:firstLine="640"/>
        <w:jc w:val="both"/>
      </w:pPr>
      <w:r>
        <w:rPr>
          <w:rFonts w:ascii="仿宋_GB2312" w:hAnsi="仿宋_GB2312" w:eastAsia="仿宋_GB2312"/>
          <w:b/>
          <w:sz w:val="32"/>
        </w:rPr>
        <w:t>2024年度财政拨款收入总计1,921.12万元，</w:t>
      </w:r>
      <w:r>
        <w:rPr>
          <w:rFonts w:ascii="仿宋_GB2312" w:hAnsi="仿宋_GB2312" w:eastAsia="仿宋_GB2312"/>
          <w:b w:val="0"/>
          <w:sz w:val="32"/>
        </w:rPr>
        <w:t>其中：年初财政拨款结转和结余0.00万元，本年财政拨款收入1,921.12万元。</w:t>
      </w:r>
      <w:r>
        <w:rPr>
          <w:rFonts w:ascii="仿宋_GB2312" w:hAnsi="仿宋_GB2312" w:eastAsia="仿宋_GB2312"/>
          <w:b/>
          <w:sz w:val="32"/>
        </w:rPr>
        <w:t>财政拨款支出总计1,921.12万元，</w:t>
      </w:r>
      <w:r>
        <w:rPr>
          <w:rFonts w:ascii="仿宋_GB2312" w:hAnsi="仿宋_GB2312" w:eastAsia="仿宋_GB2312"/>
          <w:b w:val="0"/>
          <w:sz w:val="32"/>
        </w:rPr>
        <w:t>其中：年末财政拨款结转和结余0.00万元，本年财政拨款支出1,921.12万元。</w:t>
      </w:r>
    </w:p>
    <w:p w14:paraId="36B4554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减少19.61万元，下降1.01%，主要原因是：本年减少退伍士兵人员年发放一次性就业补助金，在职人员减少，相关人员经费减少，导致经费较上年减少。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年初预算数1,597.52万元，决算数1,921.12万元，预决算差异率20.26%，主要原因是：年中追加中央财政退役安置补助、托里县创建双拥模范县等项目经费，导致预决算存在差异。</w:t>
      </w:r>
    </w:p>
    <w:p w14:paraId="217417C2">
      <w:pPr>
        <w:spacing w:line="640" w:lineRule="exact"/>
        <w:ind w:firstLine="640"/>
        <w:jc w:val="both"/>
        <w:outlineLvl w:val="2"/>
      </w:pPr>
      <w:r>
        <w:rPr>
          <w:rFonts w:ascii="黑体" w:hAnsi="黑体" w:eastAsia="黑体"/>
          <w:sz w:val="32"/>
        </w:rPr>
        <w:t>五、一般公共预算财政拨款支出决算情况说明</w:t>
      </w:r>
    </w:p>
    <w:p w14:paraId="1053FE48">
      <w:pPr>
        <w:spacing w:line="640" w:lineRule="exact"/>
        <w:ind w:firstLine="640"/>
        <w:jc w:val="both"/>
        <w:outlineLvl w:val="3"/>
      </w:pPr>
      <w:r>
        <w:rPr>
          <w:rFonts w:ascii="楷体_GB2312" w:hAnsi="楷体_GB2312" w:eastAsia="楷体_GB2312"/>
          <w:b/>
          <w:sz w:val="32"/>
        </w:rPr>
        <w:t>（一）一般公共预算财政拨款支出决算总体情况</w:t>
      </w:r>
    </w:p>
    <w:p w14:paraId="3EF9319D">
      <w:pPr>
        <w:spacing w:line="580" w:lineRule="exact"/>
        <w:ind w:firstLine="640"/>
        <w:jc w:val="both"/>
      </w:pPr>
      <w:r>
        <w:rPr>
          <w:rFonts w:ascii="仿宋_GB2312" w:hAnsi="仿宋_GB2312" w:eastAsia="仿宋_GB2312"/>
          <w:b/>
          <w:sz w:val="32"/>
        </w:rPr>
        <w:t>2024年度一般公共预算财政拨款支出1,766.08万元，</w:t>
      </w:r>
      <w:r>
        <w:rPr>
          <w:rFonts w:ascii="仿宋_GB2312" w:hAnsi="仿宋_GB2312" w:eastAsia="仿宋_GB2312"/>
          <w:b w:val="0"/>
          <w:sz w:val="32"/>
        </w:rPr>
        <w:t>占本年支出合计的91.93%。</w:t>
      </w:r>
      <w:r>
        <w:rPr>
          <w:rFonts w:ascii="仿宋_GB2312" w:hAnsi="仿宋_GB2312" w:eastAsia="仿宋_GB2312"/>
          <w:b/>
          <w:sz w:val="32"/>
        </w:rPr>
        <w:t>与上年相比，</w:t>
      </w:r>
      <w:r>
        <w:rPr>
          <w:rFonts w:ascii="仿宋_GB2312" w:hAnsi="仿宋_GB2312" w:eastAsia="仿宋_GB2312"/>
          <w:b w:val="0"/>
          <w:sz w:val="32"/>
        </w:rPr>
        <w:t>增加563.76万元，增长46.89%，主要原因是：本年增加社会服务设施建设支持工程、中央财政退役安置补助、托里县创建双拥模范县、60岁以上农村籍退役士兵老年生活补助等项目资金，导致经费较上年增加。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年初预算数1,597.52万元，决算数1,766.08万元，预决算差异率10.55%，主要原因是：年中追加中央财政退役安置补助、托里县创建双拥模范县等项目经费，导致预决算存在差异。</w:t>
      </w:r>
    </w:p>
    <w:p w14:paraId="4FEA10C6">
      <w:pPr>
        <w:spacing w:line="640" w:lineRule="exact"/>
        <w:ind w:firstLine="640"/>
        <w:jc w:val="both"/>
        <w:outlineLvl w:val="3"/>
      </w:pPr>
      <w:r>
        <w:rPr>
          <w:rFonts w:ascii="楷体_GB2312" w:hAnsi="楷体_GB2312" w:eastAsia="楷体_GB2312"/>
          <w:b/>
          <w:sz w:val="32"/>
        </w:rPr>
        <w:t>（二）一般公共预算财政拨款支出决算结构情况</w:t>
      </w:r>
    </w:p>
    <w:p w14:paraId="29114FA4">
      <w:pPr>
        <w:spacing w:line="580" w:lineRule="exact"/>
        <w:ind w:firstLine="640"/>
        <w:jc w:val="both"/>
      </w:pPr>
      <w:r>
        <w:rPr>
          <w:rFonts w:ascii="仿宋_GB2312" w:hAnsi="仿宋_GB2312" w:eastAsia="仿宋_GB2312"/>
          <w:b w:val="0"/>
          <w:sz w:val="32"/>
        </w:rPr>
        <w:t>1.社会保障和就业支出(类)1,737.76万元,占98.40%。</w:t>
      </w:r>
    </w:p>
    <w:p w14:paraId="10670AC9">
      <w:pPr>
        <w:spacing w:line="580" w:lineRule="exact"/>
        <w:ind w:firstLine="640"/>
        <w:jc w:val="both"/>
      </w:pPr>
      <w:r>
        <w:rPr>
          <w:rFonts w:ascii="仿宋_GB2312" w:hAnsi="仿宋_GB2312" w:eastAsia="仿宋_GB2312"/>
          <w:b w:val="0"/>
          <w:sz w:val="32"/>
        </w:rPr>
        <w:t>2.卫生健康支出(类)13.79万元,占0.78%。</w:t>
      </w:r>
    </w:p>
    <w:p w14:paraId="7DAF70E6">
      <w:pPr>
        <w:spacing w:line="580" w:lineRule="exact"/>
        <w:ind w:firstLine="640"/>
        <w:jc w:val="both"/>
      </w:pPr>
      <w:r>
        <w:rPr>
          <w:rFonts w:ascii="仿宋_GB2312" w:hAnsi="仿宋_GB2312" w:eastAsia="仿宋_GB2312"/>
          <w:b w:val="0"/>
          <w:sz w:val="32"/>
        </w:rPr>
        <w:t>3.住房保障支出(类)14.53万元,占0.82%。</w:t>
      </w:r>
    </w:p>
    <w:p w14:paraId="7D476027">
      <w:pPr>
        <w:spacing w:line="640" w:lineRule="exact"/>
        <w:ind w:firstLine="640"/>
        <w:jc w:val="both"/>
        <w:outlineLvl w:val="3"/>
      </w:pPr>
      <w:r>
        <w:rPr>
          <w:rFonts w:ascii="楷体_GB2312" w:hAnsi="楷体_GB2312" w:eastAsia="楷体_GB2312"/>
          <w:b/>
          <w:sz w:val="32"/>
        </w:rPr>
        <w:t>（三）一般公共预算财政拨款支出决算具体情况</w:t>
      </w:r>
    </w:p>
    <w:p w14:paraId="0EB0486A">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1.社会保障和就业支出(类)行政事业单位养老支出(款)行政单位离退休(项):支出决算数为0.40万元，比上年决算增加0.40万元，增长100.00%,主要原因是：本年退休人员增加，退休费支出增加。</w:t>
      </w:r>
    </w:p>
    <w:p w14:paraId="47FEB7F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17.71万元，比上年决算增加1.65万元，增长10.27%,主要原因是：本年在职人员工资基数调增，养老缴费基数上涨，相应支出增加。</w:t>
      </w:r>
    </w:p>
    <w:p w14:paraId="43D09724">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3.社会保障和就业支出(类)行政事业单位养老支出(款)机关事业单位职业年金缴费支出(项):支出决算数为7.38万元，比上年决算增加7.38万元，增长100.00%,主要原因是：本年新增退休人员，职业年金缴费支出增加。</w:t>
      </w:r>
    </w:p>
    <w:p w14:paraId="532C0DB8">
      <w:pPr>
        <w:spacing w:line="580" w:lineRule="exact"/>
        <w:ind w:firstLine="640"/>
        <w:jc w:val="both"/>
      </w:pPr>
      <w:r>
        <w:rPr>
          <w:rFonts w:ascii="仿宋_GB2312" w:hAnsi="仿宋_GB2312" w:eastAsia="仿宋_GB2312"/>
          <w:b w:val="0"/>
          <w:sz w:val="32"/>
        </w:rPr>
        <w:t>4.社会保障和就业支出(类)就业补助(款)社会保险补贴(项):支出决算数为0.61万元，比上年决算减少0.52万元，下降46.02%,主要原因是：本年减少公益性岗位</w:t>
      </w:r>
      <w:r>
        <w:rPr>
          <w:rFonts w:hint="eastAsia" w:ascii="仿宋_GB2312" w:hAnsi="仿宋_GB2312" w:eastAsia="仿宋_GB2312"/>
          <w:b w:val="0"/>
          <w:sz w:val="32"/>
          <w:lang w:val="en-US" w:eastAsia="zh-CN"/>
        </w:rPr>
        <w:t>人员</w:t>
      </w:r>
      <w:r>
        <w:rPr>
          <w:rFonts w:ascii="仿宋_GB2312" w:hAnsi="仿宋_GB2312" w:eastAsia="仿宋_GB2312"/>
          <w:b w:val="0"/>
          <w:sz w:val="32"/>
        </w:rPr>
        <w:t>，公益性岗位人员社保补贴资金减少。</w:t>
      </w:r>
    </w:p>
    <w:p w14:paraId="04F1FE49">
      <w:pPr>
        <w:spacing w:line="580" w:lineRule="exact"/>
        <w:ind w:firstLine="640"/>
        <w:jc w:val="both"/>
      </w:pPr>
      <w:r>
        <w:rPr>
          <w:rFonts w:ascii="仿宋_GB2312" w:hAnsi="仿宋_GB2312" w:eastAsia="仿宋_GB2312"/>
          <w:b w:val="0"/>
          <w:sz w:val="32"/>
        </w:rPr>
        <w:t>5.社会保障和就业支出(类)抚恤(款)伤残抚恤(项):支出决算数为192.69万元，比上年决算增加172.49万元，增长853.91%,主要原因是：本年增加伤残抚恤项目资金，相关支出增加。</w:t>
      </w:r>
    </w:p>
    <w:p w14:paraId="7EC2C73A">
      <w:pPr>
        <w:spacing w:line="580" w:lineRule="exact"/>
        <w:ind w:firstLine="640"/>
        <w:jc w:val="both"/>
      </w:pPr>
      <w:r>
        <w:rPr>
          <w:rFonts w:ascii="仿宋_GB2312" w:hAnsi="仿宋_GB2312" w:eastAsia="仿宋_GB2312"/>
          <w:b w:val="0"/>
          <w:sz w:val="32"/>
        </w:rPr>
        <w:t>6.社会保障和就业支出(类)抚恤(款)在乡复员、退伍军人生活补助(项):支出决算数为60.41万元，比上年决算增加32.83万元，增长119.04%,主要原因是：本年增加中央财政优抚对象补助、自治区优抚对象补助资金，相关支出增加。</w:t>
      </w:r>
    </w:p>
    <w:p w14:paraId="69D1AB07">
      <w:pPr>
        <w:spacing w:line="580" w:lineRule="exact"/>
        <w:ind w:firstLine="640"/>
        <w:jc w:val="both"/>
      </w:pPr>
      <w:r>
        <w:rPr>
          <w:rFonts w:ascii="仿宋_GB2312" w:hAnsi="仿宋_GB2312" w:eastAsia="仿宋_GB2312"/>
          <w:b w:val="0"/>
          <w:sz w:val="32"/>
        </w:rPr>
        <w:t>7.社会保障和就业支出(类)抚恤(款)义务兵优待(项):支出决算数为137.00万元，比上年决算增加56.75万元，增长70.72%,主要原因是：本年增加中央财政优抚对象补助发放家庭优待金，相关支出增加。</w:t>
      </w:r>
    </w:p>
    <w:p w14:paraId="14954BA0">
      <w:pPr>
        <w:spacing w:line="580" w:lineRule="exact"/>
        <w:ind w:firstLine="640"/>
        <w:jc w:val="both"/>
      </w:pPr>
      <w:r>
        <w:rPr>
          <w:rFonts w:ascii="仿宋_GB2312" w:hAnsi="仿宋_GB2312" w:eastAsia="仿宋_GB2312"/>
          <w:b w:val="0"/>
          <w:sz w:val="32"/>
        </w:rPr>
        <w:t>8.社会保障和就业支出(类)抚恤(款)农村籍退役士兵老年生活补助(项):支出决算数为142.07万元，比上年决算增加142.07万元，增长100.00%,主要原因是：本年新增60岁以上农村籍退役士兵老年生活补助，相关支出增加。</w:t>
      </w:r>
    </w:p>
    <w:p w14:paraId="5FF5AA7B">
      <w:pPr>
        <w:spacing w:line="580" w:lineRule="exact"/>
        <w:ind w:firstLine="640"/>
        <w:jc w:val="both"/>
      </w:pPr>
      <w:r>
        <w:rPr>
          <w:rFonts w:ascii="仿宋_GB2312" w:hAnsi="仿宋_GB2312" w:eastAsia="仿宋_GB2312"/>
          <w:b w:val="0"/>
          <w:sz w:val="32"/>
        </w:rPr>
        <w:t>9.社会保障和就业支出(类)抚恤(款)褒扬纪念(项):支出决算数为497.83万元，比上年决算增加497.83万元，增长100.00%,主要原因是：本年功能科目调整，上年烈士陵园纪念展馆建设项目由政府性基金预算财政拨款用于其他社会公益事业的彩票公益金支出科目列支，本年部分经费调整至一般公共预算褒扬纪念科目列支，相关支出增加。</w:t>
      </w:r>
    </w:p>
    <w:p w14:paraId="636BF433">
      <w:pPr>
        <w:spacing w:line="580" w:lineRule="exact"/>
        <w:ind w:firstLine="640"/>
        <w:jc w:val="both"/>
        <w:rPr>
          <w:spacing w:val="-6"/>
          <w:sz w:val="32"/>
        </w:rPr>
      </w:pPr>
      <w:r>
        <w:rPr>
          <w:rFonts w:ascii="仿宋_GB2312" w:hAnsi="仿宋_GB2312" w:eastAsia="仿宋_GB2312"/>
          <w:b w:val="0"/>
          <w:spacing w:val="-6"/>
          <w:sz w:val="32"/>
        </w:rPr>
        <w:t>10.社会保障和就业支出(类)抚恤(款)其他优抚支出(项):支出决算数为34.34万元，比上年决算减少343.37万元，下降90.91%,主要原因是：本年其他优抚支出项目减少，相关支出减少。</w:t>
      </w:r>
    </w:p>
    <w:p w14:paraId="021AACB3">
      <w:pPr>
        <w:spacing w:line="580" w:lineRule="exact"/>
        <w:ind w:firstLine="640"/>
        <w:jc w:val="both"/>
      </w:pPr>
      <w:r>
        <w:rPr>
          <w:rFonts w:ascii="仿宋_GB2312" w:hAnsi="仿宋_GB2312" w:eastAsia="仿宋_GB2312"/>
          <w:b w:val="0"/>
          <w:sz w:val="32"/>
        </w:rPr>
        <w:t>11.社会保障和就业支出(类)退役安置(款)退役士兵安置(项):支出决算数为0.00万元，比上年决算减少136.40万元，下降100.00%,主要原因是：本年功能科目调整，退役士兵一次性就业补助金由本科目调整至其他退役安置支出科目列支，相关支出减少。</w:t>
      </w:r>
    </w:p>
    <w:p w14:paraId="4E0FDC19">
      <w:pPr>
        <w:spacing w:line="580" w:lineRule="exact"/>
        <w:ind w:firstLine="640"/>
        <w:jc w:val="both"/>
        <w:rPr>
          <w:spacing w:val="-6"/>
          <w:sz w:val="32"/>
        </w:rPr>
      </w:pPr>
      <w:r>
        <w:rPr>
          <w:rFonts w:ascii="仿宋_GB2312" w:hAnsi="仿宋_GB2312" w:eastAsia="仿宋_GB2312"/>
          <w:b w:val="0"/>
          <w:spacing w:val="-6"/>
          <w:sz w:val="32"/>
        </w:rPr>
        <w:t>12.社会保障和就业支出(类)退役安置(款)军队移交政府的离退休人员安置(项):支出决算数为106.49万元，比上年决算增加99.64万元，增长1,454.60%,主要原因是：本年新增军队移交政府的离退休人员，中央财政退役安置补助增加，相关支出增加。</w:t>
      </w:r>
    </w:p>
    <w:p w14:paraId="5139F3D1">
      <w:pPr>
        <w:spacing w:line="580" w:lineRule="exact"/>
        <w:ind w:firstLine="640"/>
        <w:jc w:val="both"/>
      </w:pPr>
      <w:r>
        <w:rPr>
          <w:rFonts w:ascii="仿宋_GB2312" w:hAnsi="仿宋_GB2312" w:eastAsia="仿宋_GB2312"/>
          <w:b w:val="0"/>
          <w:sz w:val="32"/>
        </w:rPr>
        <w:t>13.社会保障和就业支出(类)退役安置(款)退役士兵管理教育(项):支出决算数为1.28万元，比上年决算增加1.28万元，增长100.00%,主要原因是：本年新增退役士兵技能培训费，相关支出增加。</w:t>
      </w:r>
    </w:p>
    <w:p w14:paraId="51809EC7">
      <w:pPr>
        <w:spacing w:line="580" w:lineRule="exact"/>
        <w:ind w:firstLine="640"/>
        <w:jc w:val="both"/>
      </w:pPr>
      <w:r>
        <w:rPr>
          <w:rFonts w:ascii="仿宋_GB2312" w:hAnsi="仿宋_GB2312" w:eastAsia="仿宋_GB2312"/>
          <w:b w:val="0"/>
          <w:sz w:val="32"/>
        </w:rPr>
        <w:t>14.社会保障和就业支出(类)退役安置(款)军队转业干部安置(项):支出决算数为261.93万元，比上年决算增加2.26万元，增长0.87%,主要原因是：本年军队转业干部安置项目资金增加，相关支出增加。</w:t>
      </w:r>
    </w:p>
    <w:p w14:paraId="2EF83C35">
      <w:pPr>
        <w:spacing w:line="580" w:lineRule="exact"/>
        <w:ind w:firstLine="640"/>
        <w:jc w:val="both"/>
      </w:pPr>
      <w:r>
        <w:rPr>
          <w:rFonts w:ascii="仿宋_GB2312" w:hAnsi="仿宋_GB2312" w:eastAsia="仿宋_GB2312"/>
          <w:b w:val="0"/>
          <w:sz w:val="32"/>
        </w:rPr>
        <w:t>15.社会保障和就业支出(类)退役安置(款)其他退役安置支出(项):支出决算数为116.35万元，比上年决算增加22.00万元，增长23.32%,主要原因是：本年增加退役士兵一次性就业金，所以较上年度资金支出增加。</w:t>
      </w:r>
    </w:p>
    <w:p w14:paraId="75FDFA43">
      <w:pPr>
        <w:spacing w:line="580" w:lineRule="exact"/>
        <w:ind w:firstLine="640"/>
        <w:jc w:val="both"/>
      </w:pPr>
      <w:r>
        <w:rPr>
          <w:rFonts w:ascii="仿宋_GB2312" w:hAnsi="仿宋_GB2312" w:eastAsia="仿宋_GB2312"/>
          <w:b w:val="0"/>
          <w:sz w:val="32"/>
        </w:rPr>
        <w:t>16.社会保障和就业支出(类)退役军人管理事务(款)行政运行(项):支出决算数为152.10万元，比上年决算增加13.68万元，增长9.88%,主要原因是：本年在职人员工资调增，导致相关人员经费较上年有所增加。</w:t>
      </w:r>
    </w:p>
    <w:p w14:paraId="21BB90F3">
      <w:pPr>
        <w:spacing w:line="580" w:lineRule="exact"/>
        <w:ind w:firstLine="640"/>
        <w:jc w:val="both"/>
      </w:pPr>
      <w:r>
        <w:rPr>
          <w:rFonts w:ascii="仿宋_GB2312" w:hAnsi="仿宋_GB2312" w:eastAsia="仿宋_GB2312"/>
          <w:b w:val="0"/>
          <w:sz w:val="32"/>
        </w:rPr>
        <w:t>17.社会保障和就业支出(类)退役军人管理事务(款)一般行政管理事务(项):支出决算数为9.18万元，比上年决算减少1.51万元，下降14.13%,主要原因是：本年减少孔繁森维修项目资金支出，相关支出减少。</w:t>
      </w:r>
    </w:p>
    <w:p w14:paraId="06B71857">
      <w:pPr>
        <w:spacing w:line="580" w:lineRule="exact"/>
        <w:ind w:firstLine="640"/>
        <w:jc w:val="both"/>
      </w:pPr>
      <w:r>
        <w:rPr>
          <w:rFonts w:ascii="仿宋_GB2312" w:hAnsi="仿宋_GB2312" w:eastAsia="仿宋_GB2312"/>
          <w:b w:val="0"/>
          <w:sz w:val="32"/>
        </w:rPr>
        <w:t>18.社会保障和就业支出(类)其他社会保障和就业支出(款)其他社会保障和就业支出(项):支出决算数为0.00万元，比上年决算减少7.11万元，下降100.00%,主要原因是：本年未安排军休和无军籍职工退职退役和退休费、无军籍职工住院医疗经费，相关支出减少。</w:t>
      </w:r>
    </w:p>
    <w:p w14:paraId="04F72D36">
      <w:pPr>
        <w:spacing w:line="580" w:lineRule="exact"/>
        <w:ind w:firstLine="640"/>
        <w:jc w:val="both"/>
      </w:pPr>
      <w:r>
        <w:rPr>
          <w:rFonts w:ascii="仿宋_GB2312" w:hAnsi="仿宋_GB2312" w:eastAsia="仿宋_GB2312"/>
          <w:b w:val="0"/>
          <w:sz w:val="32"/>
        </w:rPr>
        <w:t>19.卫生健康支出(类)行政事业单位医疗(款)行政单位医疗(项):支出决算数为7.86万元，比上年决算增加0.64万元，增长8.86%,主要原因是：本年在职人员工资基数调增，医疗缴费基数上涨，相应支出增加。</w:t>
      </w:r>
    </w:p>
    <w:p w14:paraId="55EF8203">
      <w:pPr>
        <w:spacing w:line="580" w:lineRule="exact"/>
        <w:ind w:firstLine="640"/>
        <w:jc w:val="both"/>
      </w:pPr>
      <w:r>
        <w:rPr>
          <w:rFonts w:ascii="仿宋_GB2312" w:hAnsi="仿宋_GB2312" w:eastAsia="仿宋_GB2312"/>
          <w:b w:val="0"/>
          <w:sz w:val="32"/>
        </w:rPr>
        <w:t>20.卫生健康支出(类)行政事业单位医疗(款)公务员医疗补助(项):支出决算数为2.53万元，比上年决算增加0.27万元，增长11.95%,主要原因是：本年在职人员工资基数调增，医疗缴费基数上涨，相应支出增加。</w:t>
      </w:r>
    </w:p>
    <w:p w14:paraId="1A482AC0">
      <w:pPr>
        <w:spacing w:line="580" w:lineRule="exact"/>
        <w:ind w:firstLine="640"/>
        <w:jc w:val="both"/>
      </w:pPr>
      <w:r>
        <w:rPr>
          <w:rFonts w:ascii="仿宋_GB2312" w:hAnsi="仿宋_GB2312" w:eastAsia="仿宋_GB2312"/>
          <w:b w:val="0"/>
          <w:sz w:val="32"/>
        </w:rPr>
        <w:t>21.卫生健康支出(类)优抚对象医疗(款)优抚对象医疗补助(项):支出决算数为0.37万元，比上年决算减少0.15万元，下降28.85%,主要原因是：本年减少无军籍职工医疗缴费和优抚对象医疗报销资金，相关支出减少。</w:t>
      </w:r>
    </w:p>
    <w:p w14:paraId="3E8AD00E">
      <w:pPr>
        <w:spacing w:line="580" w:lineRule="exact"/>
        <w:ind w:firstLine="640"/>
        <w:jc w:val="both"/>
      </w:pPr>
      <w:r>
        <w:rPr>
          <w:rFonts w:ascii="仿宋_GB2312" w:hAnsi="仿宋_GB2312" w:eastAsia="仿宋_GB2312"/>
          <w:b w:val="0"/>
          <w:sz w:val="32"/>
        </w:rPr>
        <w:t>22.卫生健康支出(类)优抚对象医疗(款)其他优抚对象医疗支出(项):支出决算数为3.03万元，比上年决算增加0.03万元，增长1.00%,主要原因是：本年增加优抚对象医疗保障经费，相关支出增加。</w:t>
      </w:r>
    </w:p>
    <w:p w14:paraId="1361E4F0">
      <w:pPr>
        <w:spacing w:line="580" w:lineRule="exact"/>
        <w:ind w:firstLine="640"/>
        <w:jc w:val="both"/>
      </w:pPr>
      <w:r>
        <w:rPr>
          <w:rFonts w:ascii="仿宋_GB2312" w:hAnsi="仿宋_GB2312" w:eastAsia="仿宋_GB2312"/>
          <w:b w:val="0"/>
          <w:sz w:val="32"/>
        </w:rPr>
        <w:t>23.住房保障支出(类)住房改革支出(款)住房公积金(项):支出决算数为14.53万元，比上年决算增加1.63万元，增长12.64%,主要原因是：本年在职人员工资基数调增，公积金缴费基数上涨，相应支出增加。</w:t>
      </w:r>
    </w:p>
    <w:p w14:paraId="3E5E873A">
      <w:pPr>
        <w:spacing w:line="640" w:lineRule="exact"/>
        <w:ind w:firstLine="640"/>
        <w:jc w:val="both"/>
        <w:outlineLvl w:val="2"/>
      </w:pPr>
      <w:r>
        <w:rPr>
          <w:rFonts w:ascii="黑体" w:hAnsi="黑体" w:eastAsia="黑体"/>
          <w:sz w:val="32"/>
        </w:rPr>
        <w:t>六、一般公共预算财政拨款基本支出决算情况说明</w:t>
      </w:r>
    </w:p>
    <w:p w14:paraId="1AABB49F">
      <w:pPr>
        <w:spacing w:line="580" w:lineRule="exact"/>
        <w:ind w:firstLine="640"/>
        <w:jc w:val="both"/>
      </w:pPr>
      <w:r>
        <w:rPr>
          <w:rFonts w:ascii="仿宋_GB2312" w:hAnsi="仿宋_GB2312" w:eastAsia="仿宋_GB2312"/>
          <w:b w:val="0"/>
          <w:sz w:val="32"/>
        </w:rPr>
        <w:t>2024年度一般公共预算财政拨款基本支出202.51万元，其中：</w:t>
      </w:r>
      <w:r>
        <w:rPr>
          <w:rFonts w:ascii="仿宋_GB2312" w:hAnsi="仿宋_GB2312" w:eastAsia="仿宋_GB2312"/>
          <w:b/>
          <w:sz w:val="32"/>
        </w:rPr>
        <w:t>人员经费190.08万元，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14:paraId="4585F4F4">
      <w:pPr>
        <w:spacing w:line="580" w:lineRule="exact"/>
        <w:ind w:firstLine="640"/>
        <w:jc w:val="both"/>
      </w:pPr>
      <w:r>
        <w:rPr>
          <w:rFonts w:ascii="仿宋_GB2312" w:hAnsi="仿宋_GB2312" w:eastAsia="仿宋_GB2312"/>
          <w:b/>
          <w:sz w:val="32"/>
        </w:rPr>
        <w:t>公用经费12.43万元，</w:t>
      </w:r>
      <w:r>
        <w:rPr>
          <w:rFonts w:ascii="仿宋_GB2312" w:hAnsi="仿宋_GB2312" w:eastAsia="仿宋_GB2312"/>
          <w:b w:val="0"/>
          <w:sz w:val="32"/>
        </w:rPr>
        <w:t>包括：办公费、手续费、水费、电费、邮电费、取暖费、差旅费、维修（护）费、工会经费。</w:t>
      </w:r>
    </w:p>
    <w:p w14:paraId="3999D2A0">
      <w:pPr>
        <w:spacing w:line="640" w:lineRule="exact"/>
        <w:ind w:firstLine="640"/>
        <w:jc w:val="both"/>
        <w:outlineLvl w:val="2"/>
      </w:pPr>
      <w:r>
        <w:rPr>
          <w:rFonts w:ascii="黑体" w:hAnsi="黑体" w:eastAsia="黑体"/>
          <w:sz w:val="32"/>
        </w:rPr>
        <w:t>七、政府性基金预算财政拨款收入支出决算情况说明</w:t>
      </w:r>
    </w:p>
    <w:p w14:paraId="34D7CC77">
      <w:pPr>
        <w:spacing w:line="580" w:lineRule="exact"/>
        <w:ind w:firstLine="640"/>
        <w:jc w:val="both"/>
      </w:pPr>
      <w:r>
        <w:rPr>
          <w:rFonts w:ascii="仿宋_GB2312" w:hAnsi="仿宋_GB2312" w:eastAsia="仿宋_GB2312"/>
          <w:b/>
          <w:sz w:val="32"/>
        </w:rPr>
        <w:t>2024年度政府性基金预算财政拨款收入总计155.03万元，</w:t>
      </w:r>
      <w:r>
        <w:rPr>
          <w:rFonts w:ascii="仿宋_GB2312" w:hAnsi="仿宋_GB2312" w:eastAsia="仿宋_GB2312"/>
          <w:b w:val="0"/>
          <w:sz w:val="32"/>
        </w:rPr>
        <w:t>其中：年初结转和结余0.00万元，本年收入155.03万元。</w:t>
      </w:r>
      <w:r>
        <w:rPr>
          <w:rFonts w:ascii="仿宋_GB2312" w:hAnsi="仿宋_GB2312" w:eastAsia="仿宋_GB2312"/>
          <w:b/>
          <w:sz w:val="32"/>
        </w:rPr>
        <w:t>政府性基金预算财政拨款支出总计155.03万元，</w:t>
      </w:r>
      <w:r>
        <w:rPr>
          <w:rFonts w:ascii="仿宋_GB2312" w:hAnsi="仿宋_GB2312" w:eastAsia="仿宋_GB2312"/>
          <w:b w:val="0"/>
          <w:sz w:val="32"/>
        </w:rPr>
        <w:t>其中：年末结转和结余0.00万元，本年支出155.03万元。</w:t>
      </w:r>
    </w:p>
    <w:p w14:paraId="79FECB4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减少583.38万元，下降79.00%，主要原因是：本年减少烈士陵园纪念碑项目，相关支出减少。</w:t>
      </w:r>
      <w:r>
        <w:rPr>
          <w:rFonts w:ascii="仿宋_GB2312" w:hAnsi="仿宋_GB2312" w:eastAsia="仿宋_GB2312"/>
          <w:b/>
          <w:sz w:val="32"/>
        </w:rPr>
        <w:t>与年初预算相比，</w:t>
      </w:r>
      <w:r>
        <w:rPr>
          <w:rFonts w:ascii="仿宋_GB2312" w:hAnsi="仿宋_GB2312" w:eastAsia="仿宋_GB2312"/>
          <w:b w:val="0"/>
          <w:sz w:val="32"/>
        </w:rPr>
        <w:t>年初预算数0.00万元，决算数155.03万元，预决算差异率100.00%，主要原因是：年中追加托里县烈士陵园项目建设资金的支出，导致预决算存在差异。</w:t>
      </w:r>
    </w:p>
    <w:p w14:paraId="594DBE66">
      <w:pPr>
        <w:spacing w:line="580" w:lineRule="exact"/>
        <w:ind w:firstLine="640"/>
        <w:jc w:val="both"/>
      </w:pPr>
      <w:r>
        <w:rPr>
          <w:rFonts w:ascii="仿宋_GB2312" w:hAnsi="仿宋_GB2312" w:eastAsia="仿宋_GB2312"/>
          <w:b w:val="0"/>
          <w:sz w:val="32"/>
        </w:rPr>
        <w:t>政府性基金预算财政拨款支出155.03万元。</w:t>
      </w:r>
    </w:p>
    <w:p w14:paraId="28E0E030">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60.66万元，比上年决算增加27.88万元，增长85.05%,主要原因是：本年增加自治区福利彩票公益金烈士陵园建设项目建设费，相关支出增加。</w:t>
      </w:r>
    </w:p>
    <w:p w14:paraId="05D00C6C">
      <w:pPr>
        <w:spacing w:line="580" w:lineRule="exact"/>
        <w:ind w:firstLine="640"/>
        <w:jc w:val="both"/>
        <w:rPr>
          <w:spacing w:val="-6"/>
          <w:sz w:val="32"/>
        </w:rPr>
      </w:pPr>
      <w:r>
        <w:rPr>
          <w:rFonts w:ascii="仿宋_GB2312" w:hAnsi="仿宋_GB2312" w:eastAsia="仿宋_GB2312"/>
          <w:b w:val="0"/>
          <w:spacing w:val="-6"/>
          <w:sz w:val="32"/>
        </w:rPr>
        <w:t>2.其他支出(类)彩票公益金安排的支出(款)用于其他社会公益事业的彩票公益金支出(项):支出决算数为94.37万元，比上年决算减少611.26万元，下降86.63%,主要原因是：本年功能科目调整，上年烈士陵园纪念展馆建设项目由政府性基金预算财政拨款用于其他社会公益事业的彩票公益金支出科目列支，本年部分经费调整至一般公共预算褒扬纪念科目列支，相关支出减少。</w:t>
      </w:r>
    </w:p>
    <w:p w14:paraId="5F95A221">
      <w:pPr>
        <w:spacing w:line="640" w:lineRule="exact"/>
        <w:ind w:firstLine="640"/>
        <w:jc w:val="both"/>
        <w:outlineLvl w:val="2"/>
      </w:pPr>
      <w:r>
        <w:rPr>
          <w:rFonts w:ascii="黑体" w:hAnsi="黑体" w:eastAsia="黑体"/>
          <w:sz w:val="32"/>
        </w:rPr>
        <w:t>八、国有资本经营预算财政拨款收入支出决算情况说明</w:t>
      </w:r>
    </w:p>
    <w:p w14:paraId="75D4CE9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691A0DB">
      <w:pPr>
        <w:spacing w:line="640" w:lineRule="exact"/>
        <w:ind w:firstLine="640"/>
        <w:jc w:val="both"/>
        <w:outlineLvl w:val="2"/>
      </w:pPr>
      <w:r>
        <w:rPr>
          <w:rFonts w:ascii="黑体" w:hAnsi="黑体" w:eastAsia="黑体"/>
          <w:sz w:val="32"/>
        </w:rPr>
        <w:t>九、财政拨款“三公”经费支出决算情况说明</w:t>
      </w:r>
    </w:p>
    <w:p w14:paraId="21C05A0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0.58万元，下降100.00%，主要原因是：本年未安排公务接待工作，导致公务接待费较上年减少。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减少0.58万元，下降100.00%，主要原因是：本年未安排公务接待工作，导致公务接待费较上年减少。</w:t>
      </w:r>
    </w:p>
    <w:p w14:paraId="20E95D95">
      <w:pPr>
        <w:spacing w:line="580" w:lineRule="exact"/>
        <w:ind w:firstLine="640"/>
        <w:jc w:val="both"/>
      </w:pPr>
      <w:r>
        <w:rPr>
          <w:rFonts w:ascii="仿宋_GB2312" w:hAnsi="仿宋_GB2312" w:eastAsia="仿宋_GB2312"/>
          <w:b/>
          <w:sz w:val="32"/>
        </w:rPr>
        <w:t>具体情况如下：</w:t>
      </w:r>
    </w:p>
    <w:p w14:paraId="3DAE156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D17805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预算未安排公务用车运行维护费。</w:t>
      </w:r>
    </w:p>
    <w:p w14:paraId="19DED2C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4C8995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518182A">
      <w:pPr>
        <w:spacing w:line="640" w:lineRule="exact"/>
        <w:ind w:firstLine="640"/>
        <w:jc w:val="both"/>
        <w:outlineLvl w:val="2"/>
      </w:pPr>
      <w:r>
        <w:rPr>
          <w:rFonts w:ascii="黑体" w:hAnsi="黑体" w:eastAsia="黑体"/>
          <w:sz w:val="32"/>
        </w:rPr>
        <w:t>十、其他重要事项的情况说明</w:t>
      </w:r>
    </w:p>
    <w:p w14:paraId="778459FF">
      <w:pPr>
        <w:spacing w:line="640" w:lineRule="exact"/>
        <w:ind w:firstLine="640"/>
        <w:jc w:val="both"/>
        <w:outlineLvl w:val="3"/>
      </w:pPr>
      <w:r>
        <w:rPr>
          <w:rFonts w:ascii="楷体_GB2312" w:hAnsi="楷体_GB2312" w:eastAsia="楷体_GB2312"/>
          <w:b/>
          <w:sz w:val="32"/>
        </w:rPr>
        <w:t>（一）机关运行经费及公用经费支出情况</w:t>
      </w:r>
    </w:p>
    <w:p w14:paraId="6EEABBC8">
      <w:pPr>
        <w:spacing w:line="580" w:lineRule="exact"/>
        <w:ind w:firstLine="640"/>
        <w:jc w:val="both"/>
      </w:pPr>
      <w:r>
        <w:rPr>
          <w:rFonts w:ascii="仿宋_GB2312" w:hAnsi="仿宋_GB2312" w:eastAsia="仿宋_GB2312"/>
          <w:b w:val="0"/>
          <w:sz w:val="32"/>
        </w:rPr>
        <w:t>2024年度托里县退役军人事务局（行政单位和参照公务员法管理事业单位）机关运行经费支出12.43万元，比上年增加2.13万元，增长20.68%，主要原因是：本年办公费增加，机关运行经费支出增加。</w:t>
      </w:r>
    </w:p>
    <w:p w14:paraId="6EF65D26">
      <w:pPr>
        <w:spacing w:line="640" w:lineRule="exact"/>
        <w:ind w:firstLine="640"/>
        <w:jc w:val="both"/>
        <w:outlineLvl w:val="3"/>
      </w:pPr>
      <w:r>
        <w:rPr>
          <w:rFonts w:ascii="楷体_GB2312" w:hAnsi="楷体_GB2312" w:eastAsia="楷体_GB2312"/>
          <w:b/>
          <w:sz w:val="32"/>
        </w:rPr>
        <w:t>（二）政府采购情况</w:t>
      </w:r>
    </w:p>
    <w:p w14:paraId="229D9E61">
      <w:pPr>
        <w:spacing w:line="580" w:lineRule="exact"/>
        <w:ind w:firstLine="640"/>
        <w:jc w:val="both"/>
      </w:pPr>
      <w:r>
        <w:rPr>
          <w:rFonts w:ascii="仿宋_GB2312" w:hAnsi="仿宋_GB2312" w:eastAsia="仿宋_GB2312"/>
          <w:b w:val="0"/>
          <w:sz w:val="32"/>
        </w:rPr>
        <w:t>2024年度政府采购支出总额29.70万元，其中：政府采购货物支出14.87万元、政府采购工程支出0.00万元、政府采购服务支出14.82万元。</w:t>
      </w:r>
    </w:p>
    <w:p w14:paraId="5B6BBD9E">
      <w:pPr>
        <w:spacing w:line="580" w:lineRule="exact"/>
        <w:ind w:firstLine="640"/>
        <w:jc w:val="both"/>
      </w:pPr>
      <w:r>
        <w:rPr>
          <w:rFonts w:ascii="仿宋_GB2312" w:hAnsi="仿宋_GB2312" w:eastAsia="仿宋_GB2312"/>
          <w:b w:val="0"/>
          <w:sz w:val="32"/>
        </w:rPr>
        <w:t>授予中小企业合同金额29.70万元，占政府采购支出总额的100.00%，其中：授予小微企业合同金额28.26万元，占政府采购支出总额的95.15%。</w:t>
      </w:r>
    </w:p>
    <w:p w14:paraId="62A12926">
      <w:pPr>
        <w:spacing w:line="640" w:lineRule="exact"/>
        <w:ind w:firstLine="640"/>
        <w:jc w:val="both"/>
        <w:outlineLvl w:val="3"/>
      </w:pPr>
      <w:r>
        <w:rPr>
          <w:rFonts w:ascii="楷体_GB2312" w:hAnsi="楷体_GB2312" w:eastAsia="楷体_GB2312"/>
          <w:b/>
          <w:sz w:val="32"/>
        </w:rPr>
        <w:t>（三）国有资产占用情况说明</w:t>
      </w:r>
    </w:p>
    <w:p w14:paraId="6436130D">
      <w:pPr>
        <w:spacing w:line="580" w:lineRule="exact"/>
        <w:ind w:firstLine="640"/>
        <w:jc w:val="both"/>
      </w:pPr>
      <w:r>
        <w:rPr>
          <w:rFonts w:ascii="仿宋_GB2312" w:hAnsi="仿宋_GB2312" w:eastAsia="仿宋_GB2312"/>
          <w:b w:val="0"/>
          <w:sz w:val="32"/>
        </w:rPr>
        <w:t>截至2024年1</w:t>
      </w:r>
      <w:bookmarkStart w:id="0" w:name="_GoBack"/>
      <w:r>
        <w:rPr>
          <w:rFonts w:ascii="仿宋_GB2312" w:hAnsi="仿宋_GB2312" w:eastAsia="仿宋_GB2312"/>
          <w:b w:val="0"/>
          <w:sz w:val="32"/>
        </w:rPr>
        <w:t>2月31日</w:t>
      </w:r>
      <w:bookmarkEnd w:id="0"/>
      <w:r>
        <w:rPr>
          <w:rFonts w:ascii="仿宋_GB2312" w:hAnsi="仿宋_GB2312" w:eastAsia="仿宋_GB2312"/>
          <w:b w:val="0"/>
          <w:sz w:val="32"/>
        </w:rPr>
        <w:t>，房屋0.00平方米，价值0.00万元。车辆1辆，价值70.00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26F316D8">
      <w:pPr>
        <w:spacing w:line="640" w:lineRule="exact"/>
        <w:ind w:firstLine="640"/>
        <w:jc w:val="both"/>
        <w:outlineLvl w:val="2"/>
      </w:pPr>
      <w:r>
        <w:rPr>
          <w:rFonts w:ascii="黑体" w:hAnsi="黑体" w:eastAsia="黑体"/>
          <w:sz w:val="32"/>
        </w:rPr>
        <w:t>十一、预算绩效的情况说明</w:t>
      </w:r>
    </w:p>
    <w:p w14:paraId="45E553F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rPr>
        <w:t>1,921.15</w:t>
      </w:r>
      <w:r>
        <w:rPr>
          <w:rFonts w:ascii="仿宋_GB2312" w:hAnsi="仿宋_GB2312" w:eastAsia="仿宋_GB2312"/>
          <w:b w:val="0"/>
          <w:sz w:val="32"/>
        </w:rPr>
        <w:t>万元，实际执行总额</w:t>
      </w:r>
      <w:r>
        <w:rPr>
          <w:rFonts w:hint="eastAsia" w:ascii="仿宋_GB2312" w:hAnsi="仿宋_GB2312" w:eastAsia="仿宋_GB2312"/>
          <w:b w:val="0"/>
          <w:sz w:val="32"/>
        </w:rPr>
        <w:t>1,921.15</w:t>
      </w:r>
      <w:r>
        <w:rPr>
          <w:rFonts w:ascii="仿宋_GB2312" w:hAnsi="仿宋_GB2312" w:eastAsia="仿宋_GB2312"/>
          <w:b w:val="0"/>
          <w:sz w:val="32"/>
        </w:rPr>
        <w:t>万元；预算绩效评价项目</w:t>
      </w:r>
      <w:r>
        <w:rPr>
          <w:rFonts w:hint="eastAsia" w:ascii="仿宋_GB2312" w:hAnsi="仿宋_GB2312" w:eastAsia="仿宋_GB2312"/>
          <w:b w:val="0"/>
          <w:sz w:val="32"/>
          <w:lang w:val="en-US" w:eastAsia="zh-CN"/>
        </w:rPr>
        <w:t>14</w:t>
      </w:r>
      <w:r>
        <w:rPr>
          <w:rFonts w:ascii="仿宋_GB2312" w:hAnsi="仿宋_GB2312" w:eastAsia="仿宋_GB2312"/>
          <w:b w:val="0"/>
          <w:sz w:val="32"/>
        </w:rPr>
        <w:t>个，全年预算数1,726.51万元，全年执行数666.22万元。预算绩效管理取得的成效：本单位预算绩效项目不予公开。发现的问题及原因：本单位预算绩效项目不予公开。下一步改进措施：本单位预算绩效项目不予公开。</w:t>
      </w:r>
    </w:p>
    <w:p w14:paraId="6A2B9C82">
      <w:r>
        <w:br w:type="page"/>
      </w:r>
    </w:p>
    <w:p w14:paraId="2CBA77CE">
      <w:pPr>
        <w:spacing w:line="640" w:lineRule="exact"/>
        <w:ind w:firstLine="640"/>
        <w:jc w:val="both"/>
        <w:outlineLvl w:val="2"/>
      </w:pPr>
      <w:r>
        <w:rPr>
          <w:rFonts w:ascii="黑体" w:hAnsi="黑体" w:eastAsia="黑体"/>
          <w:sz w:val="32"/>
        </w:rPr>
        <w:t>十二、其他需说明的事项</w:t>
      </w:r>
    </w:p>
    <w:p w14:paraId="51F29319">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本年度本单位整体绩效自评表不予公开。</w:t>
      </w:r>
    </w:p>
    <w:p w14:paraId="364B6F33">
      <w:pPr>
        <w:spacing w:line="580" w:lineRule="exact"/>
        <w:ind w:firstLine="640"/>
        <w:jc w:val="both"/>
      </w:pPr>
      <w:r>
        <w:rPr>
          <w:rFonts w:ascii="仿宋_GB2312" w:hAnsi="仿宋_GB2312" w:eastAsia="仿宋_GB2312"/>
          <w:b w:val="0"/>
          <w:sz w:val="32"/>
        </w:rPr>
        <w:t>本年本单位不予公开项目14个，全年预算数1,726.51万元，全年执行数666.22万元。</w:t>
      </w:r>
    </w:p>
    <w:p w14:paraId="303D1C8A">
      <w:r>
        <w:br w:type="page"/>
      </w:r>
    </w:p>
    <w:p w14:paraId="13DE3EBB">
      <w:pPr>
        <w:spacing w:line="240" w:lineRule="auto"/>
        <w:jc w:val="center"/>
        <w:outlineLvl w:val="1"/>
      </w:pPr>
      <w:r>
        <w:rPr>
          <w:rFonts w:ascii="黑体" w:hAnsi="黑体" w:eastAsia="黑体"/>
          <w:sz w:val="32"/>
        </w:rPr>
        <w:t>第三部分 专业名词解释</w:t>
      </w:r>
    </w:p>
    <w:p w14:paraId="1E079C7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A95FF7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EAC5CF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D37C7D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F8273F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0B2A87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F9DD5F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D620A2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CE9E7D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0A1072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C38288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CCF5A7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1E7EF8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84BC85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A25CD01">
      <w:r>
        <w:br w:type="page"/>
      </w:r>
    </w:p>
    <w:p w14:paraId="6F108801">
      <w:pPr>
        <w:spacing w:line="240" w:lineRule="auto"/>
        <w:jc w:val="center"/>
        <w:outlineLvl w:val="1"/>
      </w:pPr>
      <w:r>
        <w:rPr>
          <w:rFonts w:ascii="黑体" w:hAnsi="黑体" w:eastAsia="黑体"/>
          <w:sz w:val="32"/>
        </w:rPr>
        <w:t>第四部分 部门决算报表（见附表）</w:t>
      </w:r>
    </w:p>
    <w:p w14:paraId="11373A17">
      <w:pPr>
        <w:spacing w:line="240" w:lineRule="auto"/>
        <w:ind w:firstLine="640"/>
        <w:jc w:val="both"/>
      </w:pPr>
      <w:r>
        <w:rPr>
          <w:rFonts w:ascii="仿宋_GB2312" w:hAnsi="仿宋_GB2312" w:eastAsia="仿宋_GB2312"/>
          <w:b w:val="0"/>
          <w:sz w:val="32"/>
        </w:rPr>
        <w:t>一、《收入支出决算总表》</w:t>
      </w:r>
    </w:p>
    <w:p w14:paraId="6E7FDEA9">
      <w:pPr>
        <w:spacing w:line="240" w:lineRule="auto"/>
        <w:ind w:firstLine="640"/>
        <w:jc w:val="both"/>
      </w:pPr>
      <w:r>
        <w:rPr>
          <w:rFonts w:ascii="仿宋_GB2312" w:hAnsi="仿宋_GB2312" w:eastAsia="仿宋_GB2312"/>
          <w:b w:val="0"/>
          <w:sz w:val="32"/>
        </w:rPr>
        <w:t>二、《收入决算表》</w:t>
      </w:r>
    </w:p>
    <w:p w14:paraId="25A871FE">
      <w:pPr>
        <w:spacing w:line="240" w:lineRule="auto"/>
        <w:ind w:firstLine="640"/>
        <w:jc w:val="both"/>
      </w:pPr>
      <w:r>
        <w:rPr>
          <w:rFonts w:ascii="仿宋_GB2312" w:hAnsi="仿宋_GB2312" w:eastAsia="仿宋_GB2312"/>
          <w:b w:val="0"/>
          <w:sz w:val="32"/>
        </w:rPr>
        <w:t>三、《支出决算表》</w:t>
      </w:r>
    </w:p>
    <w:p w14:paraId="40470439">
      <w:pPr>
        <w:spacing w:line="240" w:lineRule="auto"/>
        <w:ind w:firstLine="640"/>
        <w:jc w:val="both"/>
      </w:pPr>
      <w:r>
        <w:rPr>
          <w:rFonts w:ascii="仿宋_GB2312" w:hAnsi="仿宋_GB2312" w:eastAsia="仿宋_GB2312"/>
          <w:b w:val="0"/>
          <w:sz w:val="32"/>
        </w:rPr>
        <w:t>四、《财政拨款收入支出决算总表》</w:t>
      </w:r>
    </w:p>
    <w:p w14:paraId="064DA259">
      <w:pPr>
        <w:spacing w:line="240" w:lineRule="auto"/>
        <w:ind w:firstLine="640"/>
        <w:jc w:val="both"/>
      </w:pPr>
      <w:r>
        <w:rPr>
          <w:rFonts w:ascii="仿宋_GB2312" w:hAnsi="仿宋_GB2312" w:eastAsia="仿宋_GB2312"/>
          <w:b w:val="0"/>
          <w:sz w:val="32"/>
        </w:rPr>
        <w:t>五、《一般公共预算财政拨款支出决算表》</w:t>
      </w:r>
    </w:p>
    <w:p w14:paraId="6712FAF2">
      <w:pPr>
        <w:spacing w:line="240" w:lineRule="auto"/>
        <w:ind w:firstLine="640"/>
        <w:jc w:val="both"/>
      </w:pPr>
      <w:r>
        <w:rPr>
          <w:rFonts w:ascii="仿宋_GB2312" w:hAnsi="仿宋_GB2312" w:eastAsia="仿宋_GB2312"/>
          <w:b w:val="0"/>
          <w:sz w:val="32"/>
        </w:rPr>
        <w:t>六、《一般公共预算财政拨款基本支出决算表》</w:t>
      </w:r>
    </w:p>
    <w:p w14:paraId="56A88A8F">
      <w:pPr>
        <w:spacing w:line="240" w:lineRule="auto"/>
        <w:ind w:firstLine="640"/>
        <w:jc w:val="both"/>
      </w:pPr>
      <w:r>
        <w:rPr>
          <w:rFonts w:ascii="仿宋_GB2312" w:hAnsi="仿宋_GB2312" w:eastAsia="仿宋_GB2312"/>
          <w:b w:val="0"/>
          <w:sz w:val="32"/>
        </w:rPr>
        <w:t>七、《政府性基金预算财政拨款收入支出决算表》</w:t>
      </w:r>
    </w:p>
    <w:p w14:paraId="5CA248C1">
      <w:pPr>
        <w:spacing w:line="240" w:lineRule="auto"/>
        <w:ind w:firstLine="640"/>
        <w:jc w:val="both"/>
      </w:pPr>
      <w:r>
        <w:rPr>
          <w:rFonts w:ascii="仿宋_GB2312" w:hAnsi="仿宋_GB2312" w:eastAsia="仿宋_GB2312"/>
          <w:b w:val="0"/>
          <w:sz w:val="32"/>
        </w:rPr>
        <w:t>八、《国有资本经营预算财政拨款收入支出决算表》</w:t>
      </w:r>
    </w:p>
    <w:p w14:paraId="5AB7E0B0">
      <w:pPr>
        <w:spacing w:line="240" w:lineRule="auto"/>
        <w:ind w:firstLine="640"/>
        <w:jc w:val="both"/>
      </w:pPr>
      <w:r>
        <w:rPr>
          <w:rFonts w:ascii="仿宋_GB2312" w:hAnsi="仿宋_GB2312" w:eastAsia="仿宋_GB2312"/>
          <w:b w:val="0"/>
          <w:sz w:val="32"/>
        </w:rPr>
        <w:t>九、《财政拨款“三公”经费支出决算表》</w:t>
      </w:r>
    </w:p>
    <w:p w14:paraId="0DC6D9DA">
      <w:pPr>
        <w:spacing w:line="240" w:lineRule="auto"/>
        <w:ind w:firstLine="640"/>
        <w:jc w:val="both"/>
      </w:pPr>
    </w:p>
    <w:p w14:paraId="4E6E9C77">
      <w:pPr>
        <w:spacing w:line="240" w:lineRule="auto"/>
        <w:ind w:firstLine="640"/>
        <w:jc w:val="both"/>
      </w:pPr>
    </w:p>
    <w:p w14:paraId="53F78180">
      <w:pPr>
        <w:spacing w:line="240" w:lineRule="auto"/>
        <w:ind w:firstLine="640"/>
        <w:jc w:val="both"/>
      </w:pPr>
    </w:p>
    <w:p w14:paraId="72C0B65F">
      <w:pPr>
        <w:spacing w:line="240" w:lineRule="auto"/>
        <w:ind w:firstLine="640"/>
        <w:jc w:val="both"/>
      </w:pPr>
    </w:p>
    <w:p w14:paraId="619AAC6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5F554E"/>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CB62B4"/>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f428d973-2729-4305-8287-24520cb2aad2</errorID>
      <errorWord>2月31日</errorWord>
      <group>L1_Sensitive</group>
      <groupName>敏感问题</groupName>
      <ability>L2_UserSensitive</ability>
      <abilityName>自定义敏感词</abilityName>
      <candidateList/>
      <explain>来自自定义敏感词库。</explain>
      <paraID>6436130D</paraID>
      <start>8</start>
      <end>13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d2feee-9a92-4cda-9494-e8d922263ba2}">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7715</Words>
  <Characters>8767</Characters>
  <Lines>0</Lines>
  <Paragraphs>0</Paragraphs>
  <TotalTime>7</TotalTime>
  <ScaleCrop>false</ScaleCrop>
  <LinksUpToDate>false</LinksUpToDate>
  <CharactersWithSpaces>8777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2025-10-31T11:01:43Z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