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BDD429">
      <w:r>
        <w:br w:type="page"/>
      </w:r>
    </w:p>
    <w:p w14:paraId="7036876A">
      <w:pPr>
        <w:spacing w:line="640" w:lineRule="exact"/>
        <w:jc w:val="center"/>
        <w:outlineLvl w:val="1"/>
      </w:pPr>
      <w:r>
        <w:rPr>
          <w:rFonts w:ascii="黑体" w:hAnsi="黑体" w:eastAsia="黑体"/>
          <w:sz w:val="32"/>
        </w:rPr>
        <w:t>第一部分 单位概况</w:t>
      </w:r>
    </w:p>
    <w:p w14:paraId="69CA2A88">
      <w:pPr>
        <w:spacing w:line="640" w:lineRule="exact"/>
        <w:ind w:firstLine="640"/>
        <w:jc w:val="both"/>
        <w:outlineLvl w:val="2"/>
      </w:pPr>
      <w:r>
        <w:rPr>
          <w:rFonts w:ascii="黑体" w:hAnsi="黑体" w:eastAsia="黑体"/>
          <w:sz w:val="32"/>
        </w:rPr>
        <w:t>一、主要职能</w:t>
      </w:r>
    </w:p>
    <w:p w14:paraId="1DDD528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贯彻执行并积极宣传党和国家有关社会保险制度改革工作的政策、</w:t>
      </w:r>
      <w:r>
        <w:rPr>
          <w:rFonts w:hint="eastAsia" w:ascii="仿宋_GB2312" w:hAnsi="仿宋_GB2312" w:eastAsia="仿宋_GB2312"/>
          <w:sz w:val="32"/>
          <w:lang w:eastAsia="zh-CN"/>
        </w:rPr>
        <w:t>法律法规</w:t>
      </w:r>
      <w:r>
        <w:rPr>
          <w:rFonts w:ascii="仿宋_GB2312" w:hAnsi="仿宋_GB2312" w:eastAsia="仿宋_GB2312"/>
          <w:sz w:val="32"/>
        </w:rPr>
        <w:t>、法令；根据政策法规制定我县社会保险登记、审核、社会保险费申报，开展社会保险费征缴、管理、使用、运营和审定支付待遇及办理社会保险关系建立、中断、转移、接续、终止和基金转移的办事程序与操作规范并组织实施；负责具体经办我县职工养老、工伤、失业保险工作。</w:t>
      </w:r>
    </w:p>
    <w:p w14:paraId="6076483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负责经办养老、工伤、失业保险业务，研究制定、完善我县社会保险的各项措施、方案，报上级批准后组织实施。</w:t>
      </w:r>
    </w:p>
    <w:p w14:paraId="2177346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负责养老、工伤、失业基金的支付，建立健全社会保险基金管理的各项制度，编制社会保险基金收支</w:t>
      </w:r>
      <w:r>
        <w:rPr>
          <w:rFonts w:hint="eastAsia" w:ascii="仿宋_GB2312" w:hAnsi="仿宋_GB2312" w:eastAsia="仿宋_GB2312"/>
          <w:sz w:val="32"/>
          <w:lang w:eastAsia="zh-CN"/>
        </w:rPr>
        <w:t>预算</w:t>
      </w:r>
      <w:r>
        <w:rPr>
          <w:rFonts w:ascii="仿宋_GB2312" w:hAnsi="仿宋_GB2312" w:eastAsia="仿宋_GB2312"/>
          <w:sz w:val="32"/>
        </w:rPr>
        <w:t>、决算及测算。</w:t>
      </w:r>
    </w:p>
    <w:p w14:paraId="5639FB0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负责我县企事业单位离退休人员社会化管理和服务。</w:t>
      </w:r>
    </w:p>
    <w:p w14:paraId="728C10D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负责提供社会保险的咨询和查询服务。</w:t>
      </w:r>
    </w:p>
    <w:p w14:paraId="1C0EBB9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负责承担全县社会保险信息，统计数据的采集、整理、分析及管理。</w:t>
      </w:r>
    </w:p>
    <w:p w14:paraId="61E2B36E">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组织实施全县社会保险费的稽核，建立健全防范瞒报少缴社会保险费和虚假冒领社会保险待遇工作的制度。</w:t>
      </w:r>
    </w:p>
    <w:p w14:paraId="4CEC356D">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负责指导和监督县直各企事业单位的社会保险工作。</w:t>
      </w:r>
    </w:p>
    <w:p w14:paraId="783D1DBC">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按规定审核、支付各项社会保险费用。</w:t>
      </w:r>
    </w:p>
    <w:p w14:paraId="73F48C91">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负责组织宣传社会保险政策、</w:t>
      </w:r>
      <w:r>
        <w:rPr>
          <w:rFonts w:hint="eastAsia" w:ascii="仿宋_GB2312" w:hAnsi="仿宋_GB2312" w:eastAsia="仿宋_GB2312"/>
          <w:sz w:val="32"/>
          <w:lang w:eastAsia="zh-CN"/>
        </w:rPr>
        <w:t>法律法规</w:t>
      </w:r>
      <w:r>
        <w:rPr>
          <w:rFonts w:ascii="仿宋_GB2312" w:hAnsi="仿宋_GB2312" w:eastAsia="仿宋_GB2312"/>
          <w:sz w:val="32"/>
        </w:rPr>
        <w:t>和有关知识。</w:t>
      </w:r>
    </w:p>
    <w:p w14:paraId="3B567B25">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承办上级部门交办的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51B39E5F">
      <w:pPr>
        <w:spacing w:line="640" w:lineRule="exact"/>
        <w:ind w:firstLine="640"/>
        <w:jc w:val="both"/>
        <w:outlineLvl w:val="2"/>
      </w:pPr>
      <w:r>
        <w:rPr>
          <w:rFonts w:ascii="黑体" w:hAnsi="黑体" w:eastAsia="黑体"/>
          <w:sz w:val="32"/>
        </w:rPr>
        <w:t>二、机构设置及人员情况</w:t>
      </w:r>
    </w:p>
    <w:p w14:paraId="2DA8E006">
      <w:pPr>
        <w:spacing w:line="580" w:lineRule="exact"/>
        <w:ind w:firstLine="640"/>
        <w:jc w:val="both"/>
      </w:pPr>
      <w:r>
        <w:rPr>
          <w:rFonts w:ascii="仿宋_GB2312" w:hAnsi="仿宋_GB2312" w:eastAsia="仿宋_GB2312"/>
          <w:sz w:val="32"/>
        </w:rPr>
        <w:t>托里县社会保险中心2024年度，实有人数31人，其中：在职人员10人，减少2人；离休人员0人，增加0人；退休人员21人,增加2人。</w:t>
      </w:r>
    </w:p>
    <w:p w14:paraId="0FCD37BE">
      <w:pPr>
        <w:spacing w:line="580" w:lineRule="exact"/>
        <w:ind w:firstLine="640"/>
        <w:jc w:val="both"/>
      </w:pPr>
      <w:r>
        <w:rPr>
          <w:rFonts w:ascii="仿宋_GB2312" w:hAnsi="仿宋_GB2312" w:eastAsia="仿宋_GB2312"/>
          <w:sz w:val="32"/>
        </w:rPr>
        <w:t>托里县社会保险中心无下属预算单位，下设8个科室，分别是：办公室、待遇科、征缴科、稽核科、财务科、复核科、信息网络科、档案室。</w:t>
      </w:r>
    </w:p>
    <w:p w14:paraId="12532546">
      <w:r>
        <w:br w:type="page"/>
      </w:r>
    </w:p>
    <w:p w14:paraId="2A05EE54">
      <w:pPr>
        <w:spacing w:line="240" w:lineRule="auto"/>
        <w:jc w:val="center"/>
        <w:outlineLvl w:val="1"/>
      </w:pPr>
      <w:r>
        <w:rPr>
          <w:rFonts w:ascii="黑体" w:hAnsi="黑体" w:eastAsia="黑体"/>
          <w:sz w:val="32"/>
        </w:rPr>
        <w:t>第二部分 部门决算情况说明</w:t>
      </w:r>
    </w:p>
    <w:p w14:paraId="78C194DF">
      <w:pPr>
        <w:spacing w:line="640" w:lineRule="exact"/>
        <w:ind w:firstLine="640"/>
        <w:jc w:val="both"/>
        <w:outlineLvl w:val="2"/>
      </w:pPr>
      <w:r>
        <w:rPr>
          <w:rFonts w:ascii="黑体" w:hAnsi="黑体" w:eastAsia="黑体"/>
          <w:sz w:val="32"/>
        </w:rPr>
        <w:t>一、收入支出决算总体情况说明</w:t>
      </w:r>
    </w:p>
    <w:p w14:paraId="698FC858">
      <w:pPr>
        <w:spacing w:line="580" w:lineRule="exact"/>
        <w:ind w:firstLine="640"/>
        <w:jc w:val="both"/>
      </w:pPr>
      <w:r>
        <w:rPr>
          <w:rFonts w:ascii="仿宋_GB2312" w:hAnsi="仿宋_GB2312" w:eastAsia="仿宋_GB2312"/>
          <w:b/>
          <w:sz w:val="32"/>
        </w:rPr>
        <w:t>2024年度收入总计389.13万元，</w:t>
      </w:r>
      <w:r>
        <w:rPr>
          <w:rFonts w:ascii="仿宋_GB2312" w:hAnsi="仿宋_GB2312" w:eastAsia="仿宋_GB2312"/>
          <w:b w:val="0"/>
          <w:sz w:val="32"/>
        </w:rPr>
        <w:t>其中：本年收入合计314.48万元，使用非财政拨款结余（含专用结余）0.00万元，年初结转和结余74.65万元。</w:t>
      </w:r>
    </w:p>
    <w:p w14:paraId="5A31DF9C">
      <w:pPr>
        <w:spacing w:line="580" w:lineRule="exact"/>
        <w:ind w:firstLine="640"/>
        <w:jc w:val="both"/>
      </w:pPr>
      <w:r>
        <w:rPr>
          <w:rFonts w:ascii="仿宋_GB2312" w:hAnsi="仿宋_GB2312" w:eastAsia="仿宋_GB2312"/>
          <w:b/>
          <w:sz w:val="32"/>
        </w:rPr>
        <w:t>2024年度支出总计389.13万元，</w:t>
      </w:r>
      <w:r>
        <w:rPr>
          <w:rFonts w:ascii="仿宋_GB2312" w:hAnsi="仿宋_GB2312" w:eastAsia="仿宋_GB2312"/>
          <w:b w:val="0"/>
          <w:sz w:val="32"/>
        </w:rPr>
        <w:t>其中：本年支出合计314.46万元，结余分配0.00万元，年末结转和结余74.67万元。</w:t>
      </w:r>
    </w:p>
    <w:p w14:paraId="4D799EE9">
      <w:pPr>
        <w:spacing w:line="580" w:lineRule="exact"/>
        <w:ind w:firstLine="640"/>
        <w:jc w:val="both"/>
      </w:pPr>
      <w:r>
        <w:rPr>
          <w:rFonts w:ascii="仿宋_GB2312" w:hAnsi="仿宋_GB2312" w:eastAsia="仿宋_GB2312"/>
          <w:b w:val="0"/>
          <w:sz w:val="32"/>
        </w:rPr>
        <w:t>收入支出总体与上年相比，减少11.80万元，下降2.94%，主要原因是：本年在职人员减少，相关人员经费较上年减少。</w:t>
      </w:r>
    </w:p>
    <w:p w14:paraId="2491699D">
      <w:pPr>
        <w:spacing w:line="640" w:lineRule="exact"/>
        <w:ind w:firstLine="640"/>
        <w:jc w:val="both"/>
        <w:outlineLvl w:val="2"/>
      </w:pPr>
      <w:r>
        <w:rPr>
          <w:rFonts w:ascii="黑体" w:hAnsi="黑体" w:eastAsia="黑体"/>
          <w:sz w:val="32"/>
        </w:rPr>
        <w:t>二、收入决算情况说明</w:t>
      </w:r>
    </w:p>
    <w:p w14:paraId="5BA5FC5B">
      <w:pPr>
        <w:spacing w:line="580" w:lineRule="exact"/>
        <w:ind w:firstLine="640"/>
        <w:jc w:val="both"/>
      </w:pPr>
      <w:r>
        <w:rPr>
          <w:rFonts w:ascii="仿宋_GB2312" w:hAnsi="仿宋_GB2312" w:eastAsia="仿宋_GB2312"/>
          <w:b/>
          <w:sz w:val="32"/>
        </w:rPr>
        <w:t>本年收入314.48万元，</w:t>
      </w:r>
      <w:r>
        <w:rPr>
          <w:rFonts w:ascii="仿宋_GB2312" w:hAnsi="仿宋_GB2312" w:eastAsia="仿宋_GB2312"/>
          <w:b w:val="0"/>
          <w:sz w:val="32"/>
        </w:rPr>
        <w:t>其中：财政拨款收入314.46万元，占99.99%；上级补助收入0.00万元，占0.00%；事业收入0.00万元，占0.00%；经营收入0.00万元，占0.00%；附属单位上缴收入0.00万元，占0.00%；其他收入0.02万元，占0.006%。</w:t>
      </w:r>
    </w:p>
    <w:p w14:paraId="2D49F4A1">
      <w:pPr>
        <w:spacing w:line="640" w:lineRule="exact"/>
        <w:ind w:firstLine="640"/>
        <w:jc w:val="both"/>
        <w:outlineLvl w:val="2"/>
      </w:pPr>
      <w:r>
        <w:rPr>
          <w:rFonts w:ascii="黑体" w:hAnsi="黑体" w:eastAsia="黑体"/>
          <w:sz w:val="32"/>
        </w:rPr>
        <w:t>三、支出决算情况说明</w:t>
      </w:r>
    </w:p>
    <w:p w14:paraId="639FFC4B">
      <w:pPr>
        <w:spacing w:line="580" w:lineRule="exact"/>
        <w:ind w:firstLine="640"/>
        <w:jc w:val="both"/>
      </w:pPr>
      <w:r>
        <w:rPr>
          <w:rFonts w:ascii="仿宋_GB2312" w:hAnsi="仿宋_GB2312" w:eastAsia="仿宋_GB2312"/>
          <w:b/>
          <w:sz w:val="32"/>
        </w:rPr>
        <w:t>本年支出314.46万元，</w:t>
      </w:r>
      <w:r>
        <w:rPr>
          <w:rFonts w:ascii="仿宋_GB2312" w:hAnsi="仿宋_GB2312" w:eastAsia="仿宋_GB2312"/>
          <w:b w:val="0"/>
          <w:sz w:val="32"/>
        </w:rPr>
        <w:t>其中：基本支出281.01万元，占89.36%；项目支出33.45万元，占10.64%；上缴上级支出0.00万元，占0.00%；经营支出0.00万元，占0.00%；对附属单位补助支出0.00万元，占0.00%。</w:t>
      </w:r>
    </w:p>
    <w:p w14:paraId="70634349">
      <w:pPr>
        <w:spacing w:line="640" w:lineRule="exact"/>
        <w:ind w:firstLine="640"/>
        <w:jc w:val="both"/>
        <w:outlineLvl w:val="2"/>
      </w:pPr>
      <w:r>
        <w:rPr>
          <w:rFonts w:ascii="黑体" w:hAnsi="黑体" w:eastAsia="黑体"/>
          <w:sz w:val="32"/>
        </w:rPr>
        <w:t>四、财政拨款收入支出决算总体情况说明</w:t>
      </w:r>
    </w:p>
    <w:p w14:paraId="2CDE6922">
      <w:pPr>
        <w:spacing w:line="580" w:lineRule="exact"/>
        <w:ind w:firstLine="640"/>
        <w:jc w:val="both"/>
      </w:pPr>
      <w:r>
        <w:rPr>
          <w:rFonts w:ascii="仿宋_GB2312" w:hAnsi="仿宋_GB2312" w:eastAsia="仿宋_GB2312"/>
          <w:b/>
          <w:sz w:val="32"/>
        </w:rPr>
        <w:t>2024年度财政拨款收入总计314.46万元，</w:t>
      </w:r>
      <w:r>
        <w:rPr>
          <w:rFonts w:ascii="仿宋_GB2312" w:hAnsi="仿宋_GB2312" w:eastAsia="仿宋_GB2312"/>
          <w:b w:val="0"/>
          <w:sz w:val="32"/>
        </w:rPr>
        <w:t>其中：年初财政拨款结转和结余0.00万元，本年财政拨款收入314.46万元。</w:t>
      </w:r>
      <w:r>
        <w:rPr>
          <w:rFonts w:ascii="仿宋_GB2312" w:hAnsi="仿宋_GB2312" w:eastAsia="仿宋_GB2312"/>
          <w:b/>
          <w:sz w:val="32"/>
        </w:rPr>
        <w:t>财政拨款支出总计314.46万元，</w:t>
      </w:r>
      <w:r>
        <w:rPr>
          <w:rFonts w:ascii="仿宋_GB2312" w:hAnsi="仿宋_GB2312" w:eastAsia="仿宋_GB2312"/>
          <w:b w:val="0"/>
          <w:sz w:val="32"/>
        </w:rPr>
        <w:t>其中：年末财政拨款结转和结余0.00万元，本年财政拨款支出314.46万元。</w:t>
      </w:r>
    </w:p>
    <w:p w14:paraId="301DA3C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减少9.03万元，下降2.79%，主要原因是：本年在职人员减少，相关人员经费较上年减少。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年初预算数293.44万元，决算数314.46万元，预决算差异率7.16%，主要原因是：年中追加人员工资、社保、公积金基数调增部分资金，导致预决算存在差异。</w:t>
      </w:r>
    </w:p>
    <w:p w14:paraId="3AC71341">
      <w:pPr>
        <w:spacing w:line="640" w:lineRule="exact"/>
        <w:ind w:firstLine="640"/>
        <w:jc w:val="both"/>
        <w:outlineLvl w:val="2"/>
      </w:pPr>
      <w:r>
        <w:rPr>
          <w:rFonts w:ascii="黑体" w:hAnsi="黑体" w:eastAsia="黑体"/>
          <w:sz w:val="32"/>
        </w:rPr>
        <w:t>五、一般公共预算财政拨款支出决算情况说明</w:t>
      </w:r>
    </w:p>
    <w:p w14:paraId="40A12879">
      <w:pPr>
        <w:spacing w:line="640" w:lineRule="exact"/>
        <w:ind w:firstLine="640"/>
        <w:jc w:val="both"/>
        <w:outlineLvl w:val="3"/>
      </w:pPr>
      <w:r>
        <w:rPr>
          <w:rFonts w:ascii="楷体_GB2312" w:hAnsi="楷体_GB2312" w:eastAsia="楷体_GB2312"/>
          <w:b/>
          <w:sz w:val="32"/>
        </w:rPr>
        <w:t>（一）一般公共预算财政拨款支出决算总体情况</w:t>
      </w:r>
    </w:p>
    <w:p w14:paraId="27395379">
      <w:pPr>
        <w:spacing w:line="580" w:lineRule="exact"/>
        <w:ind w:firstLine="640"/>
        <w:jc w:val="both"/>
      </w:pPr>
      <w:r>
        <w:rPr>
          <w:rFonts w:ascii="仿宋_GB2312" w:hAnsi="仿宋_GB2312" w:eastAsia="仿宋_GB2312"/>
          <w:b/>
          <w:sz w:val="32"/>
        </w:rPr>
        <w:t>2024年度一般公共预算财政拨款支出314.46万元，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减少9.03万元，下降2.79%，主要原因是：本年在职人员减少，相关人员经费较上年减少。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年初预算数293.44万元，决算数314.46万元，预决算差异率7.16%，主要原因是：年中追加人员工资、社保、公积金基数调增部分资金，导致预决算存在差异。</w:t>
      </w:r>
    </w:p>
    <w:p w14:paraId="5AC45F2D">
      <w:pPr>
        <w:spacing w:line="640" w:lineRule="exact"/>
        <w:ind w:firstLine="640"/>
        <w:jc w:val="both"/>
        <w:outlineLvl w:val="3"/>
      </w:pPr>
      <w:r>
        <w:rPr>
          <w:rFonts w:ascii="楷体_GB2312" w:hAnsi="楷体_GB2312" w:eastAsia="楷体_GB2312"/>
          <w:b/>
          <w:sz w:val="32"/>
        </w:rPr>
        <w:t>（二）一般公共预算财政拨款支出决算结构情况</w:t>
      </w:r>
    </w:p>
    <w:p w14:paraId="7B7D5CE0">
      <w:pPr>
        <w:spacing w:line="580" w:lineRule="exact"/>
        <w:ind w:firstLine="640"/>
        <w:jc w:val="both"/>
      </w:pPr>
      <w:r>
        <w:rPr>
          <w:rFonts w:ascii="仿宋_GB2312" w:hAnsi="仿宋_GB2312" w:eastAsia="仿宋_GB2312"/>
          <w:b w:val="0"/>
          <w:sz w:val="32"/>
        </w:rPr>
        <w:t>1.社会保障和就业支出(类)287.81万元,占91.53%。</w:t>
      </w:r>
    </w:p>
    <w:p w14:paraId="6AFF1D3F">
      <w:pPr>
        <w:spacing w:line="580" w:lineRule="exact"/>
        <w:ind w:firstLine="640"/>
        <w:jc w:val="both"/>
      </w:pPr>
      <w:r>
        <w:rPr>
          <w:rFonts w:ascii="仿宋_GB2312" w:hAnsi="仿宋_GB2312" w:eastAsia="仿宋_GB2312"/>
          <w:b w:val="0"/>
          <w:sz w:val="32"/>
        </w:rPr>
        <w:t>2.卫生健康支出(类)11.20万元,占3.56%。</w:t>
      </w:r>
    </w:p>
    <w:p w14:paraId="2A46AD58">
      <w:pPr>
        <w:spacing w:line="580" w:lineRule="exact"/>
        <w:ind w:firstLine="640"/>
        <w:jc w:val="both"/>
      </w:pPr>
      <w:r>
        <w:rPr>
          <w:rFonts w:ascii="仿宋_GB2312" w:hAnsi="仿宋_GB2312" w:eastAsia="仿宋_GB2312"/>
          <w:b w:val="0"/>
          <w:sz w:val="32"/>
        </w:rPr>
        <w:t>3.住房保障支出(类)15.45万元,占4.91%。</w:t>
      </w:r>
    </w:p>
    <w:p w14:paraId="0B1B2342">
      <w:pPr>
        <w:spacing w:line="640" w:lineRule="exact"/>
        <w:ind w:firstLine="640"/>
        <w:jc w:val="both"/>
        <w:outlineLvl w:val="3"/>
      </w:pPr>
      <w:r>
        <w:rPr>
          <w:rFonts w:ascii="楷体_GB2312" w:hAnsi="楷体_GB2312" w:eastAsia="楷体_GB2312"/>
          <w:b/>
          <w:sz w:val="32"/>
        </w:rPr>
        <w:t>（三）一般公共预算财政拨款支出决算具体情况</w:t>
      </w:r>
    </w:p>
    <w:p w14:paraId="497E292B">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206.19万元，比上年决算减少31.54万元，下降13.27%,主要原因是：本年在职人员减少，相应人员经费较上年减少。本年未安排破产企业医疗缴费，相关支出减少。</w:t>
      </w:r>
    </w:p>
    <w:p w14:paraId="2E22527C">
      <w:pPr>
        <w:spacing w:line="580" w:lineRule="exact"/>
        <w:ind w:firstLine="640"/>
        <w:jc w:val="both"/>
      </w:pPr>
      <w:r>
        <w:rPr>
          <w:rFonts w:ascii="仿宋_GB2312" w:hAnsi="仿宋_GB2312" w:eastAsia="仿宋_GB2312"/>
          <w:b w:val="0"/>
          <w:sz w:val="32"/>
        </w:rPr>
        <w:t>2.社会保障和就业支出(类)人力资源和社会保障管理事务(款)社会保险经办机构(项):支出决算数为4.80万元，比上年决算减少0.40万元，下降7.69%,主要原因是：本年减少2023年自治区社保经办机构业务及宣传培训等办公费用，相关支出减少。</w:t>
      </w:r>
    </w:p>
    <w:p w14:paraId="7BE5AC2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3.社会保障和就业支出(类)行政事业单位养老支出(款)行政单位离退休(项):支出决算数为31.52万元，比上年决算增加11.57万元，增长57.99%,主要原因是：本年退休人员增加，退休费支出增加。</w:t>
      </w:r>
    </w:p>
    <w:p w14:paraId="7B23F82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17.99万元，比上年决算减少0.97万元，下降5.12%,主要原因是：本年在职人员减少，单位基本养老保险缴费较上年减少。</w:t>
      </w:r>
    </w:p>
    <w:p w14:paraId="2FF2985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5.社会保障和就业支出(类)行政事业单位养老支出(款)机关事业单位职业年金缴费支出(项):支出决算数为14.99万元，比上年决算增加14.65万元，增长4,308.82%,主要原因是：本年新增退休人员，职业年金缴费支出增加。</w:t>
      </w:r>
    </w:p>
    <w:p w14:paraId="503D6FF3">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12.31万元，比上年决算减少1.08万元，下降8.07%,主要原因是：本年1995年以前退休（退职）人员生活补助人员减少，导致经费较上年减少。</w:t>
      </w:r>
    </w:p>
    <w:p w14:paraId="2F260C91">
      <w:pPr>
        <w:spacing w:line="580" w:lineRule="exact"/>
        <w:ind w:firstLine="640"/>
        <w:jc w:val="both"/>
      </w:pPr>
      <w:r>
        <w:rPr>
          <w:rFonts w:ascii="仿宋_GB2312" w:hAnsi="仿宋_GB2312" w:eastAsia="仿宋_GB2312"/>
          <w:b w:val="0"/>
          <w:sz w:val="32"/>
        </w:rPr>
        <w:t>7.卫生健康支出(类)行政事业单位医疗(款)行政单位医疗(项):支出决算数为7.67万元，比上年决算减少0.89万元，下降10.40%,主要原因是：本年在职人员减少，行政单位医疗支出较上年减少。</w:t>
      </w:r>
    </w:p>
    <w:p w14:paraId="16555924">
      <w:pPr>
        <w:spacing w:line="580" w:lineRule="exact"/>
        <w:ind w:firstLine="640"/>
        <w:jc w:val="both"/>
      </w:pPr>
      <w:r>
        <w:rPr>
          <w:rFonts w:ascii="仿宋_GB2312" w:hAnsi="仿宋_GB2312" w:eastAsia="仿宋_GB2312"/>
          <w:b w:val="0"/>
          <w:sz w:val="32"/>
        </w:rPr>
        <w:t>8.卫生健康支出(类)行政事业单位医疗(款)公务员医疗补助(项):支出决算数为3.53万元，比上年决算减少0.46万元，下降11.53%,主要原因是：本年在职人员减少，公务员医疗补助较上年减少。</w:t>
      </w:r>
    </w:p>
    <w:p w14:paraId="3E2DA831">
      <w:pPr>
        <w:spacing w:line="580" w:lineRule="exact"/>
        <w:ind w:firstLine="640"/>
        <w:jc w:val="both"/>
      </w:pPr>
      <w:r>
        <w:rPr>
          <w:rFonts w:ascii="仿宋_GB2312" w:hAnsi="仿宋_GB2312" w:eastAsia="仿宋_GB2312"/>
          <w:b w:val="0"/>
          <w:sz w:val="32"/>
        </w:rPr>
        <w:t>9.住房保障支出(类)住房改革支出(款)住房公积金(项):支出决算数为15.45万元，比上年决算增加0.08万元，增长0.52%,主要原因是：本年在职人员工资基数调增，公积金缴费基数上涨，相应支出增加。</w:t>
      </w:r>
    </w:p>
    <w:p w14:paraId="34719445">
      <w:pPr>
        <w:spacing w:line="640" w:lineRule="exact"/>
        <w:ind w:firstLine="640"/>
        <w:jc w:val="both"/>
        <w:outlineLvl w:val="2"/>
      </w:pPr>
      <w:r>
        <w:rPr>
          <w:rFonts w:ascii="黑体" w:hAnsi="黑体" w:eastAsia="黑体"/>
          <w:sz w:val="32"/>
        </w:rPr>
        <w:t>六、一般公共预算财政拨款基本支出决算情况说明</w:t>
      </w:r>
    </w:p>
    <w:p w14:paraId="02D32AC8">
      <w:pPr>
        <w:spacing w:line="580" w:lineRule="exact"/>
        <w:ind w:firstLine="640"/>
        <w:jc w:val="both"/>
      </w:pPr>
      <w:r>
        <w:rPr>
          <w:rFonts w:ascii="仿宋_GB2312" w:hAnsi="仿宋_GB2312" w:eastAsia="仿宋_GB2312"/>
          <w:b w:val="0"/>
          <w:sz w:val="32"/>
        </w:rPr>
        <w:t>2024年度一般公共预算财政拨款基本支出281.01万元，其中：</w:t>
      </w:r>
      <w:r>
        <w:rPr>
          <w:rFonts w:ascii="仿宋_GB2312" w:hAnsi="仿宋_GB2312" w:eastAsia="仿宋_GB2312"/>
          <w:b/>
          <w:sz w:val="32"/>
        </w:rPr>
        <w:t>人员经费272.31万元，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3420CEC2">
      <w:pPr>
        <w:spacing w:line="580" w:lineRule="exact"/>
        <w:ind w:firstLine="640"/>
        <w:jc w:val="both"/>
      </w:pPr>
      <w:r>
        <w:rPr>
          <w:rFonts w:ascii="仿宋_GB2312" w:hAnsi="仿宋_GB2312" w:eastAsia="仿宋_GB2312"/>
          <w:b/>
          <w:sz w:val="32"/>
        </w:rPr>
        <w:t>公用经费8.70万元，</w:t>
      </w:r>
      <w:r>
        <w:rPr>
          <w:rFonts w:ascii="仿宋_GB2312" w:hAnsi="仿宋_GB2312" w:eastAsia="仿宋_GB2312"/>
          <w:b w:val="0"/>
          <w:sz w:val="32"/>
        </w:rPr>
        <w:t>包括：办公费、邮电费、取暖费、差旅费、工会经费、公务用车运行维护费。</w:t>
      </w:r>
    </w:p>
    <w:p w14:paraId="6EC6A03C">
      <w:pPr>
        <w:spacing w:line="640" w:lineRule="exact"/>
        <w:ind w:firstLine="640"/>
        <w:jc w:val="both"/>
        <w:outlineLvl w:val="2"/>
      </w:pPr>
      <w:r>
        <w:rPr>
          <w:rFonts w:ascii="黑体" w:hAnsi="黑体" w:eastAsia="黑体"/>
          <w:sz w:val="32"/>
        </w:rPr>
        <w:t>七、政府性基金预算财政拨款收入支出决算情况说明</w:t>
      </w:r>
    </w:p>
    <w:p w14:paraId="2648353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E88301">
      <w:pPr>
        <w:spacing w:line="640" w:lineRule="exact"/>
        <w:ind w:firstLine="640"/>
        <w:jc w:val="both"/>
        <w:outlineLvl w:val="2"/>
      </w:pPr>
      <w:r>
        <w:rPr>
          <w:rFonts w:ascii="黑体" w:hAnsi="黑体" w:eastAsia="黑体"/>
          <w:sz w:val="32"/>
        </w:rPr>
        <w:t>八、国有资本经营预算财政拨款收入支出决算情况说明</w:t>
      </w:r>
    </w:p>
    <w:p w14:paraId="61D999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9E1D90">
      <w:pPr>
        <w:spacing w:line="640" w:lineRule="exact"/>
        <w:ind w:firstLine="640"/>
        <w:jc w:val="both"/>
        <w:outlineLvl w:val="2"/>
      </w:pPr>
      <w:r>
        <w:rPr>
          <w:rFonts w:ascii="黑体" w:hAnsi="黑体" w:eastAsia="黑体"/>
          <w:sz w:val="32"/>
        </w:rPr>
        <w:t>九、财政拨款“三公”经费支出决算情况说明</w:t>
      </w:r>
    </w:p>
    <w:p w14:paraId="7767A124">
      <w:pPr>
        <w:spacing w:line="580" w:lineRule="exact"/>
        <w:ind w:firstLine="640"/>
        <w:jc w:val="both"/>
      </w:pPr>
      <w:r>
        <w:rPr>
          <w:rFonts w:ascii="仿宋_GB2312" w:hAnsi="仿宋_GB2312" w:eastAsia="仿宋_GB2312"/>
          <w:b/>
          <w:sz w:val="32"/>
        </w:rPr>
        <w:t>2024年度财政拨款“三公”经费支出0.03万元，</w:t>
      </w:r>
      <w:r>
        <w:rPr>
          <w:rFonts w:ascii="仿宋_GB2312" w:hAnsi="仿宋_GB2312" w:eastAsia="仿宋_GB2312"/>
          <w:b w:val="0"/>
          <w:sz w:val="32"/>
        </w:rPr>
        <w:t>比上年增加0.03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0.03万元，占100.00%，比上年增加0.03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5C63A400">
      <w:pPr>
        <w:spacing w:line="580" w:lineRule="exact"/>
        <w:ind w:firstLine="640"/>
        <w:jc w:val="both"/>
      </w:pPr>
      <w:r>
        <w:rPr>
          <w:rFonts w:ascii="仿宋_GB2312" w:hAnsi="仿宋_GB2312" w:eastAsia="仿宋_GB2312"/>
          <w:b/>
          <w:sz w:val="32"/>
        </w:rPr>
        <w:t>具体情况如下：</w:t>
      </w:r>
    </w:p>
    <w:p w14:paraId="4ABAAB8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55B85E">
      <w:pPr>
        <w:spacing w:line="580" w:lineRule="exact"/>
        <w:ind w:firstLine="640"/>
        <w:jc w:val="both"/>
      </w:pPr>
      <w:r>
        <w:rPr>
          <w:rFonts w:ascii="仿宋_GB2312" w:hAnsi="仿宋_GB2312" w:eastAsia="仿宋_GB2312"/>
          <w:b w:val="0"/>
          <w:sz w:val="32"/>
        </w:rPr>
        <w:t>公务用车购置及运行维护费0.03万元，其中：公务用车购置费0.00万元，公务用车运行维护费0.03万元。公务用车运行维护费开支内容包括车辆加油费。公务用车购置数0辆，公务用车保有量1辆。国有资产占用情况中固定资产车辆0辆，与公务用车保有量差异原因是：借用其他单位车辆，车辆费用由本单位支付。</w:t>
      </w:r>
    </w:p>
    <w:p w14:paraId="58F5F2F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DB0C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0.03万元，决算数0.03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0.03万元，决算数0.03万元，预决算差异率0.00%，主要原因是：严格按照预算执行，预决算无差异。公务接待费全年预算数0.00万元，决算数0.00万元，预决算差异率0.00%，主要原因是：本单位无公务接待费。</w:t>
      </w:r>
    </w:p>
    <w:p w14:paraId="28A2F1EB">
      <w:pPr>
        <w:spacing w:line="640" w:lineRule="exact"/>
        <w:ind w:firstLine="640"/>
        <w:jc w:val="both"/>
        <w:outlineLvl w:val="2"/>
      </w:pPr>
      <w:r>
        <w:rPr>
          <w:rFonts w:ascii="黑体" w:hAnsi="黑体" w:eastAsia="黑体"/>
          <w:sz w:val="32"/>
        </w:rPr>
        <w:t>十、其他重要事项的情况说明</w:t>
      </w:r>
    </w:p>
    <w:p w14:paraId="37859F2F">
      <w:pPr>
        <w:spacing w:line="640" w:lineRule="exact"/>
        <w:ind w:firstLine="640"/>
        <w:jc w:val="both"/>
        <w:outlineLvl w:val="3"/>
      </w:pPr>
      <w:r>
        <w:rPr>
          <w:rFonts w:ascii="楷体_GB2312" w:hAnsi="楷体_GB2312" w:eastAsia="楷体_GB2312"/>
          <w:b/>
          <w:sz w:val="32"/>
        </w:rPr>
        <w:t>（一）机关运行经费及公用经费支出情况</w:t>
      </w:r>
    </w:p>
    <w:p w14:paraId="643FEB74">
      <w:pPr>
        <w:spacing w:line="580" w:lineRule="exact"/>
        <w:ind w:firstLine="640"/>
        <w:jc w:val="both"/>
      </w:pPr>
      <w:r>
        <w:rPr>
          <w:rFonts w:ascii="仿宋_GB2312" w:hAnsi="仿宋_GB2312" w:eastAsia="仿宋_GB2312"/>
          <w:b w:val="0"/>
          <w:sz w:val="32"/>
        </w:rPr>
        <w:t>2024年度托里县社会保险中心（行政单位和参照公务员法管理事业单位）机关运行经费支出8.70万元，比上年减少0.03万元，下降0.34%，主要原因是：严控经费支出，厉行节约，减少经费支出。</w:t>
      </w:r>
    </w:p>
    <w:p w14:paraId="4E399C60">
      <w:pPr>
        <w:spacing w:line="640" w:lineRule="exact"/>
        <w:ind w:firstLine="640"/>
        <w:jc w:val="both"/>
        <w:outlineLvl w:val="3"/>
      </w:pPr>
      <w:r>
        <w:rPr>
          <w:rFonts w:ascii="楷体_GB2312" w:hAnsi="楷体_GB2312" w:eastAsia="楷体_GB2312"/>
          <w:b/>
          <w:sz w:val="32"/>
        </w:rPr>
        <w:t>（二）政府采购情况</w:t>
      </w:r>
    </w:p>
    <w:p w14:paraId="7DB8D14A">
      <w:pPr>
        <w:spacing w:line="580" w:lineRule="exact"/>
        <w:ind w:firstLine="640"/>
        <w:jc w:val="both"/>
      </w:pPr>
      <w:r>
        <w:rPr>
          <w:rFonts w:ascii="仿宋_GB2312" w:hAnsi="仿宋_GB2312" w:eastAsia="仿宋_GB2312"/>
          <w:b w:val="0"/>
          <w:sz w:val="32"/>
        </w:rPr>
        <w:t>2024年度政府采购支出总额1.15万元，其中：政府采购货物支出0.00万元、政府采购工程支出0.00万元、政府采购服务支出1.15万元。</w:t>
      </w:r>
    </w:p>
    <w:p w14:paraId="72DACCAE">
      <w:pPr>
        <w:spacing w:line="580" w:lineRule="exact"/>
        <w:ind w:firstLine="640"/>
        <w:jc w:val="both"/>
      </w:pPr>
      <w:r>
        <w:rPr>
          <w:rFonts w:ascii="仿宋_GB2312" w:hAnsi="仿宋_GB2312" w:eastAsia="仿宋_GB2312"/>
          <w:b w:val="0"/>
          <w:sz w:val="32"/>
        </w:rPr>
        <w:t>授予中小企业合同金额1.15万元，占政府采购支出总额的100.00%，其中：授予小微企业合同金额1.15万元，占政府采购支出总额的100.00%。</w:t>
      </w:r>
    </w:p>
    <w:p w14:paraId="2D42D2B1">
      <w:pPr>
        <w:spacing w:line="640" w:lineRule="exact"/>
        <w:ind w:firstLine="640"/>
        <w:jc w:val="both"/>
        <w:outlineLvl w:val="3"/>
      </w:pPr>
      <w:r>
        <w:rPr>
          <w:rFonts w:ascii="楷体_GB2312" w:hAnsi="楷体_GB2312" w:eastAsia="楷体_GB2312"/>
          <w:b/>
          <w:sz w:val="32"/>
        </w:rPr>
        <w:t>（三）国有资产占用情况说明</w:t>
      </w:r>
    </w:p>
    <w:p w14:paraId="472858A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F2DE950">
      <w:pPr>
        <w:spacing w:line="640" w:lineRule="exact"/>
        <w:ind w:firstLine="640"/>
        <w:jc w:val="both"/>
        <w:outlineLvl w:val="2"/>
      </w:pPr>
      <w:r>
        <w:rPr>
          <w:rFonts w:ascii="黑体" w:hAnsi="黑体" w:eastAsia="黑体"/>
          <w:sz w:val="32"/>
        </w:rPr>
        <w:t>十一、预算绩效的情况说明</w:t>
      </w:r>
    </w:p>
    <w:p w14:paraId="42115E8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389.13万元，实际执行总额314.46万元；预算绩效评价项目3个，全年预算数19.40万元，全年执行数19.40万元。预算绩效管理取得的成效：一是确保资金的高效使用，切实发挥财政资金使用效果；二是严格按照工作职责和相关文件依据，确保专款专用；三是严格控制资金的流出方向，确保资金的合规性。发现的问题及原因：一是评价指标体系不完善，实际操作有难度。绩效评价个性指标设计存在难度。目前虽然上级单位已经发布共性指标，但没有针对性较强的个性评价指标体系可供借鉴，现有状况不能满足目前工作开展需要；二是负责项目人员业务素质有待进一步提高。由于预算绩效管理工作开展时间较短，加上缺乏系统的培训，负责项目人员对预算绩效管理认识不够到位、理解不够充分，对预算绩效管理业务不够了解、不够熟悉，对工作重点把握不好，业务素质有待进一步增强。下一步改进措施：一是加强组织领导，要加强对项目工作的全面领导，便利及时发现项目运行过程中出现的问题并加以改进。严格按照财务管理制度实施，加强项目管理和监督，确保项目实施规范；二是加强监督，对日常工作加强监督规范，防止在项目执行过程中出现偏差，进一步完善财务工作，专款专用，严格按照上级文件要求使用资金，做到专款专用。具</w:t>
      </w:r>
      <w:bookmarkStart w:id="0" w:name="_GoBack"/>
      <w:r>
        <w:rPr>
          <w:rFonts w:ascii="仿宋_GB2312" w:hAnsi="仿宋_GB2312" w:eastAsia="仿宋_GB2312"/>
          <w:b w:val="0"/>
          <w:sz w:val="32"/>
        </w:rPr>
        <w:t>体附整体支出绩效自评表，项目支出绩效自评表和评价报告。</w:t>
      </w:r>
    </w:p>
    <w:p w14:paraId="28388340">
      <w:r>
        <w:br w:type="page"/>
      </w:r>
    </w:p>
    <w:bookmarkEnd w:id="0"/>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74FCAE9">
        <w:tblPrEx>
          <w:tblCellMar>
            <w:top w:w="0" w:type="dxa"/>
            <w:left w:w="108" w:type="dxa"/>
            <w:bottom w:w="0" w:type="dxa"/>
            <w:right w:w="108" w:type="dxa"/>
          </w:tblCellMar>
        </w:tblPrEx>
        <w:tc>
          <w:tcPr>
            <w:tcW w:w="8840" w:type="dxa"/>
            <w:gridSpan w:val="8"/>
            <w:vAlign w:val="center"/>
          </w:tcPr>
          <w:p w14:paraId="090E5665">
            <w:pPr>
              <w:jc w:val="center"/>
            </w:pPr>
            <w:r>
              <w:rPr>
                <w:rFonts w:ascii="宋体" w:hAnsi="宋体" w:eastAsia="宋体"/>
                <w:sz w:val="24"/>
              </w:rPr>
              <w:t>单位整体支出绩效自评表</w:t>
            </w:r>
          </w:p>
        </w:tc>
      </w:tr>
      <w:tr w14:paraId="51AD8372">
        <w:tblPrEx>
          <w:tblCellMar>
            <w:top w:w="0" w:type="dxa"/>
            <w:left w:w="108" w:type="dxa"/>
            <w:bottom w:w="0" w:type="dxa"/>
            <w:right w:w="108" w:type="dxa"/>
          </w:tblCellMar>
        </w:tblPrEx>
        <w:tc>
          <w:tcPr>
            <w:tcW w:w="8840" w:type="dxa"/>
            <w:gridSpan w:val="8"/>
            <w:vAlign w:val="center"/>
          </w:tcPr>
          <w:p w14:paraId="4DC0D1B8">
            <w:pPr>
              <w:jc w:val="center"/>
            </w:pPr>
            <w:r>
              <w:rPr>
                <w:rFonts w:ascii="宋体" w:hAnsi="宋体" w:eastAsia="宋体"/>
                <w:sz w:val="24"/>
              </w:rPr>
              <w:t>（2024年度）</w:t>
            </w:r>
          </w:p>
        </w:tc>
      </w:tr>
      <w:tr w14:paraId="7FB2D83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6D38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02FE4">
            <w:pPr>
              <w:jc w:val="center"/>
            </w:pPr>
            <w:r>
              <w:rPr>
                <w:rFonts w:ascii="宋体" w:hAnsi="宋体" w:eastAsia="宋体"/>
                <w:sz w:val="16"/>
              </w:rPr>
              <w:t>托里县社会保险中心</w:t>
            </w:r>
          </w:p>
        </w:tc>
      </w:tr>
      <w:tr w14:paraId="4A368D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6465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D7EB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7FB9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E4C2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3034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A77A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6F22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23216">
            <w:pPr>
              <w:jc w:val="center"/>
            </w:pPr>
            <w:r>
              <w:rPr>
                <w:rFonts w:ascii="宋体" w:hAnsi="宋体" w:eastAsia="宋体"/>
                <w:sz w:val="16"/>
              </w:rPr>
              <w:t>得分</w:t>
            </w:r>
          </w:p>
        </w:tc>
      </w:tr>
      <w:tr w14:paraId="52FAD6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7EBF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5C85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C5483">
            <w:pPr>
              <w:jc w:val="center"/>
            </w:pPr>
            <w:r>
              <w:rPr>
                <w:rFonts w:ascii="宋体" w:hAnsi="宋体" w:eastAsia="宋体"/>
                <w:sz w:val="16"/>
              </w:rPr>
              <w:t>298.64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4CFE5">
            <w:pPr>
              <w:jc w:val="center"/>
            </w:pPr>
            <w:r>
              <w:rPr>
                <w:rFonts w:ascii="宋体" w:hAnsi="宋体" w:eastAsia="宋体"/>
                <w:sz w:val="16"/>
              </w:rPr>
              <w:t>389.13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A3676">
            <w:pPr>
              <w:jc w:val="center"/>
            </w:pPr>
            <w:r>
              <w:rPr>
                <w:rFonts w:ascii="宋体" w:hAnsi="宋体" w:eastAsia="宋体"/>
                <w:sz w:val="16"/>
              </w:rPr>
              <w:t>314.46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3A9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FA2D3">
            <w:pPr>
              <w:jc w:val="center"/>
            </w:pPr>
            <w:r>
              <w:rPr>
                <w:rFonts w:ascii="宋体" w:hAnsi="宋体" w:eastAsia="宋体"/>
                <w:sz w:val="16"/>
              </w:rPr>
              <w:t>80.81%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B2197">
            <w:pPr>
              <w:jc w:val="center"/>
            </w:pPr>
            <w:r>
              <w:rPr>
                <w:rFonts w:ascii="宋体" w:hAnsi="宋体" w:eastAsia="宋体"/>
                <w:sz w:val="16"/>
              </w:rPr>
              <w:t>8.08</w:t>
            </w:r>
          </w:p>
        </w:tc>
      </w:tr>
      <w:tr w14:paraId="6D1F48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CA7D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CB48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464C0">
            <w:pPr>
              <w:jc w:val="center"/>
            </w:pPr>
            <w:r>
              <w:rPr>
                <w:rFonts w:ascii="宋体" w:hAnsi="宋体" w:eastAsia="宋体"/>
                <w:sz w:val="16"/>
              </w:rPr>
              <w:t>14.70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51736">
            <w:pPr>
              <w:jc w:val="center"/>
            </w:pPr>
            <w:r>
              <w:rPr>
                <w:rFonts w:ascii="宋体" w:hAnsi="宋体" w:eastAsia="宋体"/>
                <w:sz w:val="16"/>
              </w:rPr>
              <w:t>16.82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38D55">
            <w:pPr>
              <w:jc w:val="center"/>
            </w:pPr>
            <w:r>
              <w:rPr>
                <w:rFonts w:ascii="宋体" w:hAnsi="宋体" w:eastAsia="宋体"/>
                <w:sz w:val="16"/>
              </w:rPr>
              <w:t>16.82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916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15C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3E28A">
            <w:pPr>
              <w:jc w:val="center"/>
            </w:pPr>
            <w:r>
              <w:rPr>
                <w:rFonts w:ascii="宋体" w:hAnsi="宋体" w:eastAsia="宋体"/>
                <w:sz w:val="16"/>
              </w:rPr>
              <w:t>-</w:t>
            </w:r>
          </w:p>
        </w:tc>
      </w:tr>
      <w:tr w14:paraId="2DBCC7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3BF1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CDF8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EC5E7">
            <w:pPr>
              <w:jc w:val="center"/>
            </w:pPr>
            <w:r>
              <w:rPr>
                <w:rFonts w:ascii="宋体" w:hAnsi="宋体" w:eastAsia="宋体"/>
                <w:sz w:val="16"/>
              </w:rPr>
              <w:t>283.94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F12A7">
            <w:pPr>
              <w:jc w:val="center"/>
            </w:pPr>
            <w:r>
              <w:rPr>
                <w:rFonts w:ascii="宋体" w:hAnsi="宋体" w:eastAsia="宋体"/>
                <w:sz w:val="16"/>
              </w:rPr>
              <w:t>372.31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1C8C4">
            <w:pPr>
              <w:jc w:val="center"/>
            </w:pPr>
            <w:r>
              <w:rPr>
                <w:rFonts w:ascii="宋体" w:hAnsi="宋体" w:eastAsia="宋体"/>
                <w:sz w:val="16"/>
              </w:rPr>
              <w:t>297.64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078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B18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FD065">
            <w:pPr>
              <w:jc w:val="center"/>
            </w:pPr>
            <w:r>
              <w:rPr>
                <w:rFonts w:ascii="宋体" w:hAnsi="宋体" w:eastAsia="宋体"/>
                <w:sz w:val="16"/>
              </w:rPr>
              <w:t>-</w:t>
            </w:r>
          </w:p>
        </w:tc>
      </w:tr>
      <w:tr w14:paraId="6F046B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A81C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27CC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A37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C5A8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8B4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0DC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9D7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EE932">
            <w:pPr>
              <w:jc w:val="center"/>
            </w:pPr>
            <w:r>
              <w:rPr>
                <w:rFonts w:ascii="宋体" w:hAnsi="宋体" w:eastAsia="宋体"/>
                <w:sz w:val="16"/>
              </w:rPr>
              <w:t>-</w:t>
            </w:r>
          </w:p>
        </w:tc>
      </w:tr>
      <w:tr w14:paraId="6B97D2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4EC97">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8B627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072F0B">
            <w:pPr>
              <w:jc w:val="center"/>
            </w:pPr>
            <w:r>
              <w:rPr>
                <w:rFonts w:ascii="宋体" w:hAnsi="宋体" w:eastAsia="宋体"/>
                <w:sz w:val="16"/>
              </w:rPr>
              <w:t>实际完成情况</w:t>
            </w:r>
          </w:p>
        </w:tc>
      </w:tr>
      <w:tr w14:paraId="5430DA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7EABA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EAA140">
            <w:pPr>
              <w:jc w:val="both"/>
            </w:pPr>
            <w:r>
              <w:rPr>
                <w:rFonts w:ascii="宋体" w:hAnsi="宋体" w:eastAsia="宋体"/>
                <w:sz w:val="16"/>
              </w:rPr>
              <w:t>用于保障</w:t>
            </w:r>
            <w:r>
              <w:rPr>
                <w:rFonts w:hint="eastAsia" w:ascii="宋体" w:hAnsi="宋体"/>
                <w:sz w:val="16"/>
                <w:lang w:eastAsia="zh-CN"/>
              </w:rPr>
              <w:t>本单位</w:t>
            </w:r>
            <w:r>
              <w:rPr>
                <w:rFonts w:ascii="宋体" w:hAnsi="宋体" w:eastAsia="宋体"/>
                <w:sz w:val="16"/>
              </w:rPr>
              <w:t>的工资、社保及公积金的正常发放，促进托里县建设事业的更好发展。</w:t>
            </w:r>
            <w:r>
              <w:rPr>
                <w:rFonts w:hint="eastAsia" w:ascii="宋体" w:hAnsi="宋体"/>
                <w:sz w:val="16"/>
                <w:lang w:eastAsia="zh-CN"/>
              </w:rPr>
              <w:t>选优配强各级领导班子</w:t>
            </w:r>
            <w:r>
              <w:rPr>
                <w:rFonts w:ascii="宋体" w:hAnsi="宋体" w:eastAsia="宋体"/>
                <w:sz w:val="16"/>
              </w:rPr>
              <w:t>，全面提升领导班子和干部队伍的治理能力。以能力提升为支撑，建设高素质专业化公务员队伍。以聚才引智为目标，着力深化人才强县战略。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08A224">
            <w:pPr>
              <w:jc w:val="both"/>
            </w:pPr>
            <w:r>
              <w:rPr>
                <w:rFonts w:ascii="宋体" w:hAnsi="宋体" w:eastAsia="宋体"/>
                <w:sz w:val="16"/>
              </w:rPr>
              <w:t>做好我县社会保险工作，完成县城乡居民养老保险待遇发放人数4020人，城乡居民养老保险参保人数4498人，城乡居民基本养老待遇补助发放率落实不低于95%，城乡居民基本养老保险参保率落实不低于95%，企业养老保险参保率落实不低于95%。持续做好以下工作：1、保障城乡居民养老保险参保人员和待遇领取人员正常享受补助。2、加强扩面征缴任务，坚持稳中求进，依法扩面征缴。3及时调整退休人员养老保险待遇和居民基础养老金标准，确保各项社会保险待遇按时足额发放。4、组织实施全县社会保险费的稽核，建立健全防范瞒报少缴社会保险费和虚假冒领社会保险待遇工作的制度。5、负责组织宣传社会保险政策、</w:t>
            </w:r>
            <w:r>
              <w:rPr>
                <w:rFonts w:hint="eastAsia" w:ascii="宋体" w:hAnsi="宋体"/>
                <w:sz w:val="16"/>
                <w:lang w:eastAsia="zh-CN"/>
              </w:rPr>
              <w:t>法律法规</w:t>
            </w:r>
            <w:r>
              <w:rPr>
                <w:rFonts w:ascii="宋体" w:hAnsi="宋体" w:eastAsia="宋体"/>
                <w:sz w:val="16"/>
              </w:rPr>
              <w:t>和有关知识。</w:t>
            </w:r>
          </w:p>
        </w:tc>
      </w:tr>
      <w:tr w14:paraId="431038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76E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28D7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0312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4DC7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46326">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B57A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E371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D6153">
            <w:pPr>
              <w:jc w:val="center"/>
            </w:pPr>
            <w:r>
              <w:rPr>
                <w:rFonts w:ascii="宋体" w:hAnsi="宋体" w:eastAsia="宋体"/>
                <w:sz w:val="16"/>
              </w:rPr>
              <w:t>得分</w:t>
            </w:r>
          </w:p>
        </w:tc>
      </w:tr>
      <w:tr w14:paraId="0C7CC5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2696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38D2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A5FE2">
            <w:pPr>
              <w:jc w:val="center"/>
            </w:pPr>
            <w:r>
              <w:rPr>
                <w:rFonts w:ascii="宋体" w:hAnsi="宋体" w:eastAsia="宋体"/>
                <w:sz w:val="16"/>
              </w:rPr>
              <w:t>离休干部遗孀补助人数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8BF15">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2E628">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2494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97E9E">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1A563">
            <w:pPr>
              <w:jc w:val="center"/>
            </w:pPr>
            <w:r>
              <w:rPr>
                <w:rFonts w:ascii="宋体" w:hAnsi="宋体" w:eastAsia="宋体"/>
                <w:sz w:val="16"/>
              </w:rPr>
              <w:t>16.6</w:t>
            </w:r>
          </w:p>
        </w:tc>
      </w:tr>
      <w:tr w14:paraId="7BF8C8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DF84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211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3D4E7">
            <w:pPr>
              <w:jc w:val="center"/>
            </w:pPr>
            <w:r>
              <w:rPr>
                <w:rFonts w:ascii="宋体" w:hAnsi="宋体" w:eastAsia="宋体"/>
                <w:sz w:val="16"/>
              </w:rPr>
              <w:t>5年前退休人员生活补贴补助人数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365FE">
            <w:pPr>
              <w:jc w:val="center"/>
            </w:pPr>
            <w:r>
              <w:rPr>
                <w:rFonts w:ascii="宋体" w:hAnsi="宋体" w:eastAsia="宋体"/>
                <w:sz w:val="16"/>
              </w:rPr>
              <w:t>&gt;=102人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0B9E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2CF1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D9D7B">
            <w:pPr>
              <w:jc w:val="center"/>
            </w:pPr>
            <w:r>
              <w:rPr>
                <w:rFonts w:ascii="宋体" w:hAnsi="宋体" w:eastAsia="宋体"/>
                <w:sz w:val="16"/>
              </w:rPr>
              <w:t>89人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2EDC5">
            <w:pPr>
              <w:jc w:val="center"/>
            </w:pPr>
            <w:r>
              <w:rPr>
                <w:rFonts w:ascii="宋体" w:hAnsi="宋体" w:eastAsia="宋体"/>
                <w:sz w:val="16"/>
              </w:rPr>
              <w:t>17.4</w:t>
            </w:r>
          </w:p>
        </w:tc>
      </w:tr>
      <w:tr w14:paraId="50A9EC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4CB5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128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AE020">
            <w:pPr>
              <w:jc w:val="center"/>
            </w:pPr>
            <w:r>
              <w:rPr>
                <w:rFonts w:ascii="宋体" w:hAnsi="宋体" w:eastAsia="宋体"/>
                <w:sz w:val="16"/>
              </w:rPr>
              <w:t>开展社保基层平台培训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96E25">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C6F22">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151A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C1B53">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5BB63">
            <w:pPr>
              <w:jc w:val="center"/>
            </w:pPr>
            <w:r>
              <w:rPr>
                <w:rFonts w:ascii="宋体" w:hAnsi="宋体" w:eastAsia="宋体"/>
                <w:sz w:val="16"/>
              </w:rPr>
              <w:t>20</w:t>
            </w:r>
          </w:p>
        </w:tc>
      </w:tr>
      <w:tr w14:paraId="48022D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4A496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A88A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DCCE2">
            <w:pPr>
              <w:jc w:val="center"/>
            </w:pPr>
            <w:r>
              <w:rPr>
                <w:rFonts w:ascii="宋体" w:hAnsi="宋体" w:eastAsia="宋体"/>
                <w:sz w:val="16"/>
              </w:rPr>
              <w:t>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8733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EE83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A919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6D8F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3AE68">
            <w:pPr>
              <w:jc w:val="center"/>
            </w:pPr>
            <w:r>
              <w:rPr>
                <w:rFonts w:ascii="宋体" w:hAnsi="宋体" w:eastAsia="宋体"/>
                <w:sz w:val="16"/>
              </w:rPr>
              <w:t>15</w:t>
            </w:r>
          </w:p>
        </w:tc>
      </w:tr>
      <w:tr w14:paraId="4E4538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40C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DABB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7D19D">
            <w:pPr>
              <w:jc w:val="center"/>
            </w:pPr>
            <w:r>
              <w:rPr>
                <w:rFonts w:ascii="宋体" w:hAnsi="宋体" w:eastAsia="宋体"/>
                <w:sz w:val="16"/>
              </w:rPr>
              <w:t>社保待遇按时足额发放率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B468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294B2">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4A0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0636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BC724">
            <w:pPr>
              <w:jc w:val="center"/>
            </w:pPr>
            <w:r>
              <w:rPr>
                <w:rFonts w:ascii="宋体" w:hAnsi="宋体" w:eastAsia="宋体"/>
                <w:sz w:val="16"/>
              </w:rPr>
              <w:t>15</w:t>
            </w:r>
          </w:p>
        </w:tc>
      </w:tr>
    </w:tbl>
    <w:p w14:paraId="7A9E720C">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776"/>
        <w:gridCol w:w="615"/>
        <w:gridCol w:w="696"/>
        <w:gridCol w:w="621"/>
        <w:gridCol w:w="615"/>
        <w:gridCol w:w="615"/>
        <w:gridCol w:w="696"/>
        <w:gridCol w:w="626"/>
        <w:gridCol w:w="697"/>
        <w:gridCol w:w="632"/>
      </w:tblGrid>
      <w:tr w14:paraId="6B961FDD">
        <w:tblPrEx>
          <w:tblCellMar>
            <w:top w:w="0" w:type="dxa"/>
            <w:left w:w="108" w:type="dxa"/>
            <w:bottom w:w="0" w:type="dxa"/>
            <w:right w:w="108" w:type="dxa"/>
          </w:tblCellMar>
        </w:tblPrEx>
        <w:tc>
          <w:tcPr>
            <w:tcW w:w="8848" w:type="dxa"/>
            <w:gridSpan w:val="14"/>
            <w:vAlign w:val="center"/>
          </w:tcPr>
          <w:p w14:paraId="1D1714DF">
            <w:pPr>
              <w:jc w:val="center"/>
            </w:pPr>
            <w:r>
              <w:rPr>
                <w:rFonts w:ascii="宋体" w:hAnsi="宋体" w:eastAsia="宋体"/>
                <w:sz w:val="24"/>
              </w:rPr>
              <w:t>项目支出绩效自评表</w:t>
            </w:r>
          </w:p>
        </w:tc>
      </w:tr>
      <w:tr w14:paraId="171807F1">
        <w:tblPrEx>
          <w:tblCellMar>
            <w:top w:w="0" w:type="dxa"/>
            <w:left w:w="108" w:type="dxa"/>
            <w:bottom w:w="0" w:type="dxa"/>
            <w:right w:w="108" w:type="dxa"/>
          </w:tblCellMar>
        </w:tblPrEx>
        <w:tc>
          <w:tcPr>
            <w:tcW w:w="8848" w:type="dxa"/>
            <w:gridSpan w:val="14"/>
            <w:vAlign w:val="center"/>
          </w:tcPr>
          <w:p w14:paraId="21D3CC18">
            <w:pPr>
              <w:jc w:val="center"/>
            </w:pPr>
            <w:r>
              <w:rPr>
                <w:rFonts w:ascii="宋体" w:hAnsi="宋体" w:eastAsia="宋体"/>
                <w:sz w:val="24"/>
              </w:rPr>
              <w:t>(2024年度)</w:t>
            </w:r>
          </w:p>
        </w:tc>
      </w:tr>
      <w:tr w14:paraId="586A96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70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5C6C26">
            <w:pPr>
              <w:jc w:val="center"/>
            </w:pPr>
            <w:r>
              <w:rPr>
                <w:rFonts w:ascii="宋体" w:hAnsi="宋体" w:eastAsia="宋体"/>
                <w:sz w:val="16"/>
              </w:rPr>
              <w:t>2024年其他人员类-2024年离休人员遗孀生活补助</w:t>
            </w:r>
          </w:p>
        </w:tc>
      </w:tr>
      <w:tr w14:paraId="6A97EC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49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C6068">
            <w:pPr>
              <w:jc w:val="center"/>
            </w:pPr>
            <w:r>
              <w:rPr>
                <w:rFonts w:ascii="宋体" w:hAnsi="宋体" w:eastAsia="宋体"/>
                <w:sz w:val="16"/>
              </w:rPr>
              <w:t>托里县社会保险中心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48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FC52C">
            <w:pPr>
              <w:jc w:val="center"/>
            </w:pPr>
            <w:r>
              <w:rPr>
                <w:rFonts w:ascii="宋体" w:hAnsi="宋体" w:eastAsia="宋体"/>
                <w:sz w:val="16"/>
              </w:rPr>
              <w:t>托里县社会保险中心</w:t>
            </w:r>
          </w:p>
        </w:tc>
      </w:tr>
      <w:tr w14:paraId="5EBDF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B7E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3F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E0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D8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9C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E1A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0A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45B8">
            <w:pPr>
              <w:jc w:val="center"/>
            </w:pPr>
            <w:r>
              <w:rPr>
                <w:rFonts w:ascii="宋体" w:hAnsi="宋体" w:eastAsia="宋体"/>
                <w:sz w:val="16"/>
              </w:rPr>
              <w:t>得分</w:t>
            </w:r>
          </w:p>
        </w:tc>
      </w:tr>
      <w:tr w14:paraId="0C19A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645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601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C59C">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FEB1E">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35450">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DF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C7B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CF42">
            <w:pPr>
              <w:jc w:val="center"/>
            </w:pPr>
            <w:r>
              <w:rPr>
                <w:rFonts w:ascii="宋体" w:hAnsi="宋体" w:eastAsia="宋体"/>
                <w:sz w:val="16"/>
              </w:rPr>
              <w:t>10.00</w:t>
            </w:r>
          </w:p>
        </w:tc>
      </w:tr>
      <w:tr w14:paraId="6B6C8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CA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99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C7C80">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6D7A2">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1928C">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C5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4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B829">
            <w:pPr>
              <w:jc w:val="center"/>
            </w:pPr>
            <w:r>
              <w:rPr>
                <w:rFonts w:ascii="宋体" w:hAnsi="宋体" w:eastAsia="宋体"/>
                <w:sz w:val="16"/>
              </w:rPr>
              <w:t>—</w:t>
            </w:r>
          </w:p>
        </w:tc>
      </w:tr>
      <w:tr w14:paraId="3138E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B8A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746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0CD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2C6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4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B27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4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4CC">
            <w:pPr>
              <w:jc w:val="center"/>
            </w:pPr>
            <w:r>
              <w:rPr>
                <w:rFonts w:ascii="宋体" w:hAnsi="宋体" w:eastAsia="宋体"/>
                <w:sz w:val="16"/>
              </w:rPr>
              <w:t>—</w:t>
            </w:r>
          </w:p>
        </w:tc>
      </w:tr>
      <w:tr w14:paraId="29CFA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7E7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70D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7BE09">
            <w:pPr>
              <w:jc w:val="center"/>
            </w:pPr>
            <w:r>
              <w:rPr>
                <w:rFonts w:ascii="宋体" w:hAnsi="宋体" w:eastAsia="宋体"/>
                <w:sz w:val="16"/>
              </w:rPr>
              <w:t>实际完成情况</w:t>
            </w:r>
          </w:p>
        </w:tc>
      </w:tr>
      <w:tr w14:paraId="7A79D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F0D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3ADC3">
            <w:pPr>
              <w:jc w:val="both"/>
            </w:pPr>
            <w:r>
              <w:rPr>
                <w:rFonts w:ascii="宋体" w:hAnsi="宋体" w:eastAsia="宋体"/>
                <w:sz w:val="16"/>
              </w:rPr>
              <w:t>离休干部和同期参加革命工作已故老工人无固定收入配偶生活困难补助资金4.81万元，离休干部遗孀补助人数为6人，补贴发放月数12个月，切实提高了离休干部遗孀生活水平，保障了离休干部遗孀生活稳定，资金用于已故离休干部和同期参加革命工作已故老工人无固定收入配偶生活困难补助发放，提高离休干部遗孀生活水平，离休干部遗孀困难人员满意度达到了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0919CA">
            <w:pPr>
              <w:jc w:val="both"/>
            </w:pPr>
            <w:r>
              <w:rPr>
                <w:rFonts w:ascii="宋体" w:hAnsi="宋体" w:eastAsia="宋体"/>
                <w:sz w:val="16"/>
              </w:rPr>
              <w:t>离休干部和同期参加革命工作已故老工人无固定收入配偶生活困难补助资金4.81万元，离休干部遗孀补助人数为5人，补贴发放月数12个月，切实提高了离休干部遗孀生活水平，保障了离休干部遗孀生活稳定，资金用于已故离休干部和同期参加革命工作已故老工人无固定收入配偶生活困难补助发放，提高离休干部遗孀生活水平，离休干部遗孀困难人员满意度达到了95%。</w:t>
            </w:r>
          </w:p>
        </w:tc>
      </w:tr>
      <w:tr w14:paraId="1D61C1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734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B6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E5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90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B4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1D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5F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CD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554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AF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3CC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10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71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6C2A">
            <w:pPr>
              <w:jc w:val="center"/>
            </w:pPr>
            <w:r>
              <w:rPr>
                <w:rFonts w:ascii="宋体" w:hAnsi="宋体" w:eastAsia="宋体"/>
                <w:sz w:val="16"/>
              </w:rPr>
              <w:t>偏差原因分析及改进措施</w:t>
            </w:r>
          </w:p>
        </w:tc>
      </w:tr>
      <w:tr w14:paraId="090CBB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185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764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A63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C60E">
            <w:pPr>
              <w:jc w:val="center"/>
            </w:pPr>
            <w:r>
              <w:rPr>
                <w:rFonts w:ascii="宋体" w:hAnsi="宋体" w:eastAsia="宋体"/>
                <w:sz w:val="16"/>
              </w:rPr>
              <w:t>离休干部遗孀补助人数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A4C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B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A5D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4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6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A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3CC5">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0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E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1BEA">
            <w:pPr>
              <w:jc w:val="center"/>
            </w:pPr>
          </w:p>
        </w:tc>
      </w:tr>
      <w:tr w14:paraId="4CC51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1E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F5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34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A98B">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B05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95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3E7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0D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B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E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9AB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0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1F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F054">
            <w:pPr>
              <w:jc w:val="center"/>
            </w:pPr>
          </w:p>
        </w:tc>
      </w:tr>
      <w:tr w14:paraId="6EE39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1A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7D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5B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ECD6">
            <w:pPr>
              <w:jc w:val="center"/>
            </w:pPr>
            <w:r>
              <w:rPr>
                <w:rFonts w:ascii="宋体" w:hAnsi="宋体" w:eastAsia="宋体"/>
                <w:sz w:val="16"/>
              </w:rPr>
              <w:t>离休干部遗孀补助准确率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4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9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3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6F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F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7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8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7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83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487B">
            <w:pPr>
              <w:jc w:val="center"/>
            </w:pPr>
          </w:p>
        </w:tc>
      </w:tr>
      <w:tr w14:paraId="7DC51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62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8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E9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59EE">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A86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8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4B4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5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A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E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79B0">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F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B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953C">
            <w:pPr>
              <w:jc w:val="center"/>
            </w:pPr>
          </w:p>
        </w:tc>
      </w:tr>
      <w:tr w14:paraId="70CA3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66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354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2A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CB40">
            <w:pPr>
              <w:jc w:val="center"/>
            </w:pPr>
            <w:r>
              <w:rPr>
                <w:rFonts w:ascii="宋体" w:hAnsi="宋体" w:eastAsia="宋体"/>
                <w:sz w:val="16"/>
              </w:rPr>
              <w:t>离休干部遗孀补助标准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2696">
            <w:pPr>
              <w:jc w:val="center"/>
            </w:pPr>
            <w:r>
              <w:rPr>
                <w:rFonts w:ascii="宋体" w:hAnsi="宋体" w:eastAsia="宋体"/>
                <w:sz w:val="16"/>
              </w:rPr>
              <w:t>&lt;=801.6元/人·月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5C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C18F">
            <w:pPr>
              <w:jc w:val="center"/>
            </w:pPr>
            <w:r>
              <w:rPr>
                <w:rFonts w:ascii="宋体" w:hAnsi="宋体" w:eastAsia="宋体"/>
                <w:sz w:val="16"/>
              </w:rPr>
              <w:t>801.6元/人·月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44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3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5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80C3">
            <w:pPr>
              <w:jc w:val="center"/>
            </w:pPr>
            <w:r>
              <w:rPr>
                <w:rFonts w:ascii="宋体" w:hAnsi="宋体" w:eastAsia="宋体"/>
                <w:sz w:val="16"/>
              </w:rPr>
              <w:t>=801.6元/人·月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5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FB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D3A6">
            <w:pPr>
              <w:jc w:val="center"/>
            </w:pPr>
          </w:p>
        </w:tc>
      </w:tr>
      <w:tr w14:paraId="2EB47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89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54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64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F2C6">
            <w:pPr>
              <w:jc w:val="center"/>
            </w:pPr>
            <w:r>
              <w:rPr>
                <w:rFonts w:ascii="宋体" w:hAnsi="宋体" w:eastAsia="宋体"/>
                <w:sz w:val="16"/>
              </w:rPr>
              <w:t>提高离休干部遗孀生活水平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8B8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5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CC4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50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50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C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257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5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6B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CD48">
            <w:pPr>
              <w:jc w:val="center"/>
            </w:pPr>
          </w:p>
        </w:tc>
      </w:tr>
      <w:tr w14:paraId="342C3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D5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D4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A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E3C1">
            <w:pPr>
              <w:jc w:val="center"/>
            </w:pPr>
            <w:r>
              <w:rPr>
                <w:rFonts w:ascii="宋体" w:hAnsi="宋体" w:eastAsia="宋体"/>
                <w:sz w:val="16"/>
              </w:rPr>
              <w:t>离休干部遗孀困难人员满意度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58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3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A2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65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EB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2A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8D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9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3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10E7">
            <w:pPr>
              <w:jc w:val="center"/>
            </w:pPr>
            <w:r>
              <w:rPr>
                <w:rFonts w:ascii="宋体" w:hAnsi="宋体" w:eastAsia="宋体"/>
                <w:sz w:val="16"/>
              </w:rPr>
              <w:t>自然去世</w:t>
            </w:r>
          </w:p>
        </w:tc>
      </w:tr>
      <w:tr w14:paraId="15011A4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3B18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00A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160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9D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E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7710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3561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1AFC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1A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567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30D213"/>
        </w:tc>
      </w:tr>
    </w:tbl>
    <w:p w14:paraId="6309DFA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4"/>
        <w:gridCol w:w="632"/>
        <w:gridCol w:w="776"/>
        <w:gridCol w:w="696"/>
        <w:gridCol w:w="632"/>
      </w:tblGrid>
      <w:tr w14:paraId="3902D069">
        <w:tblPrEx>
          <w:tblCellMar>
            <w:top w:w="0" w:type="dxa"/>
            <w:left w:w="108" w:type="dxa"/>
            <w:bottom w:w="0" w:type="dxa"/>
            <w:right w:w="108" w:type="dxa"/>
          </w:tblCellMar>
        </w:tblPrEx>
        <w:tc>
          <w:tcPr>
            <w:tcW w:w="8848" w:type="dxa"/>
            <w:gridSpan w:val="14"/>
            <w:vAlign w:val="center"/>
          </w:tcPr>
          <w:p w14:paraId="397FEE4F">
            <w:pPr>
              <w:jc w:val="center"/>
            </w:pPr>
            <w:r>
              <w:rPr>
                <w:rFonts w:ascii="宋体" w:hAnsi="宋体" w:eastAsia="宋体"/>
                <w:sz w:val="24"/>
              </w:rPr>
              <w:t>项目支出绩效自评表</w:t>
            </w:r>
          </w:p>
        </w:tc>
      </w:tr>
      <w:tr w14:paraId="711CB514">
        <w:tblPrEx>
          <w:tblCellMar>
            <w:top w:w="0" w:type="dxa"/>
            <w:left w:w="108" w:type="dxa"/>
            <w:bottom w:w="0" w:type="dxa"/>
            <w:right w:w="108" w:type="dxa"/>
          </w:tblCellMar>
        </w:tblPrEx>
        <w:tc>
          <w:tcPr>
            <w:tcW w:w="8848" w:type="dxa"/>
            <w:gridSpan w:val="14"/>
            <w:vAlign w:val="center"/>
          </w:tcPr>
          <w:p w14:paraId="19BB7ADE">
            <w:pPr>
              <w:jc w:val="center"/>
            </w:pPr>
            <w:r>
              <w:rPr>
                <w:rFonts w:ascii="宋体" w:hAnsi="宋体" w:eastAsia="宋体"/>
                <w:sz w:val="24"/>
              </w:rPr>
              <w:t>(2024年度)</w:t>
            </w:r>
          </w:p>
        </w:tc>
      </w:tr>
      <w:tr w14:paraId="28800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13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67718B">
            <w:pPr>
              <w:jc w:val="center"/>
            </w:pPr>
            <w:r>
              <w:rPr>
                <w:rFonts w:ascii="宋体" w:hAnsi="宋体" w:eastAsia="宋体"/>
                <w:sz w:val="16"/>
              </w:rPr>
              <w:t>2024年社会保险经办机构业务补助经费</w:t>
            </w:r>
          </w:p>
        </w:tc>
      </w:tr>
      <w:tr w14:paraId="27CBA2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14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4FF9F">
            <w:pPr>
              <w:jc w:val="center"/>
            </w:pPr>
            <w:r>
              <w:rPr>
                <w:rFonts w:ascii="宋体" w:hAnsi="宋体" w:eastAsia="宋体"/>
                <w:sz w:val="16"/>
              </w:rPr>
              <w:t>托里县社会保险中心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CF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EAD811">
            <w:pPr>
              <w:jc w:val="center"/>
            </w:pPr>
            <w:r>
              <w:rPr>
                <w:rFonts w:ascii="宋体" w:hAnsi="宋体" w:eastAsia="宋体"/>
                <w:sz w:val="16"/>
              </w:rPr>
              <w:t>托里县社会保险中心</w:t>
            </w:r>
          </w:p>
        </w:tc>
      </w:tr>
      <w:tr w14:paraId="5CCE60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384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FA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29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03A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AA3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C0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DE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D1B0">
            <w:pPr>
              <w:jc w:val="center"/>
            </w:pPr>
            <w:r>
              <w:rPr>
                <w:rFonts w:ascii="宋体" w:hAnsi="宋体" w:eastAsia="宋体"/>
                <w:sz w:val="16"/>
              </w:rPr>
              <w:t>得分</w:t>
            </w:r>
          </w:p>
        </w:tc>
      </w:tr>
      <w:tr w14:paraId="0CF9C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588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92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6D0F">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59EE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8B78C">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8B7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B7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5CC6">
            <w:pPr>
              <w:jc w:val="center"/>
            </w:pPr>
            <w:r>
              <w:rPr>
                <w:rFonts w:ascii="宋体" w:hAnsi="宋体" w:eastAsia="宋体"/>
                <w:sz w:val="16"/>
              </w:rPr>
              <w:t>10.00</w:t>
            </w:r>
          </w:p>
        </w:tc>
      </w:tr>
      <w:tr w14:paraId="3AE66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D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105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BA71">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2D633">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CBFE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89C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DC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17D0">
            <w:pPr>
              <w:jc w:val="center"/>
            </w:pPr>
            <w:r>
              <w:rPr>
                <w:rFonts w:ascii="宋体" w:hAnsi="宋体" w:eastAsia="宋体"/>
                <w:sz w:val="16"/>
              </w:rPr>
              <w:t>—</w:t>
            </w:r>
          </w:p>
        </w:tc>
      </w:tr>
      <w:tr w14:paraId="06540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406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53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DA1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46C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CA0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936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EA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8A0E">
            <w:pPr>
              <w:jc w:val="center"/>
            </w:pPr>
            <w:r>
              <w:rPr>
                <w:rFonts w:ascii="宋体" w:hAnsi="宋体" w:eastAsia="宋体"/>
                <w:sz w:val="16"/>
              </w:rPr>
              <w:t>—</w:t>
            </w:r>
          </w:p>
        </w:tc>
      </w:tr>
      <w:tr w14:paraId="79C1D9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7F2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599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1431B">
            <w:pPr>
              <w:jc w:val="center"/>
            </w:pPr>
            <w:r>
              <w:rPr>
                <w:rFonts w:ascii="宋体" w:hAnsi="宋体" w:eastAsia="宋体"/>
                <w:sz w:val="16"/>
              </w:rPr>
              <w:t>实际完成情况</w:t>
            </w:r>
          </w:p>
        </w:tc>
      </w:tr>
      <w:tr w14:paraId="53026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7C3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642F6">
            <w:pPr>
              <w:jc w:val="both"/>
            </w:pPr>
            <w:r>
              <w:rPr>
                <w:rFonts w:ascii="宋体" w:hAnsi="宋体" w:eastAsia="宋体"/>
                <w:sz w:val="16"/>
              </w:rPr>
              <w:t>2024年社会保险经办机构业务补助经费4.8万元，其中财政拨款4.8万元，主要用于，社保业务、政策宣传，代办员12人，单位宣传培训等办公费用及社保中心聘用代办员发放生活补助，使群众满意度达到95%以上、宣传干部满意度达到95%以上，代办员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1CF656">
            <w:pPr>
              <w:jc w:val="both"/>
            </w:pPr>
            <w:r>
              <w:rPr>
                <w:rFonts w:ascii="宋体" w:hAnsi="宋体" w:eastAsia="宋体"/>
                <w:sz w:val="16"/>
              </w:rPr>
              <w:br w:type="textWrapping"/>
            </w:r>
            <w:r>
              <w:rPr>
                <w:rFonts w:ascii="宋体" w:hAnsi="宋体" w:eastAsia="宋体"/>
                <w:sz w:val="16"/>
              </w:rPr>
              <w:t>2024年社会保险经办机构业务补助经费4.8万元，其中财政拨款4.8万元，主要用于，社保业务、政策宣传，代办员12人，单位宣传培训等办公费用及社保中心聘用代办员发放生活补助，使群众满意度达到95%以上、宣传干部满意度达到95%以上，代办员满意度达到95%以上。</w:t>
            </w:r>
          </w:p>
        </w:tc>
      </w:tr>
      <w:tr w14:paraId="053A53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A0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EB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AA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01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80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51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B2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C3C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8E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68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FFE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3A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F9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FE2E">
            <w:pPr>
              <w:jc w:val="center"/>
            </w:pPr>
            <w:r>
              <w:rPr>
                <w:rFonts w:ascii="宋体" w:hAnsi="宋体" w:eastAsia="宋体"/>
                <w:sz w:val="16"/>
              </w:rPr>
              <w:t>偏差原因分析及改进措施</w:t>
            </w:r>
          </w:p>
        </w:tc>
      </w:tr>
      <w:tr w14:paraId="41D9E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4D8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FA7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861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039E">
            <w:pPr>
              <w:jc w:val="center"/>
            </w:pPr>
            <w:r>
              <w:rPr>
                <w:rFonts w:ascii="宋体" w:hAnsi="宋体" w:eastAsia="宋体"/>
                <w:sz w:val="16"/>
              </w:rPr>
              <w:t>宣传场次数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8167">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F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79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4F6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9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8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2452">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1268">
            <w:pPr>
              <w:jc w:val="center"/>
            </w:pPr>
            <w:r>
              <w:rPr>
                <w:rFonts w:ascii="宋体" w:hAnsi="宋体" w:eastAsia="宋体"/>
                <w:sz w:val="16"/>
              </w:rPr>
              <w:t>187.5%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9F8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F7B9">
            <w:pPr>
              <w:jc w:val="center"/>
            </w:pPr>
            <w:r>
              <w:rPr>
                <w:rFonts w:ascii="宋体" w:hAnsi="宋体" w:eastAsia="宋体"/>
                <w:sz w:val="16"/>
              </w:rPr>
              <w:t>原因：参保扩面宣传场次较多，乡镇宣传力度加大。</w:t>
            </w:r>
          </w:p>
        </w:tc>
      </w:tr>
      <w:tr w14:paraId="1575A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E6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97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F2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6664">
            <w:pPr>
              <w:jc w:val="center"/>
            </w:pPr>
            <w:r>
              <w:rPr>
                <w:rFonts w:ascii="宋体" w:hAnsi="宋体" w:eastAsia="宋体"/>
                <w:sz w:val="16"/>
              </w:rPr>
              <w:t>代办员人数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B78C">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F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D3D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512A">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D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2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A6E6">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B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03D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6DBE">
            <w:pPr>
              <w:jc w:val="center"/>
            </w:pPr>
          </w:p>
        </w:tc>
      </w:tr>
      <w:tr w14:paraId="1963D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0C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285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41B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4383">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20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4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91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C4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3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0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C9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7A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F0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CCD7">
            <w:pPr>
              <w:jc w:val="center"/>
            </w:pPr>
          </w:p>
        </w:tc>
      </w:tr>
      <w:tr w14:paraId="7CF51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1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C5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7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3F7A">
            <w:pPr>
              <w:jc w:val="center"/>
            </w:pPr>
            <w:r>
              <w:rPr>
                <w:rFonts w:ascii="宋体" w:hAnsi="宋体" w:eastAsia="宋体"/>
                <w:sz w:val="16"/>
              </w:rPr>
              <w:t>代办员到岗率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C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F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D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E7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F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5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0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C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1F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6141">
            <w:pPr>
              <w:jc w:val="center"/>
            </w:pPr>
          </w:p>
        </w:tc>
      </w:tr>
      <w:tr w14:paraId="5BB41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1B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553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277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88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49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D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A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83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E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6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8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A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93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874F">
            <w:pPr>
              <w:jc w:val="center"/>
            </w:pPr>
          </w:p>
        </w:tc>
      </w:tr>
      <w:tr w14:paraId="0EB6D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25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BA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6F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F94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083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9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69ED">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76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81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B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144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C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8F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DC11">
            <w:pPr>
              <w:jc w:val="center"/>
            </w:pPr>
          </w:p>
        </w:tc>
      </w:tr>
      <w:tr w14:paraId="03C02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8A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222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757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7657">
            <w:pPr>
              <w:jc w:val="center"/>
            </w:pPr>
            <w:r>
              <w:rPr>
                <w:rFonts w:ascii="宋体" w:hAnsi="宋体" w:eastAsia="宋体"/>
                <w:sz w:val="16"/>
              </w:rPr>
              <w:t>宣传及办公费用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127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2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E587">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FD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D1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1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56D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DB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24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879F">
            <w:pPr>
              <w:jc w:val="center"/>
            </w:pPr>
          </w:p>
        </w:tc>
      </w:tr>
      <w:tr w14:paraId="7A050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73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89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55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A676">
            <w:pPr>
              <w:jc w:val="center"/>
            </w:pPr>
            <w:r>
              <w:rPr>
                <w:rFonts w:ascii="宋体" w:hAnsi="宋体" w:eastAsia="宋体"/>
                <w:sz w:val="16"/>
              </w:rPr>
              <w:t>代办员补贴成本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CC9B">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56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80DF">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06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07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2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FCD4">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2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1D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C12E">
            <w:pPr>
              <w:jc w:val="center"/>
            </w:pPr>
          </w:p>
        </w:tc>
      </w:tr>
      <w:tr w14:paraId="6BCB8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5B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F9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B9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A228">
            <w:pPr>
              <w:jc w:val="center"/>
            </w:pPr>
            <w:r>
              <w:rPr>
                <w:rFonts w:ascii="宋体" w:hAnsi="宋体" w:eastAsia="宋体"/>
                <w:sz w:val="16"/>
              </w:rPr>
              <w:t>提高养老保险缴纳比例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AAF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E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D1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E5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6F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6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2FB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92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C7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9AB5">
            <w:pPr>
              <w:jc w:val="center"/>
            </w:pPr>
          </w:p>
        </w:tc>
      </w:tr>
      <w:tr w14:paraId="3D9E7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23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C1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AA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5494">
            <w:pPr>
              <w:jc w:val="center"/>
            </w:pPr>
            <w:r>
              <w:rPr>
                <w:rFonts w:ascii="宋体" w:hAnsi="宋体" w:eastAsia="宋体"/>
                <w:sz w:val="16"/>
              </w:rPr>
              <w:t>代办员满意度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D3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4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D5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D5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42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99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C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AECE">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7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78B5">
            <w:pPr>
              <w:jc w:val="center"/>
            </w:pPr>
            <w:r>
              <w:rPr>
                <w:rFonts w:ascii="宋体" w:hAnsi="宋体" w:eastAsia="宋体"/>
                <w:sz w:val="16"/>
              </w:rPr>
              <w:t>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1CCDCF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A6D4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D2B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CB2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4F8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9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B1C6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ED4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B33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93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149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E4B1B1"/>
        </w:tc>
      </w:tr>
    </w:tbl>
    <w:p w14:paraId="20B6107D">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14"/>
        <w:gridCol w:w="696"/>
        <w:gridCol w:w="614"/>
        <w:gridCol w:w="696"/>
        <w:gridCol w:w="620"/>
        <w:gridCol w:w="614"/>
        <w:gridCol w:w="620"/>
        <w:gridCol w:w="696"/>
        <w:gridCol w:w="776"/>
        <w:gridCol w:w="631"/>
        <w:gridCol w:w="631"/>
      </w:tblGrid>
      <w:tr w14:paraId="2732D2FD">
        <w:tblPrEx>
          <w:tblCellMar>
            <w:top w:w="0" w:type="dxa"/>
            <w:left w:w="108" w:type="dxa"/>
            <w:bottom w:w="0" w:type="dxa"/>
            <w:right w:w="108" w:type="dxa"/>
          </w:tblCellMar>
        </w:tblPrEx>
        <w:tc>
          <w:tcPr>
            <w:tcW w:w="8848" w:type="dxa"/>
            <w:gridSpan w:val="14"/>
            <w:vAlign w:val="center"/>
          </w:tcPr>
          <w:p w14:paraId="0C31F787">
            <w:pPr>
              <w:jc w:val="center"/>
            </w:pPr>
            <w:r>
              <w:rPr>
                <w:rFonts w:ascii="宋体" w:hAnsi="宋体" w:eastAsia="宋体"/>
                <w:sz w:val="24"/>
              </w:rPr>
              <w:t>项目支出绩效自评表</w:t>
            </w:r>
          </w:p>
        </w:tc>
      </w:tr>
      <w:tr w14:paraId="03F8CDB4">
        <w:tblPrEx>
          <w:tblCellMar>
            <w:top w:w="0" w:type="dxa"/>
            <w:left w:w="108" w:type="dxa"/>
            <w:bottom w:w="0" w:type="dxa"/>
            <w:right w:w="108" w:type="dxa"/>
          </w:tblCellMar>
        </w:tblPrEx>
        <w:tc>
          <w:tcPr>
            <w:tcW w:w="8848" w:type="dxa"/>
            <w:gridSpan w:val="14"/>
            <w:vAlign w:val="center"/>
          </w:tcPr>
          <w:p w14:paraId="6D4D8B53">
            <w:pPr>
              <w:jc w:val="center"/>
            </w:pPr>
            <w:r>
              <w:rPr>
                <w:rFonts w:ascii="宋体" w:hAnsi="宋体" w:eastAsia="宋体"/>
                <w:sz w:val="24"/>
              </w:rPr>
              <w:t>(2024年度)</w:t>
            </w:r>
          </w:p>
        </w:tc>
      </w:tr>
      <w:tr w14:paraId="3ECBE8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B4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7B5720">
            <w:pPr>
              <w:jc w:val="center"/>
            </w:pPr>
            <w:r>
              <w:rPr>
                <w:rFonts w:ascii="宋体" w:hAnsi="宋体" w:eastAsia="宋体"/>
                <w:sz w:val="16"/>
              </w:rPr>
              <w:t>1995年前退休（退职）人员生活补助资金</w:t>
            </w:r>
          </w:p>
        </w:tc>
      </w:tr>
      <w:tr w14:paraId="70C8D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F0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1CCF2">
            <w:pPr>
              <w:jc w:val="center"/>
            </w:pPr>
            <w:r>
              <w:rPr>
                <w:rFonts w:ascii="宋体" w:hAnsi="宋体" w:eastAsia="宋体"/>
                <w:sz w:val="16"/>
              </w:rPr>
              <w:t>托里县社会保险中心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83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EE2AA1">
            <w:pPr>
              <w:jc w:val="center"/>
            </w:pPr>
            <w:r>
              <w:rPr>
                <w:rFonts w:ascii="宋体" w:hAnsi="宋体" w:eastAsia="宋体"/>
                <w:sz w:val="16"/>
              </w:rPr>
              <w:t>托里县社会保险中心</w:t>
            </w:r>
          </w:p>
        </w:tc>
      </w:tr>
      <w:tr w14:paraId="07059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83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AF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68C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E0C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37A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42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02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98AA">
            <w:pPr>
              <w:jc w:val="center"/>
            </w:pPr>
            <w:r>
              <w:rPr>
                <w:rFonts w:ascii="宋体" w:hAnsi="宋体" w:eastAsia="宋体"/>
                <w:sz w:val="16"/>
              </w:rPr>
              <w:t>得分</w:t>
            </w:r>
          </w:p>
        </w:tc>
      </w:tr>
      <w:tr w14:paraId="041BA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C14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50D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503DE">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99A26">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73D11">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998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45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1980">
            <w:pPr>
              <w:jc w:val="center"/>
            </w:pPr>
            <w:r>
              <w:rPr>
                <w:rFonts w:ascii="宋体" w:hAnsi="宋体" w:eastAsia="宋体"/>
                <w:sz w:val="16"/>
              </w:rPr>
              <w:t>10.00</w:t>
            </w:r>
          </w:p>
        </w:tc>
      </w:tr>
      <w:tr w14:paraId="2BC9F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5BB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5C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925B">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7AE0">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CA00">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ED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0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E4A4">
            <w:pPr>
              <w:jc w:val="center"/>
            </w:pPr>
            <w:r>
              <w:rPr>
                <w:rFonts w:ascii="宋体" w:hAnsi="宋体" w:eastAsia="宋体"/>
                <w:sz w:val="16"/>
              </w:rPr>
              <w:t>—</w:t>
            </w:r>
          </w:p>
        </w:tc>
      </w:tr>
      <w:tr w14:paraId="7D10B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9C7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0CD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CFF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F5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CE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DFF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EF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91C6">
            <w:pPr>
              <w:jc w:val="center"/>
            </w:pPr>
            <w:r>
              <w:rPr>
                <w:rFonts w:ascii="宋体" w:hAnsi="宋体" w:eastAsia="宋体"/>
                <w:sz w:val="16"/>
              </w:rPr>
              <w:t>—</w:t>
            </w:r>
          </w:p>
        </w:tc>
      </w:tr>
      <w:tr w14:paraId="0CB6AA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AB3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7F7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C599BB">
            <w:pPr>
              <w:jc w:val="center"/>
            </w:pPr>
            <w:r>
              <w:rPr>
                <w:rFonts w:ascii="宋体" w:hAnsi="宋体" w:eastAsia="宋体"/>
                <w:sz w:val="16"/>
              </w:rPr>
              <w:t>实际完成情况</w:t>
            </w:r>
          </w:p>
        </w:tc>
      </w:tr>
      <w:tr w14:paraId="11B09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A0D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B6037">
            <w:pPr>
              <w:jc w:val="both"/>
            </w:pPr>
            <w:r>
              <w:rPr>
                <w:rFonts w:ascii="宋体" w:hAnsi="宋体" w:eastAsia="宋体"/>
                <w:sz w:val="16"/>
              </w:rPr>
              <w:t>1995年前退休（退职）人员生活补助资金预算的项目资金9.79万元，补助人数102人，补助月数为8个月，主要用于发放生活补贴，保障老年生活，实现“老有所养、老有所依”的愿景，生活补助直接关系离退休人员基本生活需求，促进社会稳定，提高退休人员生活水平，离退休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D715D7">
            <w:pPr>
              <w:jc w:val="both"/>
            </w:pPr>
            <w:r>
              <w:rPr>
                <w:rFonts w:ascii="宋体" w:hAnsi="宋体" w:eastAsia="宋体"/>
                <w:sz w:val="16"/>
              </w:rPr>
              <w:br w:type="textWrapping"/>
            </w:r>
            <w:r>
              <w:rPr>
                <w:rFonts w:ascii="宋体" w:hAnsi="宋体" w:eastAsia="宋体"/>
                <w:sz w:val="16"/>
              </w:rPr>
              <w:t>1995年前退休（退职）人员生活补助资金预算的项目资金9.79万元，补助人数89人，补助月数为12个月，主要用于发放生活补贴，保障老年生活，实现“老有所养、老有所依”的愿景，生活补助直接关系离退休人员基本生活需求，促进社会稳定，提高退休人员生活水平，离退休人员满意度达到95%。</w:t>
            </w:r>
          </w:p>
        </w:tc>
      </w:tr>
      <w:tr w14:paraId="019995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A3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D5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3F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4B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E28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16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EE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778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713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71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FD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6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4B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CAF6">
            <w:pPr>
              <w:jc w:val="center"/>
            </w:pPr>
            <w:r>
              <w:rPr>
                <w:rFonts w:ascii="宋体" w:hAnsi="宋体" w:eastAsia="宋体"/>
                <w:sz w:val="16"/>
              </w:rPr>
              <w:t>偏差原因分析及改进措施</w:t>
            </w:r>
          </w:p>
        </w:tc>
      </w:tr>
      <w:tr w14:paraId="5F5BC0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D29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AE2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B61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60A3">
            <w:pPr>
              <w:jc w:val="center"/>
            </w:pPr>
            <w:r>
              <w:rPr>
                <w:rFonts w:ascii="宋体" w:hAnsi="宋体" w:eastAsia="宋体"/>
                <w:sz w:val="16"/>
              </w:rPr>
              <w:t>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5D0C">
            <w:pPr>
              <w:jc w:val="center"/>
            </w:pPr>
            <w:r>
              <w:rPr>
                <w:rFonts w:ascii="宋体" w:hAnsi="宋体" w:eastAsia="宋体"/>
                <w:sz w:val="16"/>
              </w:rPr>
              <w:t>&gt;=102人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7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381E">
            <w:pPr>
              <w:jc w:val="center"/>
            </w:pPr>
            <w:r>
              <w:rPr>
                <w:rFonts w:ascii="宋体" w:hAnsi="宋体" w:eastAsia="宋体"/>
                <w:sz w:val="16"/>
              </w:rPr>
              <w:t>&gt;=95人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4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D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F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F083">
            <w:pPr>
              <w:jc w:val="center"/>
            </w:pPr>
            <w:r>
              <w:rPr>
                <w:rFonts w:ascii="宋体" w:hAnsi="宋体" w:eastAsia="宋体"/>
                <w:sz w:val="16"/>
              </w:rPr>
              <w:t>=89人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165C">
            <w:pPr>
              <w:jc w:val="center"/>
            </w:pPr>
            <w:r>
              <w:rPr>
                <w:rFonts w:ascii="宋体" w:hAnsi="宋体" w:eastAsia="宋体"/>
                <w:sz w:val="16"/>
              </w:rPr>
              <w:t>87.25%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8661">
            <w:pPr>
              <w:jc w:val="center"/>
            </w:pPr>
            <w:r>
              <w:rPr>
                <w:rFonts w:ascii="宋体" w:hAnsi="宋体" w:eastAsia="宋体"/>
                <w:sz w:val="16"/>
              </w:rPr>
              <w:t>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037F">
            <w:pPr>
              <w:jc w:val="center"/>
            </w:pPr>
            <w:r>
              <w:rPr>
                <w:rFonts w:ascii="宋体" w:hAnsi="宋体" w:eastAsia="宋体"/>
                <w:sz w:val="16"/>
              </w:rPr>
              <w:t>偏差原因：离休干部自然去世，因此给予生活补助人数减少。</w:t>
            </w:r>
          </w:p>
        </w:tc>
      </w:tr>
      <w:tr w14:paraId="656D2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37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6F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A0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AC89">
            <w:pPr>
              <w:jc w:val="center"/>
            </w:pPr>
            <w:r>
              <w:rPr>
                <w:rFonts w:ascii="宋体" w:hAnsi="宋体" w:eastAsia="宋体"/>
                <w:sz w:val="16"/>
              </w:rPr>
              <w:t>生活补贴补助月数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0A7E">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E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A57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7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7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8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0D39">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B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2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BBBF">
            <w:pPr>
              <w:jc w:val="center"/>
            </w:pPr>
          </w:p>
        </w:tc>
      </w:tr>
      <w:tr w14:paraId="21FD4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0B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29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7D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0B0C">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B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0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BB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23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1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8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F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9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D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DD53">
            <w:pPr>
              <w:jc w:val="center"/>
            </w:pPr>
          </w:p>
        </w:tc>
      </w:tr>
      <w:tr w14:paraId="5DAD2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6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2E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A0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A7DB">
            <w:pPr>
              <w:jc w:val="center"/>
            </w:pPr>
            <w:r>
              <w:rPr>
                <w:rFonts w:ascii="宋体" w:hAnsi="宋体" w:eastAsia="宋体"/>
                <w:sz w:val="16"/>
              </w:rPr>
              <w:t>生活补贴资金按时完成率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7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A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F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4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8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F0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A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D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B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725F">
            <w:pPr>
              <w:jc w:val="center"/>
            </w:pPr>
          </w:p>
        </w:tc>
      </w:tr>
      <w:tr w14:paraId="0FFEE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25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20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A5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46E9">
            <w:pPr>
              <w:jc w:val="center"/>
            </w:pPr>
            <w:r>
              <w:rPr>
                <w:rFonts w:ascii="宋体" w:hAnsi="宋体" w:eastAsia="宋体"/>
                <w:sz w:val="16"/>
              </w:rPr>
              <w:t>生活补贴补助资金人均补助标准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BDB2">
            <w:pPr>
              <w:jc w:val="center"/>
            </w:pPr>
            <w:r>
              <w:rPr>
                <w:rFonts w:ascii="宋体" w:hAnsi="宋体" w:eastAsia="宋体"/>
                <w:sz w:val="16"/>
              </w:rPr>
              <w:t>&lt;=120元/人·月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1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8DC6">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D9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7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93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484E">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A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66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01AF">
            <w:pPr>
              <w:jc w:val="center"/>
            </w:pPr>
          </w:p>
        </w:tc>
      </w:tr>
      <w:tr w14:paraId="6D7E1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CC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02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C3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0EC5">
            <w:pPr>
              <w:jc w:val="center"/>
            </w:pPr>
            <w:r>
              <w:rPr>
                <w:rFonts w:ascii="宋体" w:hAnsi="宋体" w:eastAsia="宋体"/>
                <w:sz w:val="16"/>
              </w:rPr>
              <w:t>提高退休人员生活水平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A4A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FC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E6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4D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4E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6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3A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C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D2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8B96">
            <w:pPr>
              <w:jc w:val="center"/>
            </w:pPr>
          </w:p>
        </w:tc>
      </w:tr>
      <w:tr w14:paraId="10E91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50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C4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07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670B">
            <w:pPr>
              <w:jc w:val="center"/>
            </w:pPr>
            <w:r>
              <w:rPr>
                <w:rFonts w:ascii="宋体" w:hAnsi="宋体" w:eastAsia="宋体"/>
                <w:sz w:val="16"/>
              </w:rPr>
              <w:t>离退休人员满意度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7D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D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63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2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89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06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5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97C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3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7D4F">
            <w:pPr>
              <w:jc w:val="center"/>
            </w:pPr>
            <w:r>
              <w:rPr>
                <w:rFonts w:ascii="宋体" w:hAnsi="宋体" w:eastAsia="宋体"/>
                <w:sz w:val="16"/>
              </w:rPr>
              <w:t>原因：年初设定的预期指标较低，实际完成的业绩值高，导致满意度有偏差。</w:t>
            </w:r>
          </w:p>
        </w:tc>
      </w:tr>
      <w:tr w14:paraId="3B59AC1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C3E7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6D5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D1A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60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5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314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7550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EB31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24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FB70">
            <w:pPr>
              <w:jc w:val="center"/>
            </w:pPr>
            <w:r>
              <w:rPr>
                <w:rFonts w:ascii="宋体" w:hAnsi="宋体" w:eastAsia="宋体"/>
                <w:sz w:val="16"/>
              </w:rPr>
              <w:t>98.72分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17D8B"/>
        </w:tc>
      </w:tr>
    </w:tbl>
    <w:p w14:paraId="06C1F842">
      <w:r>
        <w:br w:type="page"/>
      </w:r>
    </w:p>
    <w:p w14:paraId="6C693EA3">
      <w:pPr>
        <w:spacing w:line="640" w:lineRule="exact"/>
        <w:ind w:firstLine="640"/>
        <w:jc w:val="both"/>
        <w:outlineLvl w:val="2"/>
      </w:pPr>
      <w:r>
        <w:rPr>
          <w:rFonts w:ascii="黑体" w:hAnsi="黑体" w:eastAsia="黑体"/>
          <w:sz w:val="32"/>
        </w:rPr>
        <w:t>十二、其他需说明的事项</w:t>
      </w:r>
    </w:p>
    <w:p w14:paraId="5C0DC978">
      <w:pPr>
        <w:spacing w:line="580" w:lineRule="exact"/>
        <w:ind w:firstLine="640"/>
        <w:jc w:val="both"/>
      </w:pPr>
      <w:r>
        <w:rPr>
          <w:rFonts w:ascii="仿宋_GB2312" w:hAnsi="仿宋_GB2312" w:eastAsia="仿宋_GB2312"/>
          <w:b w:val="0"/>
          <w:sz w:val="32"/>
        </w:rPr>
        <w:t>本单位无其他需说明事项。</w:t>
      </w:r>
    </w:p>
    <w:p w14:paraId="0045593E">
      <w:r>
        <w:br w:type="page"/>
      </w:r>
    </w:p>
    <w:p w14:paraId="0E7633B8">
      <w:pPr>
        <w:spacing w:line="240" w:lineRule="auto"/>
        <w:jc w:val="center"/>
        <w:outlineLvl w:val="1"/>
      </w:pPr>
      <w:r>
        <w:rPr>
          <w:rFonts w:ascii="黑体" w:hAnsi="黑体" w:eastAsia="黑体"/>
          <w:sz w:val="32"/>
        </w:rPr>
        <w:t>第三部分 专业名词解释</w:t>
      </w:r>
    </w:p>
    <w:p w14:paraId="474982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F730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6B04A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2CDD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839E1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AA335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B469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08F2A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34053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D5B4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1334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B1CA8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4F4F3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049D9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A50103">
      <w:r>
        <w:br w:type="page"/>
      </w:r>
    </w:p>
    <w:p w14:paraId="487DC107">
      <w:pPr>
        <w:spacing w:line="240" w:lineRule="auto"/>
        <w:jc w:val="center"/>
        <w:outlineLvl w:val="1"/>
      </w:pPr>
      <w:r>
        <w:rPr>
          <w:rFonts w:ascii="黑体" w:hAnsi="黑体" w:eastAsia="黑体"/>
          <w:sz w:val="32"/>
        </w:rPr>
        <w:t>第四部分 部门决算报表（见附表）</w:t>
      </w:r>
    </w:p>
    <w:p w14:paraId="027DDEA1">
      <w:pPr>
        <w:spacing w:line="240" w:lineRule="auto"/>
        <w:ind w:firstLine="640"/>
        <w:jc w:val="both"/>
      </w:pPr>
      <w:r>
        <w:rPr>
          <w:rFonts w:ascii="仿宋_GB2312" w:hAnsi="仿宋_GB2312" w:eastAsia="仿宋_GB2312"/>
          <w:b w:val="0"/>
          <w:sz w:val="32"/>
        </w:rPr>
        <w:t>一、《收入支出决算总表》</w:t>
      </w:r>
    </w:p>
    <w:p w14:paraId="7124AE8B">
      <w:pPr>
        <w:spacing w:line="240" w:lineRule="auto"/>
        <w:ind w:firstLine="640"/>
        <w:jc w:val="both"/>
      </w:pPr>
      <w:r>
        <w:rPr>
          <w:rFonts w:ascii="仿宋_GB2312" w:hAnsi="仿宋_GB2312" w:eastAsia="仿宋_GB2312"/>
          <w:b w:val="0"/>
          <w:sz w:val="32"/>
        </w:rPr>
        <w:t>二、《收入决算表》</w:t>
      </w:r>
    </w:p>
    <w:p w14:paraId="1C5B09B6">
      <w:pPr>
        <w:spacing w:line="240" w:lineRule="auto"/>
        <w:ind w:firstLine="640"/>
        <w:jc w:val="both"/>
      </w:pPr>
      <w:r>
        <w:rPr>
          <w:rFonts w:ascii="仿宋_GB2312" w:hAnsi="仿宋_GB2312" w:eastAsia="仿宋_GB2312"/>
          <w:b w:val="0"/>
          <w:sz w:val="32"/>
        </w:rPr>
        <w:t>三、《支出决算表》</w:t>
      </w:r>
    </w:p>
    <w:p w14:paraId="605CE1B1">
      <w:pPr>
        <w:spacing w:line="240" w:lineRule="auto"/>
        <w:ind w:firstLine="640"/>
        <w:jc w:val="both"/>
      </w:pPr>
      <w:r>
        <w:rPr>
          <w:rFonts w:ascii="仿宋_GB2312" w:hAnsi="仿宋_GB2312" w:eastAsia="仿宋_GB2312"/>
          <w:b w:val="0"/>
          <w:sz w:val="32"/>
        </w:rPr>
        <w:t>四、《财政拨款收入支出决算总表》</w:t>
      </w:r>
    </w:p>
    <w:p w14:paraId="63DA74CE">
      <w:pPr>
        <w:spacing w:line="240" w:lineRule="auto"/>
        <w:ind w:firstLine="640"/>
        <w:jc w:val="both"/>
      </w:pPr>
      <w:r>
        <w:rPr>
          <w:rFonts w:ascii="仿宋_GB2312" w:hAnsi="仿宋_GB2312" w:eastAsia="仿宋_GB2312"/>
          <w:b w:val="0"/>
          <w:sz w:val="32"/>
        </w:rPr>
        <w:t>五、《一般公共预算财政拨款支出决算表》</w:t>
      </w:r>
    </w:p>
    <w:p w14:paraId="75BF500C">
      <w:pPr>
        <w:spacing w:line="240" w:lineRule="auto"/>
        <w:ind w:firstLine="640"/>
        <w:jc w:val="both"/>
      </w:pPr>
      <w:r>
        <w:rPr>
          <w:rFonts w:ascii="仿宋_GB2312" w:hAnsi="仿宋_GB2312" w:eastAsia="仿宋_GB2312"/>
          <w:b w:val="0"/>
          <w:sz w:val="32"/>
        </w:rPr>
        <w:t>六、《一般公共预算财政拨款基本支出决算表》</w:t>
      </w:r>
    </w:p>
    <w:p w14:paraId="12448DBF">
      <w:pPr>
        <w:spacing w:line="240" w:lineRule="auto"/>
        <w:ind w:firstLine="640"/>
        <w:jc w:val="both"/>
      </w:pPr>
      <w:r>
        <w:rPr>
          <w:rFonts w:ascii="仿宋_GB2312" w:hAnsi="仿宋_GB2312" w:eastAsia="仿宋_GB2312"/>
          <w:b w:val="0"/>
          <w:sz w:val="32"/>
        </w:rPr>
        <w:t>七、《政府性基金预算财政拨款收入支出决算表》</w:t>
      </w:r>
    </w:p>
    <w:p w14:paraId="2FABEF54">
      <w:pPr>
        <w:spacing w:line="240" w:lineRule="auto"/>
        <w:ind w:firstLine="640"/>
        <w:jc w:val="both"/>
      </w:pPr>
      <w:r>
        <w:rPr>
          <w:rFonts w:ascii="仿宋_GB2312" w:hAnsi="仿宋_GB2312" w:eastAsia="仿宋_GB2312"/>
          <w:b w:val="0"/>
          <w:sz w:val="32"/>
        </w:rPr>
        <w:t>八、《国有资本经营预算财政拨款收入支出决算表》</w:t>
      </w:r>
    </w:p>
    <w:p w14:paraId="50FE8C61">
      <w:pPr>
        <w:spacing w:line="240" w:lineRule="auto"/>
        <w:ind w:firstLine="640"/>
        <w:jc w:val="both"/>
      </w:pPr>
      <w:r>
        <w:rPr>
          <w:rFonts w:ascii="仿宋_GB2312" w:hAnsi="仿宋_GB2312" w:eastAsia="仿宋_GB2312"/>
          <w:b w:val="0"/>
          <w:sz w:val="32"/>
        </w:rPr>
        <w:t>九、《财政拨款“三公”经费支出决算表》</w:t>
      </w:r>
    </w:p>
    <w:p w14:paraId="6C7AD248">
      <w:pPr>
        <w:spacing w:line="240" w:lineRule="auto"/>
        <w:ind w:firstLine="640"/>
        <w:jc w:val="both"/>
      </w:pPr>
    </w:p>
    <w:p w14:paraId="78CBA617">
      <w:pPr>
        <w:spacing w:line="240" w:lineRule="auto"/>
        <w:ind w:firstLine="640"/>
        <w:jc w:val="both"/>
      </w:pPr>
    </w:p>
    <w:p w14:paraId="7461D496">
      <w:pPr>
        <w:spacing w:line="240" w:lineRule="auto"/>
        <w:ind w:firstLine="640"/>
        <w:jc w:val="both"/>
      </w:pPr>
    </w:p>
    <w:p w14:paraId="157C9E62">
      <w:pPr>
        <w:spacing w:line="240" w:lineRule="auto"/>
        <w:ind w:firstLine="640"/>
        <w:jc w:val="both"/>
      </w:pPr>
    </w:p>
    <w:p w14:paraId="4A26008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FB875D-D74B-4D42-960D-E4E16BFE42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E473859-D456-47AE-AA25-32E732F92648}"/>
  </w:font>
  <w:font w:name="仿宋_GB2312">
    <w:panose1 w:val="02010609030101010101"/>
    <w:charset w:val="86"/>
    <w:family w:val="modern"/>
    <w:pitch w:val="default"/>
    <w:sig w:usb0="00000001" w:usb1="080E0000" w:usb2="00000000" w:usb3="00000000" w:csb0="00040000" w:csb1="00000000"/>
    <w:embedRegular r:id="rId3" w:fontKey="{AB68E828-4C36-44BD-944B-2E5D43E33C74}"/>
  </w:font>
  <w:font w:name="楷体_GB2312">
    <w:panose1 w:val="02010609030101010101"/>
    <w:charset w:val="86"/>
    <w:family w:val="auto"/>
    <w:pitch w:val="default"/>
    <w:sig w:usb0="00000001" w:usb1="080E0000" w:usb2="00000000" w:usb3="00000000" w:csb0="00040000" w:csb1="00000000"/>
    <w:embedRegular r:id="rId4" w:fontKey="{19D1FF1D-C15B-4A34-80C1-12B5B19D834D}"/>
  </w:font>
  <w:font w:name="WPSEMBED9">
    <w:panose1 w:val="02010609030101010101"/>
    <w:charset w:val="86"/>
    <w:family w:val="auto"/>
    <w:pitch w:val="default"/>
    <w:sig w:usb0="00000001" w:usb1="080E0000" w:usb2="00000000" w:usb3="00000000" w:csb0="00040000" w:csb1="00000000"/>
  </w:font>
  <w:font w:name="WPSEMBED1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4F0BFF"/>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5316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5007</Words>
  <Characters>5671</Characters>
  <Lines>0</Lines>
  <Paragraphs>0</Paragraphs>
  <TotalTime>7</TotalTime>
  <ScaleCrop>false</ScaleCrop>
  <LinksUpToDate>false</LinksUpToDate>
  <CharactersWithSpaces>5679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