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托里县疾病预防控制中心2024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C882B68">
      <w:r>
        <w:br w:type="page"/>
      </w:r>
    </w:p>
    <w:p w14:paraId="528101AA">
      <w:pPr>
        <w:spacing w:line="640" w:lineRule="exact"/>
        <w:jc w:val="center"/>
        <w:outlineLvl w:val="1"/>
      </w:pPr>
      <w:r>
        <w:rPr>
          <w:rFonts w:ascii="黑体" w:hAnsi="黑体" w:eastAsia="黑体"/>
          <w:sz w:val="32"/>
        </w:rPr>
        <w:t>第一部分 单位概况</w:t>
      </w:r>
    </w:p>
    <w:p w14:paraId="1B4532E6">
      <w:pPr>
        <w:spacing w:line="640" w:lineRule="exact"/>
        <w:ind w:firstLine="640"/>
        <w:jc w:val="both"/>
        <w:outlineLvl w:val="2"/>
      </w:pPr>
      <w:r>
        <w:rPr>
          <w:rFonts w:ascii="黑体" w:hAnsi="黑体" w:eastAsia="黑体"/>
          <w:sz w:val="32"/>
        </w:rPr>
        <w:t>一、主要职能</w:t>
      </w:r>
    </w:p>
    <w:p w14:paraId="603CA280">
      <w:pPr>
        <w:spacing w:line="580" w:lineRule="exact"/>
        <w:ind w:firstLine="640"/>
        <w:jc w:val="both"/>
      </w:pPr>
      <w:r>
        <w:rPr>
          <w:rFonts w:ascii="仿宋_GB2312" w:hAnsi="仿宋_GB2312" w:eastAsia="仿宋_GB2312"/>
          <w:sz w:val="32"/>
        </w:rPr>
        <w:t>（1）完成上级下达的疾病预防控制任务，负责辖区内疾病预防控制具体工作的管理和落实；负责辖区内疫苗使用管理，组织实施免疫、消毒、控制病媒生物的危害。</w:t>
      </w:r>
    </w:p>
    <w:p w14:paraId="766A283F">
      <w:pPr>
        <w:spacing w:line="580" w:lineRule="exact"/>
        <w:ind w:firstLine="640"/>
        <w:jc w:val="both"/>
      </w:pPr>
      <w:r>
        <w:rPr>
          <w:rFonts w:ascii="仿宋_GB2312" w:hAnsi="仿宋_GB2312" w:eastAsia="仿宋_GB2312"/>
          <w:sz w:val="32"/>
        </w:rPr>
        <w:t>（2）负责辖区突发公共卫生事件的监测调查与信息收集、报告，落实具体控制措施。</w:t>
      </w:r>
    </w:p>
    <w:p w14:paraId="1A119098">
      <w:pPr>
        <w:spacing w:line="580" w:lineRule="exact"/>
        <w:ind w:firstLine="640"/>
        <w:jc w:val="both"/>
      </w:pPr>
      <w:r>
        <w:rPr>
          <w:rFonts w:ascii="仿宋_GB2312" w:hAnsi="仿宋_GB2312" w:eastAsia="仿宋_GB2312"/>
          <w:sz w:val="32"/>
        </w:rPr>
        <w:t>（3)开展病原微生物常规检验和常见污染物的检验。</w:t>
      </w:r>
    </w:p>
    <w:p w14:paraId="553B83D6">
      <w:pPr>
        <w:spacing w:line="580" w:lineRule="exact"/>
        <w:ind w:firstLine="640"/>
        <w:jc w:val="both"/>
      </w:pPr>
      <w:r>
        <w:rPr>
          <w:rFonts w:ascii="仿宋_GB2312" w:hAnsi="仿宋_GB2312" w:eastAsia="仿宋_GB2312"/>
          <w:sz w:val="32"/>
        </w:rPr>
        <w:t>（4）承担卫生行政部门委托的与卫生监督执法相关的检验检测任务。</w:t>
      </w:r>
    </w:p>
    <w:p w14:paraId="1A5421D1">
      <w:pPr>
        <w:spacing w:line="580" w:lineRule="exact"/>
        <w:ind w:firstLine="640"/>
        <w:jc w:val="both"/>
      </w:pPr>
      <w:r>
        <w:rPr>
          <w:rFonts w:ascii="仿宋_GB2312" w:hAnsi="仿宋_GB2312" w:eastAsia="仿宋_GB2312"/>
          <w:sz w:val="32"/>
        </w:rPr>
        <w:t>（5）指导辖区内医疗卫生机构、城市社区卫生组织和农村乡(镇）卫生院开展卫生防病工作，负责考核和评价，对从事疾病预防控制相关工作的人员进行培训。</w:t>
      </w:r>
    </w:p>
    <w:p w14:paraId="463D625E">
      <w:pPr>
        <w:spacing w:line="580" w:lineRule="exact"/>
        <w:ind w:firstLine="640"/>
        <w:jc w:val="both"/>
      </w:pPr>
      <w:r>
        <w:rPr>
          <w:rFonts w:ascii="仿宋_GB2312" w:hAnsi="仿宋_GB2312" w:eastAsia="仿宋_GB2312"/>
          <w:sz w:val="32"/>
        </w:rPr>
        <w:t>（6）负责</w:t>
      </w:r>
      <w:r>
        <w:rPr>
          <w:rFonts w:hint="eastAsia" w:ascii="仿宋_GB2312" w:hAnsi="仿宋_GB2312" w:eastAsia="仿宋_GB2312"/>
          <w:sz w:val="32"/>
          <w:lang w:eastAsia="zh-CN"/>
        </w:rPr>
        <w:t>防疫</w:t>
      </w:r>
      <w:r>
        <w:rPr>
          <w:rFonts w:ascii="仿宋_GB2312" w:hAnsi="仿宋_GB2312" w:eastAsia="仿宋_GB2312"/>
          <w:sz w:val="32"/>
        </w:rPr>
        <w:t>和公共卫生健康危害因素监测、报告，指导乡、村和有关部门收集、报告</w:t>
      </w:r>
      <w:r>
        <w:rPr>
          <w:rFonts w:hint="eastAsia" w:ascii="仿宋_GB2312" w:hAnsi="仿宋_GB2312" w:eastAsia="仿宋_GB2312"/>
          <w:sz w:val="32"/>
          <w:lang w:eastAsia="zh-CN"/>
        </w:rPr>
        <w:t>防疫</w:t>
      </w:r>
      <w:r>
        <w:rPr>
          <w:rFonts w:ascii="仿宋_GB2312" w:hAnsi="仿宋_GB2312" w:eastAsia="仿宋_GB2312"/>
          <w:sz w:val="32"/>
        </w:rPr>
        <w:t>。</w:t>
      </w:r>
    </w:p>
    <w:p w14:paraId="228691A0">
      <w:pPr>
        <w:spacing w:line="580" w:lineRule="exact"/>
        <w:ind w:firstLine="640"/>
        <w:jc w:val="both"/>
        <w:rPr>
          <w:spacing w:val="-6"/>
          <w:sz w:val="32"/>
        </w:rPr>
      </w:pPr>
      <w:r>
        <w:rPr>
          <w:rFonts w:ascii="仿宋_GB2312" w:hAnsi="仿宋_GB2312" w:eastAsia="仿宋_GB2312"/>
          <w:spacing w:val="-6"/>
          <w:sz w:val="32"/>
        </w:rPr>
        <w:t>（7）开展卫生宣传教育与健康促进活动，普及卫生防病知识。</w:t>
      </w:r>
    </w:p>
    <w:p w14:paraId="67677685">
      <w:pPr>
        <w:spacing w:line="640" w:lineRule="exact"/>
        <w:ind w:firstLine="640"/>
        <w:jc w:val="both"/>
        <w:outlineLvl w:val="2"/>
      </w:pPr>
      <w:r>
        <w:rPr>
          <w:rFonts w:ascii="黑体" w:hAnsi="黑体" w:eastAsia="黑体"/>
          <w:sz w:val="32"/>
        </w:rPr>
        <w:t>二、机构设置及人员情况</w:t>
      </w:r>
    </w:p>
    <w:p w14:paraId="10CB3473">
      <w:pPr>
        <w:spacing w:line="580" w:lineRule="exact"/>
        <w:ind w:firstLine="640"/>
        <w:jc w:val="both"/>
      </w:pPr>
      <w:r>
        <w:rPr>
          <w:rFonts w:ascii="仿宋_GB2312" w:hAnsi="仿宋_GB2312" w:eastAsia="仿宋_GB2312"/>
          <w:sz w:val="32"/>
        </w:rPr>
        <w:t>托里县疾病预防控制中心2024年度，实有人数72人，其中：在职人员34人，增加4人；离休人员0人，增加0人；退休人员38人,增加9人。</w:t>
      </w:r>
    </w:p>
    <w:p w14:paraId="34C32A9A">
      <w:pPr>
        <w:spacing w:line="580" w:lineRule="exact"/>
        <w:ind w:firstLine="640"/>
        <w:jc w:val="both"/>
      </w:pPr>
      <w:r>
        <w:rPr>
          <w:rFonts w:ascii="仿宋_GB2312" w:hAnsi="仿宋_GB2312" w:eastAsia="仿宋_GB2312"/>
          <w:sz w:val="32"/>
        </w:rPr>
        <w:t>托里县疾病预防控制中心无下属预算单位，下设9个科室，分别是：卫生监督所科、办公室、财务室、接访科、检验科、免疫规划科、传染科、艾滋病科、地方病科。</w:t>
      </w:r>
    </w:p>
    <w:p w14:paraId="0DEEA8C1">
      <w:r>
        <w:br w:type="page"/>
      </w:r>
    </w:p>
    <w:p w14:paraId="15E23C9B">
      <w:pPr>
        <w:spacing w:line="240" w:lineRule="auto"/>
        <w:jc w:val="center"/>
        <w:outlineLvl w:val="1"/>
      </w:pPr>
      <w:r>
        <w:rPr>
          <w:rFonts w:ascii="黑体" w:hAnsi="黑体" w:eastAsia="黑体"/>
          <w:sz w:val="32"/>
        </w:rPr>
        <w:t>第二部分 部门决算情况说明</w:t>
      </w:r>
    </w:p>
    <w:p w14:paraId="591A4603">
      <w:pPr>
        <w:spacing w:line="640" w:lineRule="exact"/>
        <w:ind w:firstLine="640"/>
        <w:jc w:val="both"/>
        <w:outlineLvl w:val="2"/>
      </w:pPr>
      <w:r>
        <w:rPr>
          <w:rFonts w:ascii="黑体" w:hAnsi="黑体" w:eastAsia="黑体"/>
          <w:sz w:val="32"/>
        </w:rPr>
        <w:t>一、收入支出决算总体情况说明</w:t>
      </w:r>
    </w:p>
    <w:p w14:paraId="7F8A29ED">
      <w:pPr>
        <w:spacing w:line="580" w:lineRule="exact"/>
        <w:ind w:firstLine="640"/>
        <w:jc w:val="both"/>
      </w:pPr>
      <w:r>
        <w:rPr>
          <w:rFonts w:ascii="仿宋_GB2312" w:hAnsi="仿宋_GB2312" w:eastAsia="仿宋_GB2312"/>
          <w:b/>
          <w:sz w:val="32"/>
        </w:rPr>
        <w:t>2024年度收入总计1,087.83万元，</w:t>
      </w:r>
      <w:r>
        <w:rPr>
          <w:rFonts w:ascii="仿宋_GB2312" w:hAnsi="仿宋_GB2312" w:eastAsia="仿宋_GB2312"/>
          <w:b w:val="0"/>
          <w:sz w:val="32"/>
        </w:rPr>
        <w:t>其中：本年收入合计1,087.71万元，使用非财政拨款结余（含专用结余）0.00万元，年初结转和结余0.12万元。</w:t>
      </w:r>
    </w:p>
    <w:p w14:paraId="139351B7">
      <w:pPr>
        <w:spacing w:line="580" w:lineRule="exact"/>
        <w:ind w:firstLine="640"/>
        <w:jc w:val="both"/>
        <w:rPr>
          <w:spacing w:val="-6"/>
          <w:sz w:val="32"/>
        </w:rPr>
      </w:pPr>
      <w:r>
        <w:rPr>
          <w:rFonts w:ascii="仿宋_GB2312" w:hAnsi="仿宋_GB2312" w:eastAsia="仿宋_GB2312"/>
          <w:b/>
          <w:spacing w:val="-6"/>
          <w:sz w:val="32"/>
        </w:rPr>
        <w:t>2024年度支出总计1,087.83万元，</w:t>
      </w:r>
      <w:r>
        <w:rPr>
          <w:rFonts w:ascii="仿宋_GB2312" w:hAnsi="仿宋_GB2312" w:eastAsia="仿宋_GB2312"/>
          <w:b w:val="0"/>
          <w:spacing w:val="-6"/>
          <w:sz w:val="32"/>
        </w:rPr>
        <w:t>其中：本年支出合计1,087.71万元，结余分配0.00万元，年末结转和结余0.12万元。</w:t>
      </w:r>
    </w:p>
    <w:p w14:paraId="7D7EF170">
      <w:pPr>
        <w:spacing w:line="580" w:lineRule="exact"/>
        <w:ind w:firstLine="640"/>
        <w:jc w:val="both"/>
      </w:pPr>
      <w:r>
        <w:rPr>
          <w:rFonts w:ascii="仿宋_GB2312" w:hAnsi="仿宋_GB2312" w:eastAsia="仿宋_GB2312"/>
          <w:b w:val="0"/>
          <w:sz w:val="32"/>
        </w:rPr>
        <w:t>收入支出总体与上年相比，减少406.79万元，下降27.22%，主要原因是：本年减少中央基本公共卫生项目资金地方病、托里县中央防疫防控能力补助资金等，导致经费较上年减少。</w:t>
      </w:r>
    </w:p>
    <w:p w14:paraId="05D2F7A6">
      <w:pPr>
        <w:spacing w:line="640" w:lineRule="exact"/>
        <w:ind w:firstLine="640"/>
        <w:jc w:val="both"/>
        <w:outlineLvl w:val="2"/>
      </w:pPr>
      <w:r>
        <w:rPr>
          <w:rFonts w:ascii="黑体" w:hAnsi="黑体" w:eastAsia="黑体"/>
          <w:sz w:val="32"/>
        </w:rPr>
        <w:t>二、收入决算情况说明</w:t>
      </w:r>
    </w:p>
    <w:p w14:paraId="666AC770">
      <w:pPr>
        <w:spacing w:line="580" w:lineRule="exact"/>
        <w:ind w:firstLine="640"/>
        <w:jc w:val="both"/>
      </w:pPr>
      <w:r>
        <w:rPr>
          <w:rFonts w:ascii="仿宋_GB2312" w:hAnsi="仿宋_GB2312" w:eastAsia="仿宋_GB2312"/>
          <w:b/>
          <w:sz w:val="32"/>
        </w:rPr>
        <w:t>本年收入1,087.71万元，</w:t>
      </w:r>
      <w:r>
        <w:rPr>
          <w:rFonts w:ascii="仿宋_GB2312" w:hAnsi="仿宋_GB2312" w:eastAsia="仿宋_GB2312"/>
          <w:b w:val="0"/>
          <w:sz w:val="32"/>
        </w:rPr>
        <w:t>其中：财政拨款收入958.64万元，占88.13%；上级补助收入0.00万元，占0.00%；事业收入0.00万元，占0.00%；经营收入0.00万元，占0.00%；附属单位上缴收入0.00万元，占0.00%；其他收入129.07万元，占11.87%。</w:t>
      </w:r>
    </w:p>
    <w:p w14:paraId="7326214F">
      <w:pPr>
        <w:spacing w:line="640" w:lineRule="exact"/>
        <w:ind w:firstLine="640"/>
        <w:jc w:val="both"/>
        <w:outlineLvl w:val="2"/>
      </w:pPr>
      <w:r>
        <w:rPr>
          <w:rFonts w:ascii="黑体" w:hAnsi="黑体" w:eastAsia="黑体"/>
          <w:sz w:val="32"/>
        </w:rPr>
        <w:t>三、支出决算情况说明</w:t>
      </w:r>
    </w:p>
    <w:p w14:paraId="4D717422">
      <w:pPr>
        <w:spacing w:line="580" w:lineRule="exact"/>
        <w:ind w:firstLine="640"/>
        <w:jc w:val="both"/>
      </w:pPr>
      <w:r>
        <w:rPr>
          <w:rFonts w:ascii="仿宋_GB2312" w:hAnsi="仿宋_GB2312" w:eastAsia="仿宋_GB2312"/>
          <w:b/>
          <w:sz w:val="32"/>
        </w:rPr>
        <w:t>本年支出1,087.71万元，</w:t>
      </w:r>
      <w:r>
        <w:rPr>
          <w:rFonts w:ascii="仿宋_GB2312" w:hAnsi="仿宋_GB2312" w:eastAsia="仿宋_GB2312"/>
          <w:b w:val="0"/>
          <w:sz w:val="32"/>
        </w:rPr>
        <w:t>其中：基本支出780.02万元，占71.71%；项目支出307.70万元，占28.29%；上缴上级支出0.00万元，占0.00%；经营支出0.00万元，占0.00%；对附属单位补助支出0.00万元，占0.00%。</w:t>
      </w:r>
    </w:p>
    <w:p w14:paraId="6EC39080">
      <w:pPr>
        <w:spacing w:line="640" w:lineRule="exact"/>
        <w:ind w:firstLine="640"/>
        <w:jc w:val="both"/>
        <w:outlineLvl w:val="2"/>
      </w:pPr>
      <w:r>
        <w:rPr>
          <w:rFonts w:ascii="黑体" w:hAnsi="黑体" w:eastAsia="黑体"/>
          <w:sz w:val="32"/>
        </w:rPr>
        <w:t>四、财政拨款收入支出决算总体情况说明</w:t>
      </w:r>
    </w:p>
    <w:p w14:paraId="349204F8">
      <w:pPr>
        <w:spacing w:line="580" w:lineRule="exact"/>
        <w:ind w:firstLine="640"/>
        <w:jc w:val="both"/>
      </w:pPr>
      <w:r>
        <w:rPr>
          <w:rFonts w:ascii="仿宋_GB2312" w:hAnsi="仿宋_GB2312" w:eastAsia="仿宋_GB2312"/>
          <w:b/>
          <w:sz w:val="32"/>
        </w:rPr>
        <w:t>2024年度财政拨款收入总计958.64万元，</w:t>
      </w:r>
      <w:r>
        <w:rPr>
          <w:rFonts w:ascii="仿宋_GB2312" w:hAnsi="仿宋_GB2312" w:eastAsia="仿宋_GB2312"/>
          <w:b w:val="0"/>
          <w:sz w:val="32"/>
        </w:rPr>
        <w:t>其中：年初财政拨款结转和结余0.00万元，本年财政拨款收入958.64万元。</w:t>
      </w:r>
      <w:r>
        <w:rPr>
          <w:rFonts w:ascii="仿宋_GB2312" w:hAnsi="仿宋_GB2312" w:eastAsia="仿宋_GB2312"/>
          <w:b/>
          <w:sz w:val="32"/>
        </w:rPr>
        <w:t>财政拨款支出总计958.64万元，</w:t>
      </w:r>
      <w:r>
        <w:rPr>
          <w:rFonts w:ascii="仿宋_GB2312" w:hAnsi="仿宋_GB2312" w:eastAsia="仿宋_GB2312"/>
          <w:b w:val="0"/>
          <w:sz w:val="32"/>
        </w:rPr>
        <w:t>其中：年末财政拨款结转和结余0.00万元，本年财政拨款支出958.64万元。</w:t>
      </w:r>
    </w:p>
    <w:p w14:paraId="55A7962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减少535.86万元，下降35.86%，主要原因是：本年减少中央基本公共卫生项目资金地方病、托里县中央防疫防控能力补助资金等，导致经费较上年减少。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年初预算数937.87万元，决算数958.64万元，预决算差异率2.21%，主要原因是：本年在职人员增加，年中追加人员经费及人员工资、社保、公积金基数调增部分资金，导致预决算存在差异。</w:t>
      </w:r>
    </w:p>
    <w:p w14:paraId="3DEA7991">
      <w:pPr>
        <w:spacing w:line="640" w:lineRule="exact"/>
        <w:ind w:firstLine="640"/>
        <w:jc w:val="both"/>
        <w:outlineLvl w:val="2"/>
      </w:pPr>
      <w:r>
        <w:rPr>
          <w:rFonts w:ascii="黑体" w:hAnsi="黑体" w:eastAsia="黑体"/>
          <w:sz w:val="32"/>
        </w:rPr>
        <w:t>五、一般公共预算财政拨款支出决算情况说明</w:t>
      </w:r>
    </w:p>
    <w:p w14:paraId="34A1D2A2">
      <w:pPr>
        <w:spacing w:line="640" w:lineRule="exact"/>
        <w:ind w:firstLine="640"/>
        <w:jc w:val="both"/>
        <w:outlineLvl w:val="3"/>
      </w:pPr>
      <w:r>
        <w:rPr>
          <w:rFonts w:ascii="楷体_GB2312" w:hAnsi="楷体_GB2312" w:eastAsia="楷体_GB2312"/>
          <w:b/>
          <w:sz w:val="32"/>
        </w:rPr>
        <w:t>（一）一般公共预算财政拨款支出决算总体情况</w:t>
      </w:r>
    </w:p>
    <w:p w14:paraId="3E8E05AF">
      <w:pPr>
        <w:spacing w:line="580" w:lineRule="exact"/>
        <w:ind w:firstLine="640"/>
        <w:jc w:val="both"/>
      </w:pPr>
      <w:r>
        <w:rPr>
          <w:rFonts w:ascii="仿宋_GB2312" w:hAnsi="仿宋_GB2312" w:eastAsia="仿宋_GB2312"/>
          <w:b/>
          <w:sz w:val="32"/>
        </w:rPr>
        <w:t>2024年度一般公共预算财政拨款支出936.56万元，</w:t>
      </w:r>
      <w:r>
        <w:rPr>
          <w:rFonts w:ascii="仿宋_GB2312" w:hAnsi="仿宋_GB2312" w:eastAsia="仿宋_GB2312"/>
          <w:b w:val="0"/>
          <w:sz w:val="32"/>
        </w:rPr>
        <w:t>占本年支出合计的86.10%。</w:t>
      </w:r>
      <w:r>
        <w:rPr>
          <w:rFonts w:ascii="仿宋_GB2312" w:hAnsi="仿宋_GB2312" w:eastAsia="仿宋_GB2312"/>
          <w:b/>
          <w:sz w:val="32"/>
        </w:rPr>
        <w:t>与上年相比，</w:t>
      </w:r>
      <w:r>
        <w:rPr>
          <w:rFonts w:ascii="仿宋_GB2312" w:hAnsi="仿宋_GB2312" w:eastAsia="仿宋_GB2312"/>
          <w:b w:val="0"/>
          <w:sz w:val="32"/>
        </w:rPr>
        <w:t>减少557.94万元，下降37.33%，主要原因是：本年减少中央基本公共卫生项目资金地方病、托里县中央防疫防控能力补助资金等，导致经费较上年减少。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年初预算数915.27万元，决算数936.56万元，预决算差异率2.33%，主要原因是：本年在职人员增加，年中追加人员经费及人员工资、社保、公积金基数调增部分资金，导致预决算存在差异。</w:t>
      </w:r>
    </w:p>
    <w:p w14:paraId="089A32F1">
      <w:pPr>
        <w:spacing w:line="640" w:lineRule="exact"/>
        <w:ind w:firstLine="640"/>
        <w:jc w:val="both"/>
        <w:outlineLvl w:val="3"/>
      </w:pPr>
      <w:r>
        <w:rPr>
          <w:rFonts w:ascii="楷体_GB2312" w:hAnsi="楷体_GB2312" w:eastAsia="楷体_GB2312"/>
          <w:b/>
          <w:sz w:val="32"/>
        </w:rPr>
        <w:t>（二）一般公共预算财政拨款支出决算结构情况</w:t>
      </w:r>
    </w:p>
    <w:p w14:paraId="67F56403">
      <w:pPr>
        <w:spacing w:line="580" w:lineRule="exact"/>
        <w:ind w:firstLine="640"/>
        <w:jc w:val="both"/>
      </w:pPr>
      <w:r>
        <w:rPr>
          <w:rFonts w:ascii="仿宋_GB2312" w:hAnsi="仿宋_GB2312" w:eastAsia="仿宋_GB2312"/>
          <w:b w:val="0"/>
          <w:sz w:val="32"/>
        </w:rPr>
        <w:t>1.社会保障和就业支出(类)103.14万元,占11.01%。</w:t>
      </w:r>
    </w:p>
    <w:p w14:paraId="035C5893">
      <w:pPr>
        <w:spacing w:line="580" w:lineRule="exact"/>
        <w:ind w:firstLine="640"/>
        <w:jc w:val="both"/>
      </w:pPr>
      <w:r>
        <w:rPr>
          <w:rFonts w:ascii="仿宋_GB2312" w:hAnsi="仿宋_GB2312" w:eastAsia="仿宋_GB2312"/>
          <w:b w:val="0"/>
          <w:sz w:val="32"/>
        </w:rPr>
        <w:t>2.卫生健康支出(类)781.37万元,占83.43%。</w:t>
      </w:r>
    </w:p>
    <w:p w14:paraId="0397984E">
      <w:pPr>
        <w:spacing w:line="580" w:lineRule="exact"/>
        <w:ind w:firstLine="640"/>
        <w:jc w:val="both"/>
      </w:pPr>
      <w:r>
        <w:rPr>
          <w:rFonts w:ascii="仿宋_GB2312" w:hAnsi="仿宋_GB2312" w:eastAsia="仿宋_GB2312"/>
          <w:b w:val="0"/>
          <w:sz w:val="32"/>
        </w:rPr>
        <w:t>3.住房保障支出(类)52.05万元,占5.56%。</w:t>
      </w:r>
    </w:p>
    <w:p w14:paraId="170A95A7">
      <w:pPr>
        <w:spacing w:line="640" w:lineRule="exact"/>
        <w:ind w:firstLine="640"/>
        <w:jc w:val="both"/>
        <w:outlineLvl w:val="3"/>
      </w:pPr>
      <w:r>
        <w:rPr>
          <w:rFonts w:ascii="楷体_GB2312" w:hAnsi="楷体_GB2312" w:eastAsia="楷体_GB2312"/>
          <w:b/>
          <w:sz w:val="32"/>
        </w:rPr>
        <w:t>（三）一般公共预算财政拨款支出决算具体情况</w:t>
      </w:r>
    </w:p>
    <w:p w14:paraId="36AD8265">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28.48万元，比上年决算减少4.53万元，下降13.72%,主要原因是：因退休人员医疗保险制度改革，退休人员基本医疗不再由单位缴纳，导致经费较上年减少。</w:t>
      </w:r>
    </w:p>
    <w:p w14:paraId="4A77350F">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62.45万元，比上年决算增加12.09万元，增长24.01%,主要原因是：本年在职人员工资基数调增，养老缴费基数上涨，相应支出增加。</w:t>
      </w:r>
    </w:p>
    <w:p w14:paraId="0F45DCC9">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3.社会保障和就业支出(类)行政事业单位养老支出(款)机关事业单位职业年金缴费支出(项):支出决算数为12.21万元，比上年决算增加12.21万元，增长100.00%,主要原因是：本年新增退休人员，职业年金缴费支出增加。</w:t>
      </w:r>
    </w:p>
    <w:p w14:paraId="09A74268">
      <w:pPr>
        <w:spacing w:line="580" w:lineRule="exact"/>
        <w:ind w:firstLine="640"/>
        <w:jc w:val="both"/>
      </w:pPr>
      <w:r>
        <w:rPr>
          <w:rFonts w:ascii="仿宋_GB2312" w:hAnsi="仿宋_GB2312" w:eastAsia="仿宋_GB2312"/>
          <w:b w:val="0"/>
          <w:sz w:val="32"/>
        </w:rPr>
        <w:t>4.卫生健康支出(类)公共卫生(款)疾病预防控制机构(项):支出决算数为594.91万元，比上年决算增加139.43万元，增长30.61%,主要原因是：本年在职人员工资基数调增，补发人员基础绩效及奖金，相关人员经费增加。</w:t>
      </w:r>
    </w:p>
    <w:p w14:paraId="4B445CC9">
      <w:pPr>
        <w:spacing w:line="580" w:lineRule="exact"/>
        <w:ind w:firstLine="640"/>
        <w:jc w:val="both"/>
      </w:pPr>
      <w:r>
        <w:rPr>
          <w:rFonts w:ascii="仿宋_GB2312" w:hAnsi="仿宋_GB2312" w:eastAsia="仿宋_GB2312"/>
          <w:b w:val="0"/>
          <w:sz w:val="32"/>
        </w:rPr>
        <w:t>5.卫生健康支出(类)公共卫生(款)基本公共卫生服务(项):支出决算数为14.97万元，比上年决算增加3.70万元，增长32.83%,主要原因是：本年增加中央基本公共卫生服务补助资金。</w:t>
      </w:r>
    </w:p>
    <w:p w14:paraId="5F75262C">
      <w:pPr>
        <w:spacing w:line="580" w:lineRule="exact"/>
        <w:ind w:firstLine="640"/>
        <w:jc w:val="both"/>
      </w:pPr>
      <w:r>
        <w:rPr>
          <w:rFonts w:ascii="仿宋_GB2312" w:hAnsi="仿宋_GB2312" w:eastAsia="仿宋_GB2312"/>
          <w:b w:val="0"/>
          <w:sz w:val="32"/>
        </w:rPr>
        <w:t>6.卫生健康支出(类)公共卫生(款)重大公共卫生服务(项):支出决算数为141.58万元，比上年决算增加41.01万元，增长40.78%,主要原因是：本年增加重大传染病防控资金、中央重大公共卫生服务补助资金。</w:t>
      </w:r>
    </w:p>
    <w:p w14:paraId="4212A6DF">
      <w:pPr>
        <w:spacing w:line="580" w:lineRule="exact"/>
        <w:ind w:firstLine="640"/>
        <w:jc w:val="both"/>
      </w:pPr>
      <w:r>
        <w:rPr>
          <w:rFonts w:ascii="仿宋_GB2312" w:hAnsi="仿宋_GB2312" w:eastAsia="仿宋_GB2312"/>
          <w:b w:val="0"/>
          <w:sz w:val="32"/>
        </w:rPr>
        <w:t>7.卫生健康支出(类)公共卫生(款)突发公共卫生事件应急处理(项):支出决算数为0.00万元，比上年决算减少775.99万元，下降100.00%,主要原因是：本年未安排托里县中央</w:t>
      </w:r>
      <w:r>
        <w:rPr>
          <w:rFonts w:hint="eastAsia" w:ascii="仿宋_GB2312" w:hAnsi="仿宋_GB2312" w:eastAsia="仿宋_GB2312"/>
          <w:b w:val="0"/>
          <w:sz w:val="32"/>
          <w:lang w:eastAsia="zh-CN"/>
        </w:rPr>
        <w:t>防疫</w:t>
      </w:r>
      <w:r>
        <w:rPr>
          <w:rFonts w:ascii="仿宋_GB2312" w:hAnsi="仿宋_GB2312" w:eastAsia="仿宋_GB2312"/>
          <w:b w:val="0"/>
          <w:sz w:val="32"/>
        </w:rPr>
        <w:t>防控能力补助资金。</w:t>
      </w:r>
    </w:p>
    <w:p w14:paraId="4A58AA79">
      <w:pPr>
        <w:spacing w:line="580" w:lineRule="exact"/>
        <w:ind w:firstLine="640"/>
        <w:jc w:val="both"/>
      </w:pPr>
      <w:r>
        <w:rPr>
          <w:rFonts w:ascii="仿宋_GB2312" w:hAnsi="仿宋_GB2312" w:eastAsia="仿宋_GB2312"/>
          <w:b w:val="0"/>
          <w:sz w:val="32"/>
        </w:rPr>
        <w:t>8.卫生健康支出(类)公共卫生(款)其他公共卫生支出(项):支出决算数为0.00万元，比上年决算减少1.43万元，下降100.00%,主要原因是：本年未安排中央基本公共卫生项目资金地方病。</w:t>
      </w:r>
    </w:p>
    <w:p w14:paraId="0A6B9272">
      <w:pPr>
        <w:spacing w:line="580" w:lineRule="exact"/>
        <w:ind w:firstLine="640"/>
        <w:jc w:val="both"/>
      </w:pPr>
      <w:r>
        <w:rPr>
          <w:rFonts w:ascii="仿宋_GB2312" w:hAnsi="仿宋_GB2312" w:eastAsia="仿宋_GB2312"/>
          <w:b w:val="0"/>
          <w:sz w:val="32"/>
        </w:rPr>
        <w:t>9.卫生健康支出(类)行政事业单位医疗(款)事业单位医疗(项):支出决算数为28.05万元，比上年决算增加2.87万元，增长11.40%,主要原因是：本年在职人员工资基数调增，医疗缴费基数上涨，相应支出增加。</w:t>
      </w:r>
    </w:p>
    <w:p w14:paraId="17512F0C">
      <w:pPr>
        <w:spacing w:line="580" w:lineRule="exact"/>
        <w:ind w:firstLine="640"/>
        <w:jc w:val="both"/>
      </w:pPr>
      <w:r>
        <w:rPr>
          <w:rFonts w:ascii="仿宋_GB2312" w:hAnsi="仿宋_GB2312" w:eastAsia="仿宋_GB2312"/>
          <w:b w:val="0"/>
          <w:sz w:val="32"/>
        </w:rPr>
        <w:t>10.卫生健康支出(类)行政事业单位医疗(款)公务员医疗补助(项):支出决算数为1.86万元，比上年决算增加1.86万元，增长100.00%,主要原因是：本年在职人员工资基数调增，医疗缴费基数上涨，相应支出增加。</w:t>
      </w:r>
    </w:p>
    <w:p w14:paraId="094ED21A">
      <w:pPr>
        <w:spacing w:line="580" w:lineRule="exact"/>
        <w:ind w:firstLine="640"/>
        <w:jc w:val="both"/>
      </w:pPr>
      <w:r>
        <w:rPr>
          <w:rFonts w:ascii="仿宋_GB2312" w:hAnsi="仿宋_GB2312" w:eastAsia="仿宋_GB2312"/>
          <w:b w:val="0"/>
          <w:sz w:val="32"/>
        </w:rPr>
        <w:t>11.住房保障支出(类)住房改革支出(款)住房公积金(项):支出决算数为52.05万元，比上年决算增加10.81万元，增长26.21%,主要原因是：本年在职人员工资基数调增，公积金缴费基数上涨，相应支出增加。</w:t>
      </w:r>
    </w:p>
    <w:p w14:paraId="5149CADF">
      <w:pPr>
        <w:spacing w:line="640" w:lineRule="exact"/>
        <w:ind w:firstLine="640"/>
        <w:jc w:val="both"/>
        <w:outlineLvl w:val="2"/>
      </w:pPr>
      <w:r>
        <w:rPr>
          <w:rFonts w:ascii="黑体" w:hAnsi="黑体" w:eastAsia="黑体"/>
          <w:sz w:val="32"/>
        </w:rPr>
        <w:t>六、一般公共预算财政拨款基本支出决算情况说明</w:t>
      </w:r>
    </w:p>
    <w:p w14:paraId="6E29628B">
      <w:pPr>
        <w:spacing w:line="580" w:lineRule="exact"/>
        <w:ind w:firstLine="640"/>
        <w:jc w:val="both"/>
      </w:pPr>
      <w:r>
        <w:rPr>
          <w:rFonts w:ascii="仿宋_GB2312" w:hAnsi="仿宋_GB2312" w:eastAsia="仿宋_GB2312"/>
          <w:b w:val="0"/>
          <w:sz w:val="32"/>
        </w:rPr>
        <w:t>2024年度一般公共预算财政拨款基本支出780.02万元，其中：</w:t>
      </w:r>
      <w:r>
        <w:rPr>
          <w:rFonts w:ascii="仿宋_GB2312" w:hAnsi="仿宋_GB2312" w:eastAsia="仿宋_GB2312"/>
          <w:b/>
          <w:sz w:val="32"/>
        </w:rPr>
        <w:t>人员经费750.66万元，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医疗费补助、奖励金。</w:t>
      </w:r>
    </w:p>
    <w:p w14:paraId="6284D6DF">
      <w:pPr>
        <w:spacing w:line="580" w:lineRule="exact"/>
        <w:ind w:firstLine="640"/>
        <w:jc w:val="both"/>
      </w:pPr>
      <w:r>
        <w:rPr>
          <w:rFonts w:ascii="仿宋_GB2312" w:hAnsi="仿宋_GB2312" w:eastAsia="仿宋_GB2312"/>
          <w:b/>
          <w:sz w:val="32"/>
        </w:rPr>
        <w:t>公用经费29.35万元，</w:t>
      </w:r>
      <w:r>
        <w:rPr>
          <w:rFonts w:ascii="仿宋_GB2312" w:hAnsi="仿宋_GB2312" w:eastAsia="仿宋_GB2312"/>
          <w:b w:val="0"/>
          <w:sz w:val="32"/>
        </w:rPr>
        <w:t>包括：办公费、水费、电费、邮电费、取暖费、差旅费、维修（护）费、培训费、劳务费、工会经费、公务用车运行维护费。</w:t>
      </w:r>
    </w:p>
    <w:p w14:paraId="48C2C4C5">
      <w:pPr>
        <w:spacing w:line="640" w:lineRule="exact"/>
        <w:ind w:firstLine="640"/>
        <w:jc w:val="both"/>
        <w:outlineLvl w:val="2"/>
      </w:pPr>
      <w:r>
        <w:rPr>
          <w:rFonts w:ascii="黑体" w:hAnsi="黑体" w:eastAsia="黑体"/>
          <w:sz w:val="32"/>
        </w:rPr>
        <w:t>七、政府性基金预算财政拨款收入支出决算情况说明</w:t>
      </w:r>
    </w:p>
    <w:p w14:paraId="4C13248C">
      <w:pPr>
        <w:spacing w:line="580" w:lineRule="exact"/>
        <w:ind w:firstLine="640"/>
        <w:jc w:val="both"/>
      </w:pPr>
      <w:r>
        <w:rPr>
          <w:rFonts w:ascii="仿宋_GB2312" w:hAnsi="仿宋_GB2312" w:eastAsia="仿宋_GB2312"/>
          <w:b/>
          <w:sz w:val="32"/>
        </w:rPr>
        <w:t>2024年度政府性基金预算财政拨款收入总计22.08万元，</w:t>
      </w:r>
      <w:r>
        <w:rPr>
          <w:rFonts w:ascii="仿宋_GB2312" w:hAnsi="仿宋_GB2312" w:eastAsia="仿宋_GB2312"/>
          <w:b w:val="0"/>
          <w:sz w:val="32"/>
        </w:rPr>
        <w:t>其中：年初结转和结余0.00万元，本年收入22.08万元。</w:t>
      </w:r>
      <w:r>
        <w:rPr>
          <w:rFonts w:ascii="仿宋_GB2312" w:hAnsi="仿宋_GB2312" w:eastAsia="仿宋_GB2312"/>
          <w:b/>
          <w:sz w:val="32"/>
        </w:rPr>
        <w:t>政府性基金预算财政拨款支出总计22.08万元，</w:t>
      </w:r>
      <w:r>
        <w:rPr>
          <w:rFonts w:ascii="仿宋_GB2312" w:hAnsi="仿宋_GB2312" w:eastAsia="仿宋_GB2312"/>
          <w:b w:val="0"/>
          <w:sz w:val="32"/>
        </w:rPr>
        <w:t>其中：年末结转和结余0.00万元，本年支出22.08万元。</w:t>
      </w:r>
    </w:p>
    <w:p w14:paraId="459B868D">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增加22.08万元，增长100.00%，主要原因是：本年增加中小企业项目</w:t>
      </w:r>
      <w:r>
        <w:rPr>
          <w:rFonts w:hint="eastAsia" w:ascii="仿宋_GB2312" w:hAnsi="仿宋_GB2312" w:eastAsia="仿宋_GB2312"/>
          <w:b w:val="0"/>
          <w:sz w:val="32"/>
          <w:lang w:eastAsia="zh-CN"/>
        </w:rPr>
        <w:t>－</w:t>
      </w:r>
      <w:r>
        <w:rPr>
          <w:rFonts w:ascii="仿宋_GB2312" w:hAnsi="仿宋_GB2312" w:eastAsia="仿宋_GB2312"/>
          <w:b w:val="0"/>
          <w:sz w:val="32"/>
        </w:rPr>
        <w:t>托里县疾病预防控制中心传染病防治应急能力提升改造项目、中小企业项目</w:t>
      </w:r>
      <w:r>
        <w:rPr>
          <w:rFonts w:hint="eastAsia" w:ascii="仿宋_GB2312" w:hAnsi="仿宋_GB2312" w:eastAsia="仿宋_GB2312"/>
          <w:b w:val="0"/>
          <w:sz w:val="32"/>
          <w:lang w:eastAsia="zh-CN"/>
        </w:rPr>
        <w:t>－</w:t>
      </w:r>
      <w:r>
        <w:rPr>
          <w:rFonts w:ascii="仿宋_GB2312" w:hAnsi="仿宋_GB2312" w:eastAsia="仿宋_GB2312"/>
          <w:b w:val="0"/>
          <w:sz w:val="32"/>
        </w:rPr>
        <w:t>采购发电机。</w:t>
      </w:r>
      <w:r>
        <w:rPr>
          <w:rFonts w:ascii="仿宋_GB2312" w:hAnsi="仿宋_GB2312" w:eastAsia="仿宋_GB2312"/>
          <w:b/>
          <w:sz w:val="32"/>
        </w:rPr>
        <w:t>与年初预算相比，</w:t>
      </w:r>
      <w:r>
        <w:rPr>
          <w:rFonts w:ascii="仿宋_GB2312" w:hAnsi="仿宋_GB2312" w:eastAsia="仿宋_GB2312"/>
          <w:b w:val="0"/>
          <w:sz w:val="32"/>
        </w:rPr>
        <w:t>年初预算数22.60万元，决算数22.08万元，预决算差异率-2.30%，主要原因是：严格落实中央八项规定精神，厉行节约，减少不必要的开支。</w:t>
      </w:r>
    </w:p>
    <w:p w14:paraId="5250C92F">
      <w:pPr>
        <w:spacing w:line="580" w:lineRule="exact"/>
        <w:ind w:firstLine="640"/>
        <w:jc w:val="both"/>
      </w:pPr>
      <w:r>
        <w:rPr>
          <w:rFonts w:ascii="仿宋_GB2312" w:hAnsi="仿宋_GB2312" w:eastAsia="仿宋_GB2312"/>
          <w:b w:val="0"/>
          <w:sz w:val="32"/>
        </w:rPr>
        <w:t>政府性基金预算财政拨款支出22.08万元。</w:t>
      </w:r>
    </w:p>
    <w:p w14:paraId="5EB876BA">
      <w:pPr>
        <w:spacing w:line="580" w:lineRule="exact"/>
        <w:ind w:firstLine="640"/>
        <w:jc w:val="both"/>
      </w:pPr>
      <w:r>
        <w:rPr>
          <w:rFonts w:ascii="仿宋_GB2312" w:hAnsi="仿宋_GB2312" w:eastAsia="仿宋_GB2312"/>
          <w:b w:val="0"/>
          <w:sz w:val="32"/>
        </w:rPr>
        <w:t>1.城乡社区支出(类)国有土地使用权出让收入安排的支出(款)城市建设支出(项):支出决算数为15.48万元，比上年决算增加15.48万元，增长100.00%,主要原因是：本年增加中小企业项目</w:t>
      </w:r>
      <w:r>
        <w:rPr>
          <w:rFonts w:hint="eastAsia" w:ascii="仿宋_GB2312" w:hAnsi="仿宋_GB2312" w:eastAsia="仿宋_GB2312"/>
          <w:b w:val="0"/>
          <w:sz w:val="32"/>
          <w:lang w:eastAsia="zh-CN"/>
        </w:rPr>
        <w:t>－</w:t>
      </w:r>
      <w:r>
        <w:rPr>
          <w:rFonts w:ascii="仿宋_GB2312" w:hAnsi="仿宋_GB2312" w:eastAsia="仿宋_GB2312"/>
          <w:b w:val="0"/>
          <w:sz w:val="32"/>
        </w:rPr>
        <w:t>托里县疾病预防控制中心传染病防治应急能力提升改造项目。</w:t>
      </w:r>
    </w:p>
    <w:p w14:paraId="4FDC833A">
      <w:pPr>
        <w:spacing w:line="580" w:lineRule="exact"/>
        <w:ind w:firstLine="640"/>
        <w:jc w:val="both"/>
      </w:pPr>
      <w:r>
        <w:rPr>
          <w:rFonts w:ascii="仿宋_GB2312" w:hAnsi="仿宋_GB2312" w:eastAsia="仿宋_GB2312"/>
          <w:b w:val="0"/>
          <w:sz w:val="32"/>
        </w:rPr>
        <w:t>2.城乡社区支出(类)国有土地使用权出让收入安排的支出(款)其他国有土地使用权出让收入安排的支出(项):支出决算数为6.60万元，比上年决算增加6.60万元，增长100.00%,主要原因是：本年增加中小企业项目</w:t>
      </w:r>
      <w:r>
        <w:rPr>
          <w:rFonts w:hint="eastAsia" w:ascii="仿宋_GB2312" w:hAnsi="仿宋_GB2312" w:eastAsia="仿宋_GB2312"/>
          <w:b w:val="0"/>
          <w:sz w:val="32"/>
          <w:lang w:eastAsia="zh-CN"/>
        </w:rPr>
        <w:t>－</w:t>
      </w:r>
      <w:r>
        <w:rPr>
          <w:rFonts w:ascii="仿宋_GB2312" w:hAnsi="仿宋_GB2312" w:eastAsia="仿宋_GB2312"/>
          <w:b w:val="0"/>
          <w:sz w:val="32"/>
        </w:rPr>
        <w:t>采购发电机项目。</w:t>
      </w:r>
    </w:p>
    <w:p w14:paraId="3F57ABAC">
      <w:pPr>
        <w:spacing w:line="640" w:lineRule="exact"/>
        <w:ind w:firstLine="640"/>
        <w:jc w:val="both"/>
        <w:outlineLvl w:val="2"/>
      </w:pPr>
      <w:r>
        <w:rPr>
          <w:rFonts w:ascii="黑体" w:hAnsi="黑体" w:eastAsia="黑体"/>
          <w:sz w:val="32"/>
        </w:rPr>
        <w:t>八、国有资本经营预算财政拨款收入支出决算情况说明</w:t>
      </w:r>
    </w:p>
    <w:p w14:paraId="4A2116E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956ACCB">
      <w:pPr>
        <w:spacing w:line="640" w:lineRule="exact"/>
        <w:ind w:firstLine="640"/>
        <w:jc w:val="both"/>
        <w:outlineLvl w:val="2"/>
      </w:pPr>
      <w:r>
        <w:rPr>
          <w:rFonts w:ascii="黑体" w:hAnsi="黑体" w:eastAsia="黑体"/>
          <w:sz w:val="32"/>
        </w:rPr>
        <w:t>九、财政拨款“三公”经费支出决算情况说明</w:t>
      </w:r>
    </w:p>
    <w:p w14:paraId="2D6A93B5">
      <w:pPr>
        <w:spacing w:line="580" w:lineRule="exact"/>
        <w:ind w:firstLine="640"/>
        <w:jc w:val="both"/>
      </w:pPr>
      <w:r>
        <w:rPr>
          <w:rFonts w:ascii="仿宋_GB2312" w:hAnsi="仿宋_GB2312" w:eastAsia="仿宋_GB2312"/>
          <w:b/>
          <w:sz w:val="32"/>
        </w:rPr>
        <w:t>2024年度财政拨款“三公”经费支出8.75万元，</w:t>
      </w:r>
      <w:r>
        <w:rPr>
          <w:rFonts w:ascii="仿宋_GB2312" w:hAnsi="仿宋_GB2312" w:eastAsia="仿宋_GB2312"/>
          <w:b w:val="0"/>
          <w:sz w:val="32"/>
        </w:rPr>
        <w:t>比上年增加7.86万元，增长883.15%，主要原因是：本年卫生监督所合并至单位，增加监督所车辆，导致公务用车运行维护费较上年增加。其中：因公出国（境）费支出0.00万元，占0.00%，比上年增加0.00万元，增长0.00%，主要原因是：2023年与2024年均未安排因公出国（境）费支出。公务用车购置及运行维护费支出8.75万元，占100.00%，比上年增加7.86万元，增长883.15%，主要原因是：本年卫生监督所合并至单位，增加监督所车辆，导致公务用车运行维护费较上年增加。公务接待费支出0.00万元，占0.00%，比上年增加0.00万元，增长0.00%，主要原因是：2023年与2024年均未安排公务接待费支出。</w:t>
      </w:r>
    </w:p>
    <w:p w14:paraId="1BF4EBE8">
      <w:pPr>
        <w:spacing w:line="580" w:lineRule="exact"/>
        <w:ind w:firstLine="640"/>
        <w:jc w:val="both"/>
      </w:pPr>
      <w:r>
        <w:rPr>
          <w:rFonts w:ascii="仿宋_GB2312" w:hAnsi="仿宋_GB2312" w:eastAsia="仿宋_GB2312"/>
          <w:b/>
          <w:sz w:val="32"/>
        </w:rPr>
        <w:t>具体情况如下：</w:t>
      </w:r>
    </w:p>
    <w:p w14:paraId="52B3FFDB">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5C4F039">
      <w:pPr>
        <w:spacing w:line="580" w:lineRule="exact"/>
        <w:ind w:firstLine="640"/>
        <w:jc w:val="both"/>
      </w:pPr>
      <w:r>
        <w:rPr>
          <w:rFonts w:ascii="仿宋_GB2312" w:hAnsi="仿宋_GB2312" w:eastAsia="仿宋_GB2312"/>
          <w:b w:val="0"/>
          <w:sz w:val="32"/>
        </w:rPr>
        <w:t>公务用车购置及运行维护费8.75万元，其中：公务用车购置费0.00万元，公务用车运行维护费8.75万元。公务用车运行维护费开支内容包括车辆加油费、维修费、保险费、审车费、过路费等。公务用车购置数0辆，公务用车保有量6辆。国有资产占用情况中固定资产车辆6辆，与公务用车保有量差异原因是：本单位固定资产车辆与公务用车保有量一致无差异。</w:t>
      </w:r>
    </w:p>
    <w:p w14:paraId="3CC22111">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9AD1B6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8.75万元，决算数8.75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8.75万元，决算数8.75万元，预决算差异率0.00%，主要原因是：严格按照预算执行，预决算无差异。公务接待费全年预算数0.00万元，决算数0.00万元，预决算差异率0.00%，主要原因是：本单位无公务接待费。</w:t>
      </w:r>
    </w:p>
    <w:p w14:paraId="07E07A3A">
      <w:pPr>
        <w:spacing w:line="640" w:lineRule="exact"/>
        <w:ind w:firstLine="640"/>
        <w:jc w:val="both"/>
        <w:outlineLvl w:val="2"/>
      </w:pPr>
      <w:r>
        <w:rPr>
          <w:rFonts w:ascii="黑体" w:hAnsi="黑体" w:eastAsia="黑体"/>
          <w:sz w:val="32"/>
        </w:rPr>
        <w:t>十、其他重要事项的情况说明</w:t>
      </w:r>
    </w:p>
    <w:p w14:paraId="4F23301D">
      <w:pPr>
        <w:spacing w:line="640" w:lineRule="exact"/>
        <w:ind w:firstLine="640"/>
        <w:jc w:val="both"/>
        <w:outlineLvl w:val="3"/>
      </w:pPr>
      <w:r>
        <w:rPr>
          <w:rFonts w:ascii="楷体_GB2312" w:hAnsi="楷体_GB2312" w:eastAsia="楷体_GB2312"/>
          <w:b/>
          <w:sz w:val="32"/>
        </w:rPr>
        <w:t>（一）机关运行经费及公用经费支出情况</w:t>
      </w:r>
    </w:p>
    <w:p w14:paraId="08B85534">
      <w:pPr>
        <w:spacing w:line="580" w:lineRule="exact"/>
        <w:ind w:firstLine="640"/>
        <w:jc w:val="both"/>
      </w:pPr>
      <w:r>
        <w:rPr>
          <w:rFonts w:ascii="仿宋_GB2312" w:hAnsi="仿宋_GB2312" w:eastAsia="仿宋_GB2312"/>
          <w:b w:val="0"/>
          <w:sz w:val="32"/>
        </w:rPr>
        <w:t>2024年度托里县疾病预防控制中心（事业单位）公用经费支出29.35万元，比上年增加7.04万元，增长31.56%，主要原因是：本年业务量增加，公用经费增加。</w:t>
      </w:r>
    </w:p>
    <w:p w14:paraId="44076292">
      <w:pPr>
        <w:spacing w:line="640" w:lineRule="exact"/>
        <w:ind w:firstLine="640"/>
        <w:jc w:val="both"/>
        <w:outlineLvl w:val="3"/>
      </w:pPr>
      <w:r>
        <w:rPr>
          <w:rFonts w:ascii="楷体_GB2312" w:hAnsi="楷体_GB2312" w:eastAsia="楷体_GB2312"/>
          <w:b/>
          <w:sz w:val="32"/>
        </w:rPr>
        <w:t>（二）政府采购情况</w:t>
      </w:r>
    </w:p>
    <w:p w14:paraId="2594309E">
      <w:pPr>
        <w:spacing w:line="580" w:lineRule="exact"/>
        <w:ind w:firstLine="640"/>
        <w:jc w:val="both"/>
      </w:pPr>
      <w:r>
        <w:rPr>
          <w:rFonts w:ascii="仿宋_GB2312" w:hAnsi="仿宋_GB2312" w:eastAsia="仿宋_GB2312"/>
          <w:b w:val="0"/>
          <w:sz w:val="32"/>
        </w:rPr>
        <w:t>2024年度政府采购支出总额63.49万元，其中：政府采购货物支出45.77万元、政府采购工程支出1.67万元、政府采购服务支出16.05万元。</w:t>
      </w:r>
    </w:p>
    <w:p w14:paraId="70FC584A">
      <w:pPr>
        <w:spacing w:line="580" w:lineRule="exact"/>
        <w:ind w:firstLine="640"/>
        <w:jc w:val="both"/>
      </w:pPr>
      <w:r>
        <w:rPr>
          <w:rFonts w:ascii="仿宋_GB2312" w:hAnsi="仿宋_GB2312" w:eastAsia="仿宋_GB2312"/>
          <w:b w:val="0"/>
          <w:sz w:val="32"/>
        </w:rPr>
        <w:t>授予中小企业合同金额54.44万元，占政府采购支出总额的85.75%，其中：授予小微企业合同金额47.39万元，占政府采购支出总额的74.64%。</w:t>
      </w:r>
    </w:p>
    <w:p w14:paraId="5BF555E4">
      <w:pPr>
        <w:spacing w:line="640" w:lineRule="exact"/>
        <w:ind w:firstLine="640"/>
        <w:jc w:val="both"/>
        <w:outlineLvl w:val="3"/>
      </w:pPr>
      <w:r>
        <w:rPr>
          <w:rFonts w:ascii="楷体_GB2312" w:hAnsi="楷体_GB2312" w:eastAsia="楷体_GB2312"/>
          <w:b/>
          <w:sz w:val="32"/>
        </w:rPr>
        <w:t>（三）国有资产占用情况说明</w:t>
      </w:r>
    </w:p>
    <w:p w14:paraId="213C6541">
      <w:pPr>
        <w:spacing w:line="580" w:lineRule="exact"/>
        <w:ind w:firstLine="640"/>
        <w:jc w:val="both"/>
      </w:pPr>
      <w:r>
        <w:rPr>
          <w:rFonts w:ascii="仿宋_GB2312" w:hAnsi="仿宋_GB2312" w:eastAsia="仿宋_GB2312"/>
          <w:b w:val="0"/>
          <w:sz w:val="32"/>
        </w:rPr>
        <w:t>截至2024年12月31日，房屋320.00平方米，价值178.52万元。车辆6辆，价值116.33万元，其中：副部（省）级及以上领导用车0辆、主要负责人用车0辆、机要通信用车0辆、应急保障用车0辆、执法执勤用车2辆、特种专业技术用车0辆、离退休干部服务用车0辆、其他用车4辆，其他用车主要是：一般公务用车。单价100万元（含）以上设备（不含车辆）0台（套）。</w:t>
      </w:r>
    </w:p>
    <w:p w14:paraId="7E578D45">
      <w:pPr>
        <w:spacing w:line="640" w:lineRule="exact"/>
        <w:ind w:firstLine="640"/>
        <w:jc w:val="both"/>
        <w:outlineLvl w:val="2"/>
      </w:pPr>
      <w:r>
        <w:rPr>
          <w:rFonts w:ascii="黑体" w:hAnsi="黑体" w:eastAsia="黑体"/>
          <w:sz w:val="32"/>
        </w:rPr>
        <w:t>十一、预算绩效的情况说明</w:t>
      </w:r>
    </w:p>
    <w:p w14:paraId="3EA88717">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1,087.83万元，实际执行总额1,087.71万元；预算绩效评价项目5个，全年预算数651.20万元，全年执行数642.04万元。预算绩效管理取得的成效：一是确保资金的高效使用，切实发挥财政资金的使用效果。二是严格按照工作职责和相关文件依据，确保专款专用。三是严格控制资金的流出方向，确保资金的合规性。发现的问题及原因：（一）绩效指标设置不够明确</w:t>
      </w:r>
      <w:r>
        <w:rPr>
          <w:rFonts w:hint="eastAsia" w:ascii="仿宋_GB2312" w:hAnsi="仿宋_GB2312" w:eastAsia="仿宋_GB2312"/>
          <w:b w:val="0"/>
          <w:sz w:val="32"/>
          <w:lang w:eastAsia="zh-CN"/>
        </w:rPr>
        <w:t>本单位</w:t>
      </w:r>
      <w:r>
        <w:rPr>
          <w:rFonts w:ascii="仿宋_GB2312" w:hAnsi="仿宋_GB2312" w:eastAsia="仿宋_GB2312"/>
          <w:b w:val="0"/>
          <w:sz w:val="32"/>
        </w:rPr>
        <w:t>部分</w:t>
      </w:r>
      <w:r>
        <w:rPr>
          <w:rFonts w:hint="eastAsia" w:ascii="仿宋_GB2312" w:hAnsi="仿宋_GB2312" w:eastAsia="仿宋_GB2312"/>
          <w:b w:val="0"/>
          <w:sz w:val="32"/>
          <w:lang w:eastAsia="zh-CN"/>
        </w:rPr>
        <w:t>绩效</w:t>
      </w:r>
      <w:r>
        <w:rPr>
          <w:rFonts w:ascii="仿宋_GB2312" w:hAnsi="仿宋_GB2312" w:eastAsia="仿宋_GB2312"/>
          <w:b w:val="0"/>
          <w:sz w:val="32"/>
        </w:rPr>
        <w:t>指标设置存在不够精简、指标数据无法统计和指标值设置过低等问题，部分项目绩效指标值设定为定性的指标，指标设置的科学性、合理性有待进一步提高。（二）固定资产账务管理不够细致、严谨抽查发现，各单位固定资产账务管理普遍存在入账不及时、漏入、入账信息、金额不准确或资产台账未登记到具体使用人等问题。（三）项目监督工作存在薄弱环节项目实施过程中的上报、跟踪、反馈机制尚未真正形成，资金的使用、实施等监管措施仍然存在改进的空间。下一步改进措施：（一）强化部门绩效管理体系建设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二）加强固定资产账务管理，确保账实相符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w:t>
      </w:r>
      <w:r>
        <w:rPr>
          <w:rFonts w:hint="eastAsia" w:ascii="仿宋_GB2312" w:hAnsi="仿宋_GB2312" w:eastAsia="仿宋_GB2312"/>
          <w:b w:val="0"/>
          <w:sz w:val="32"/>
          <w:lang w:eastAsia="zh-CN"/>
        </w:rPr>
        <w:t>。</w:t>
      </w:r>
      <w:r>
        <w:rPr>
          <w:rFonts w:ascii="仿宋_GB2312" w:hAnsi="仿宋_GB2312" w:eastAsia="仿宋_GB2312"/>
          <w:b w:val="0"/>
          <w:sz w:val="32"/>
        </w:rPr>
        <w:t>（三）建立动态分析管理机制，提高项目监管主动性业务部门进行指导、监督和检查时进一步加强主动性，积极探索</w:t>
      </w:r>
      <w:r>
        <w:rPr>
          <w:rFonts w:hint="eastAsia" w:ascii="仿宋_GB2312" w:hAnsi="仿宋_GB2312" w:eastAsia="仿宋_GB2312"/>
          <w:b w:val="0"/>
          <w:sz w:val="32"/>
          <w:lang w:eastAsia="zh-CN"/>
        </w:rPr>
        <w:t>更加</w:t>
      </w:r>
      <w:r>
        <w:rPr>
          <w:rFonts w:ascii="仿宋_GB2312" w:hAnsi="仿宋_GB2312" w:eastAsia="仿宋_GB2312"/>
          <w:b w:val="0"/>
          <w:sz w:val="32"/>
        </w:rPr>
        <w:t>有效和积极主动的监管方式。一方面要建立重点项目实施过程的反馈机制，依托相关信息平台，加大对重点部门、重点项目的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具体附整体支出绩效自评表，项目支出绩效自评表和评价报告。</w:t>
      </w:r>
    </w:p>
    <w:p w14:paraId="79BB57C8">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6FB56C69">
        <w:tblPrEx>
          <w:tblCellMar>
            <w:top w:w="0" w:type="dxa"/>
            <w:left w:w="108" w:type="dxa"/>
            <w:bottom w:w="0" w:type="dxa"/>
            <w:right w:w="108" w:type="dxa"/>
          </w:tblCellMar>
        </w:tblPrEx>
        <w:tc>
          <w:tcPr>
            <w:tcW w:w="8840" w:type="dxa"/>
            <w:gridSpan w:val="8"/>
            <w:vAlign w:val="center"/>
          </w:tcPr>
          <w:p w14:paraId="276861CD">
            <w:pPr>
              <w:jc w:val="center"/>
            </w:pPr>
            <w:r>
              <w:rPr>
                <w:rFonts w:ascii="宋体" w:hAnsi="宋体" w:eastAsia="宋体"/>
                <w:sz w:val="24"/>
              </w:rPr>
              <w:t>单位整体支出绩效自评表</w:t>
            </w:r>
          </w:p>
        </w:tc>
      </w:tr>
      <w:tr w14:paraId="0B9EC989">
        <w:tblPrEx>
          <w:tblCellMar>
            <w:top w:w="0" w:type="dxa"/>
            <w:left w:w="108" w:type="dxa"/>
            <w:bottom w:w="0" w:type="dxa"/>
            <w:right w:w="108" w:type="dxa"/>
          </w:tblCellMar>
        </w:tblPrEx>
        <w:tc>
          <w:tcPr>
            <w:tcW w:w="8840" w:type="dxa"/>
            <w:gridSpan w:val="8"/>
            <w:vAlign w:val="center"/>
          </w:tcPr>
          <w:p w14:paraId="40CC7B11">
            <w:pPr>
              <w:jc w:val="center"/>
            </w:pPr>
            <w:r>
              <w:rPr>
                <w:rFonts w:ascii="宋体" w:hAnsi="宋体" w:eastAsia="宋体"/>
                <w:sz w:val="24"/>
              </w:rPr>
              <w:t>（2024年度）</w:t>
            </w:r>
          </w:p>
        </w:tc>
      </w:tr>
      <w:tr w14:paraId="524FE01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D92022">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84256F">
            <w:pPr>
              <w:jc w:val="center"/>
            </w:pPr>
            <w:r>
              <w:rPr>
                <w:rFonts w:ascii="宋体" w:hAnsi="宋体" w:eastAsia="宋体"/>
                <w:sz w:val="16"/>
              </w:rPr>
              <w:t>托里县疾病预防控制中心</w:t>
            </w:r>
          </w:p>
        </w:tc>
      </w:tr>
      <w:tr w14:paraId="43E97B30">
        <w:tblPrEx>
          <w:tblCellMar>
            <w:top w:w="0" w:type="dxa"/>
            <w:left w:w="108" w:type="dxa"/>
            <w:bottom w:w="0" w:type="dxa"/>
            <w:right w:w="108" w:type="dxa"/>
          </w:tblCellMar>
        </w:tblPrEx>
        <w:trPr>
          <w:trHeight w:val="477" w:hRule="atLeast"/>
        </w:trPr>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94E582">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A7022E">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67D69A">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F1CEAC">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4E4008">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984B5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4490D2">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D67103">
            <w:pPr>
              <w:jc w:val="center"/>
            </w:pPr>
            <w:r>
              <w:rPr>
                <w:rFonts w:ascii="宋体" w:hAnsi="宋体" w:eastAsia="宋体"/>
                <w:sz w:val="16"/>
              </w:rPr>
              <w:t>得分</w:t>
            </w:r>
          </w:p>
        </w:tc>
      </w:tr>
      <w:tr w14:paraId="3FB36CE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9D9001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CE99EF">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3CBE58">
            <w:pPr>
              <w:jc w:val="center"/>
            </w:pPr>
            <w:r>
              <w:rPr>
                <w:rFonts w:ascii="宋体" w:hAnsi="宋体" w:eastAsia="宋体"/>
                <w:sz w:val="16"/>
              </w:rPr>
              <w:t>1,072.87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9EF498">
            <w:pPr>
              <w:jc w:val="center"/>
            </w:pPr>
            <w:r>
              <w:rPr>
                <w:rFonts w:ascii="宋体" w:hAnsi="宋体" w:eastAsia="宋体"/>
                <w:sz w:val="16"/>
              </w:rPr>
              <w:t>1,087.83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C37573">
            <w:pPr>
              <w:jc w:val="center"/>
            </w:pPr>
            <w:r>
              <w:rPr>
                <w:rFonts w:ascii="宋体" w:hAnsi="宋体" w:eastAsia="宋体"/>
                <w:sz w:val="16"/>
              </w:rPr>
              <w:t>1,087.71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09A10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7E4CDF">
            <w:pPr>
              <w:jc w:val="center"/>
            </w:pPr>
            <w:r>
              <w:rPr>
                <w:rFonts w:ascii="宋体" w:hAnsi="宋体" w:eastAsia="宋体"/>
                <w:sz w:val="16"/>
              </w:rPr>
              <w:t>99.99%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F25914">
            <w:pPr>
              <w:jc w:val="center"/>
            </w:pPr>
            <w:r>
              <w:rPr>
                <w:rFonts w:ascii="宋体" w:hAnsi="宋体" w:eastAsia="宋体"/>
                <w:sz w:val="16"/>
              </w:rPr>
              <w:t>9.99</w:t>
            </w:r>
          </w:p>
        </w:tc>
      </w:tr>
      <w:tr w14:paraId="635AA99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0F1E44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6149AD">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54E6D5">
            <w:pPr>
              <w:jc w:val="center"/>
            </w:pPr>
            <w:r>
              <w:rPr>
                <w:rFonts w:ascii="宋体" w:hAnsi="宋体" w:eastAsia="宋体"/>
                <w:sz w:val="16"/>
              </w:rPr>
              <w:t>168.05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DB6999">
            <w:pPr>
              <w:jc w:val="center"/>
            </w:pPr>
            <w:r>
              <w:rPr>
                <w:rFonts w:ascii="宋体" w:hAnsi="宋体" w:eastAsia="宋体"/>
                <w:sz w:val="16"/>
              </w:rPr>
              <w:t>325.65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E21C39">
            <w:pPr>
              <w:jc w:val="center"/>
            </w:pPr>
            <w:r>
              <w:rPr>
                <w:rFonts w:ascii="宋体" w:hAnsi="宋体" w:eastAsia="宋体"/>
                <w:sz w:val="16"/>
              </w:rPr>
              <w:t>279.66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369E3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C1675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DFBB3C">
            <w:pPr>
              <w:jc w:val="center"/>
            </w:pPr>
            <w:r>
              <w:rPr>
                <w:rFonts w:ascii="宋体" w:hAnsi="宋体" w:eastAsia="宋体"/>
                <w:sz w:val="16"/>
              </w:rPr>
              <w:t>-</w:t>
            </w:r>
          </w:p>
        </w:tc>
      </w:tr>
      <w:tr w14:paraId="3AF2B1E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64655C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7B1420">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C981BB">
            <w:pPr>
              <w:jc w:val="center"/>
            </w:pPr>
            <w:r>
              <w:rPr>
                <w:rFonts w:ascii="宋体" w:hAnsi="宋体" w:eastAsia="宋体"/>
                <w:sz w:val="16"/>
              </w:rPr>
              <w:t>769.82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3DFBDB">
            <w:pPr>
              <w:jc w:val="center"/>
            </w:pPr>
            <w:r>
              <w:rPr>
                <w:rFonts w:ascii="宋体" w:hAnsi="宋体" w:eastAsia="宋体"/>
                <w:sz w:val="16"/>
              </w:rPr>
              <w:t>627.18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B8B845">
            <w:pPr>
              <w:jc w:val="center"/>
            </w:pPr>
            <w:r>
              <w:rPr>
                <w:rFonts w:ascii="宋体" w:hAnsi="宋体" w:eastAsia="宋体"/>
                <w:sz w:val="16"/>
              </w:rPr>
              <w:t>678.98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64DA3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2642A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CB95E0">
            <w:pPr>
              <w:jc w:val="center"/>
            </w:pPr>
            <w:r>
              <w:rPr>
                <w:rFonts w:ascii="宋体" w:hAnsi="宋体" w:eastAsia="宋体"/>
                <w:sz w:val="16"/>
              </w:rPr>
              <w:t>-</w:t>
            </w:r>
          </w:p>
        </w:tc>
      </w:tr>
      <w:tr w14:paraId="1FF1F67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23B21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BCD14B">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5B0C9B">
            <w:pPr>
              <w:jc w:val="center"/>
            </w:pPr>
            <w:r>
              <w:rPr>
                <w:rFonts w:ascii="宋体" w:hAnsi="宋体" w:eastAsia="宋体"/>
                <w:sz w:val="16"/>
              </w:rPr>
              <w:t>135.00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FABFA1">
            <w:pPr>
              <w:jc w:val="center"/>
            </w:pPr>
            <w:r>
              <w:rPr>
                <w:rFonts w:ascii="宋体" w:hAnsi="宋体" w:eastAsia="宋体"/>
                <w:sz w:val="16"/>
              </w:rPr>
              <w:t>135.00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D45C41">
            <w:pPr>
              <w:jc w:val="center"/>
            </w:pPr>
            <w:r>
              <w:rPr>
                <w:rFonts w:ascii="宋体" w:hAnsi="宋体" w:eastAsia="宋体"/>
                <w:sz w:val="16"/>
              </w:rPr>
              <w:t>129.07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9460C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80FA3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08623E">
            <w:pPr>
              <w:jc w:val="center"/>
            </w:pPr>
            <w:r>
              <w:rPr>
                <w:rFonts w:ascii="宋体" w:hAnsi="宋体" w:eastAsia="宋体"/>
                <w:sz w:val="16"/>
              </w:rPr>
              <w:t>-</w:t>
            </w:r>
          </w:p>
        </w:tc>
      </w:tr>
      <w:tr w14:paraId="2903F26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7C8F72">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F40B362">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6A30595">
            <w:pPr>
              <w:jc w:val="center"/>
            </w:pPr>
            <w:r>
              <w:rPr>
                <w:rFonts w:ascii="宋体" w:hAnsi="宋体" w:eastAsia="宋体"/>
                <w:sz w:val="16"/>
              </w:rPr>
              <w:t>实际完成情况</w:t>
            </w:r>
          </w:p>
        </w:tc>
      </w:tr>
      <w:tr w14:paraId="51E06E5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57292D2"/>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34B0FA6">
            <w:pPr>
              <w:jc w:val="both"/>
            </w:pPr>
            <w:r>
              <w:rPr>
                <w:rFonts w:ascii="宋体" w:hAnsi="宋体" w:eastAsia="宋体"/>
                <w:sz w:val="16"/>
              </w:rPr>
              <w:t>慢性病筛查45909人，安全套发放4000个。慢性病</w:t>
            </w:r>
            <w:r>
              <w:rPr>
                <w:rFonts w:hint="eastAsia" w:ascii="宋体" w:hAnsi="宋体"/>
                <w:sz w:val="16"/>
                <w:lang w:eastAsia="zh-CN"/>
              </w:rPr>
              <w:t>病例</w:t>
            </w:r>
            <w:r>
              <w:rPr>
                <w:rFonts w:ascii="宋体" w:hAnsi="宋体" w:eastAsia="宋体"/>
                <w:sz w:val="16"/>
              </w:rPr>
              <w:t>报告信息完整并及时报告比率100%，首次流调质量合格率80%，慢性病毒感染者/病人随访CD4检测率100 %，接受慢性病检查比例100%，慢性病毒感染者/病人配偶/固定性拉HIV抗体检测率100%，慢性病毒感染者/病人治疗覆盖率100%，CD4检测率100%，病毒载量检测率96%。利用各宣传日在街道进行健康知识宣传、咨询活动。结合“营养周”“无烟日”“爱眼日”“爱牙日”“全国科普日”“全民</w:t>
            </w:r>
            <w:r>
              <w:rPr>
                <w:rFonts w:hint="eastAsia" w:ascii="宋体" w:hAnsi="宋体"/>
                <w:sz w:val="16"/>
                <w:lang w:eastAsia="zh-CN"/>
              </w:rPr>
              <w:t>健康</w:t>
            </w:r>
            <w:r>
              <w:rPr>
                <w:rFonts w:ascii="宋体" w:hAnsi="宋体" w:eastAsia="宋体"/>
                <w:sz w:val="16"/>
              </w:rPr>
              <w:t>生活方式日”等宣传日，进行公众健康宣传和咨询活动。同时悬挂各类横幅20条、展板14个、贴宣传画海报64余份，发放健康教育印刷资料12余种，发放健康教育印刷资料14000余本、宣传物品3800余件。新冠感染视频培训46场次，联合文广局电视广播、</w:t>
            </w:r>
            <w:r>
              <w:rPr>
                <w:rFonts w:hint="eastAsia" w:ascii="宋体" w:hAnsi="宋体"/>
                <w:sz w:val="16"/>
                <w:lang w:eastAsia="zh-CN"/>
              </w:rPr>
              <w:t>抖</w:t>
            </w:r>
            <w:r>
              <w:rPr>
                <w:rFonts w:ascii="宋体" w:hAnsi="宋体" w:eastAsia="宋体"/>
                <w:sz w:val="16"/>
              </w:rPr>
              <w:t>音等方式开展健康教育30次，</w:t>
            </w:r>
            <w:r>
              <w:rPr>
                <w:rFonts w:hint="eastAsia" w:ascii="宋体" w:hAnsi="宋体"/>
                <w:sz w:val="16"/>
                <w:lang w:eastAsia="zh-CN"/>
              </w:rPr>
              <w:t>受益</w:t>
            </w:r>
            <w:r>
              <w:rPr>
                <w:rFonts w:ascii="宋体" w:hAnsi="宋体" w:eastAsia="宋体"/>
                <w:sz w:val="16"/>
              </w:rPr>
              <w:t>人数4万余人。慢性病防治工作:继续完善慢性病“三位一体”防治工作。定点医院接诊疑似病人188人，发现登记活动性慢性病78人，痰培养率 100%，规范管理率98%传染病病例报告信息完整及时报告率=100%，传染病病例接受检查比例=100%，传染病信息管理系统和</w:t>
            </w:r>
            <w:r>
              <w:rPr>
                <w:rFonts w:hint="eastAsia" w:ascii="宋体" w:hAnsi="宋体"/>
                <w:sz w:val="16"/>
                <w:lang w:eastAsia="zh-CN"/>
              </w:rPr>
              <w:t>防疫</w:t>
            </w:r>
            <w:r>
              <w:rPr>
                <w:rFonts w:ascii="宋体" w:hAnsi="宋体" w:eastAsia="宋体"/>
                <w:sz w:val="16"/>
              </w:rPr>
              <w:t>信息一致率=100%，全县儿童接种率&gt;=99%，传染病病人治疗覆盖率=100%，发放健康教育印刷资料数&gt;=14000本，视频培训次数&gt;=46次。</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6242812">
            <w:pPr>
              <w:jc w:val="both"/>
            </w:pPr>
            <w:r>
              <w:rPr>
                <w:rFonts w:ascii="宋体" w:hAnsi="宋体" w:eastAsia="宋体"/>
                <w:sz w:val="16"/>
              </w:rPr>
              <w:t>慢性病病例报告信息完整并及时报告比率100%，首次流调质量合格率80%，慢性病毒感染者/病人随访CD4检测率100 %，接受慢性病检查比例100%，慢性病毒感染者/病人配偶/固定性拉HIV抗体检测率100%，慢性病毒感染者/病人治疗覆盖率100%，CD4检测率100%，病毒载量检测率96%。利用各宣传日在街道进行健康知识宣传、咨询活动。结合“营养周”“无烟日”“爱眼日”“爱牙日”“全国科普日”“全民</w:t>
            </w:r>
            <w:r>
              <w:rPr>
                <w:rFonts w:hint="eastAsia" w:ascii="宋体" w:hAnsi="宋体"/>
                <w:sz w:val="16"/>
                <w:lang w:eastAsia="zh-CN"/>
              </w:rPr>
              <w:t>健康</w:t>
            </w:r>
            <w:r>
              <w:rPr>
                <w:rFonts w:ascii="宋体" w:hAnsi="宋体" w:eastAsia="宋体"/>
                <w:sz w:val="16"/>
              </w:rPr>
              <w:t>生活方式日”等宣传日，进行公众健康宣传和咨询活动。同时悬挂各类横幅20条、展板14个、贴宣传画海报64余份，发放健康教育印刷资料12余种，发放健康教育印刷资料14000余本、宣传物品3800余件。新冠感染视频培训46场次，联合文广局电视广播、</w:t>
            </w:r>
            <w:r>
              <w:rPr>
                <w:rFonts w:hint="eastAsia" w:ascii="宋体" w:hAnsi="宋体"/>
                <w:sz w:val="16"/>
                <w:lang w:eastAsia="zh-CN"/>
              </w:rPr>
              <w:t>抖</w:t>
            </w:r>
            <w:r>
              <w:rPr>
                <w:rFonts w:ascii="宋体" w:hAnsi="宋体" w:eastAsia="宋体"/>
                <w:sz w:val="16"/>
              </w:rPr>
              <w:t>音等方式开展健康教育30次，</w:t>
            </w:r>
            <w:r>
              <w:rPr>
                <w:rFonts w:hint="eastAsia" w:ascii="宋体" w:hAnsi="宋体"/>
                <w:sz w:val="16"/>
                <w:lang w:eastAsia="zh-CN"/>
              </w:rPr>
              <w:t>受益</w:t>
            </w:r>
            <w:r>
              <w:rPr>
                <w:rFonts w:ascii="宋体" w:hAnsi="宋体" w:eastAsia="宋体"/>
                <w:sz w:val="16"/>
              </w:rPr>
              <w:t>人数4万余人。慢性病防治工作:继续完善慢性病“三位一体”防治工作。定点医院接诊疑似病人188人，发现登记活动性慢性病78人，痰培养率 100%，规范管理率98%传染病病例报告信息完整及时报告率=100%，传染病病例接受检查比例=100%，传染病信息管理系统和</w:t>
            </w:r>
            <w:r>
              <w:rPr>
                <w:rFonts w:hint="eastAsia" w:ascii="宋体" w:hAnsi="宋体"/>
                <w:sz w:val="16"/>
                <w:lang w:eastAsia="zh-CN"/>
              </w:rPr>
              <w:t>防疫</w:t>
            </w:r>
            <w:r>
              <w:rPr>
                <w:rFonts w:ascii="宋体" w:hAnsi="宋体" w:eastAsia="宋体"/>
                <w:sz w:val="16"/>
              </w:rPr>
              <w:t>信息一致率=100%，全县儿童接种率&gt;=99%，传染病病人治疗覆盖率=100%，发放健康教育印刷资料数&gt;=14000本，视频培训次数&gt;=46次。</w:t>
            </w:r>
          </w:p>
        </w:tc>
      </w:tr>
      <w:tr w14:paraId="29953BB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269BB5">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012BF6">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09A4B4">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36211D">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637A0D">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27CB89">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0AF63B">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43FAEE">
            <w:pPr>
              <w:jc w:val="center"/>
            </w:pPr>
            <w:r>
              <w:rPr>
                <w:rFonts w:ascii="宋体" w:hAnsi="宋体" w:eastAsia="宋体"/>
                <w:sz w:val="16"/>
              </w:rPr>
              <w:t>得分</w:t>
            </w:r>
          </w:p>
        </w:tc>
      </w:tr>
      <w:tr w14:paraId="715B5F6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756FEF">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72110F">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294096">
            <w:pPr>
              <w:jc w:val="center"/>
            </w:pPr>
            <w:r>
              <w:rPr>
                <w:rFonts w:ascii="宋体" w:hAnsi="宋体" w:eastAsia="宋体"/>
                <w:sz w:val="16"/>
              </w:rPr>
              <w:t>发放健康教育印刷资料数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2BA9E8">
            <w:pPr>
              <w:jc w:val="center"/>
            </w:pPr>
            <w:r>
              <w:rPr>
                <w:rFonts w:ascii="宋体" w:hAnsi="宋体" w:eastAsia="宋体"/>
                <w:sz w:val="16"/>
              </w:rPr>
              <w:t>&gt;=14000本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AAE209">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A6932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EFC2D2">
            <w:pPr>
              <w:jc w:val="center"/>
            </w:pPr>
            <w:r>
              <w:rPr>
                <w:rFonts w:ascii="宋体" w:hAnsi="宋体" w:eastAsia="宋体"/>
                <w:sz w:val="16"/>
              </w:rPr>
              <w:t>14000本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A24291">
            <w:pPr>
              <w:jc w:val="center"/>
            </w:pPr>
            <w:r>
              <w:rPr>
                <w:rFonts w:ascii="宋体" w:hAnsi="宋体" w:eastAsia="宋体"/>
                <w:sz w:val="16"/>
              </w:rPr>
              <w:t>10</w:t>
            </w:r>
          </w:p>
        </w:tc>
      </w:tr>
      <w:tr w14:paraId="07EDA39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4509AF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E7A439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3D39D1">
            <w:pPr>
              <w:jc w:val="center"/>
            </w:pPr>
            <w:r>
              <w:rPr>
                <w:rFonts w:ascii="宋体" w:hAnsi="宋体" w:eastAsia="宋体"/>
                <w:sz w:val="16"/>
              </w:rPr>
              <w:t>视频培训次数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58C0F5">
            <w:pPr>
              <w:jc w:val="center"/>
            </w:pPr>
            <w:r>
              <w:rPr>
                <w:rFonts w:ascii="宋体" w:hAnsi="宋体" w:eastAsia="宋体"/>
                <w:sz w:val="16"/>
              </w:rPr>
              <w:t>&gt;=46次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ABB7F8">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9F308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101C2B">
            <w:pPr>
              <w:jc w:val="center"/>
            </w:pPr>
            <w:r>
              <w:rPr>
                <w:rFonts w:ascii="宋体" w:hAnsi="宋体" w:eastAsia="宋体"/>
                <w:sz w:val="16"/>
              </w:rPr>
              <w:t>46次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DF8DEC">
            <w:pPr>
              <w:jc w:val="center"/>
            </w:pPr>
            <w:r>
              <w:rPr>
                <w:rFonts w:ascii="宋体" w:hAnsi="宋体" w:eastAsia="宋体"/>
                <w:sz w:val="16"/>
              </w:rPr>
              <w:t>10</w:t>
            </w:r>
          </w:p>
        </w:tc>
      </w:tr>
      <w:tr w14:paraId="18FE67B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DEC73F5"/>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2333AD">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5BBF2D">
            <w:pPr>
              <w:jc w:val="center"/>
            </w:pPr>
            <w:r>
              <w:rPr>
                <w:rFonts w:ascii="宋体" w:hAnsi="宋体" w:eastAsia="宋体"/>
                <w:sz w:val="16"/>
              </w:rPr>
              <w:t>传染病病例报告信息完整</w:t>
            </w:r>
            <w:r>
              <w:rPr>
                <w:rFonts w:hint="eastAsia" w:ascii="宋体" w:hAnsi="宋体"/>
                <w:sz w:val="16"/>
                <w:lang w:eastAsia="zh-CN"/>
              </w:rPr>
              <w:t>及</w:t>
            </w:r>
            <w:r>
              <w:rPr>
                <w:rFonts w:ascii="宋体" w:hAnsi="宋体" w:eastAsia="宋体"/>
                <w:sz w:val="16"/>
              </w:rPr>
              <w:t>时报告率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ABA14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1C0893">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DDF564">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CC7F5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C15DA3">
            <w:pPr>
              <w:jc w:val="center"/>
            </w:pPr>
            <w:r>
              <w:rPr>
                <w:rFonts w:ascii="宋体" w:hAnsi="宋体" w:eastAsia="宋体"/>
                <w:sz w:val="16"/>
              </w:rPr>
              <w:t>15</w:t>
            </w:r>
          </w:p>
        </w:tc>
      </w:tr>
      <w:tr w14:paraId="0B9C3AC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7CBDB0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86B458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B24E46">
            <w:pPr>
              <w:jc w:val="center"/>
            </w:pPr>
            <w:r>
              <w:rPr>
                <w:rFonts w:ascii="宋体" w:hAnsi="宋体" w:eastAsia="宋体"/>
                <w:sz w:val="16"/>
              </w:rPr>
              <w:t>传染病病例接受检查比例</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9012A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77DB11">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D82C75">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DB829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5E4D80">
            <w:pPr>
              <w:jc w:val="center"/>
            </w:pPr>
            <w:r>
              <w:rPr>
                <w:rFonts w:ascii="宋体" w:hAnsi="宋体" w:eastAsia="宋体"/>
                <w:sz w:val="16"/>
              </w:rPr>
              <w:t>15</w:t>
            </w:r>
          </w:p>
        </w:tc>
      </w:tr>
      <w:tr w14:paraId="3D9132E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9A7465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B0AC4C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17FFA5">
            <w:pPr>
              <w:jc w:val="center"/>
            </w:pPr>
            <w:r>
              <w:rPr>
                <w:rFonts w:ascii="宋体" w:hAnsi="宋体" w:eastAsia="宋体"/>
                <w:sz w:val="16"/>
              </w:rPr>
              <w:t>传染病信息管理系统和</w:t>
            </w:r>
            <w:r>
              <w:rPr>
                <w:rFonts w:hint="eastAsia" w:ascii="宋体" w:hAnsi="宋体"/>
                <w:sz w:val="16"/>
                <w:lang w:eastAsia="zh-CN"/>
              </w:rPr>
              <w:t>防疫</w:t>
            </w:r>
            <w:r>
              <w:rPr>
                <w:rFonts w:ascii="宋体" w:hAnsi="宋体" w:eastAsia="宋体"/>
                <w:sz w:val="16"/>
              </w:rPr>
              <w:t>信息一致率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DE4D0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5E14AE">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05EE1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8E889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0D5205">
            <w:pPr>
              <w:jc w:val="center"/>
            </w:pPr>
            <w:r>
              <w:rPr>
                <w:rFonts w:ascii="宋体" w:hAnsi="宋体" w:eastAsia="宋体"/>
                <w:sz w:val="16"/>
              </w:rPr>
              <w:t>10</w:t>
            </w:r>
          </w:p>
        </w:tc>
      </w:tr>
      <w:tr w14:paraId="7588CAD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9D1F0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A235B0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A4B116">
            <w:pPr>
              <w:jc w:val="center"/>
            </w:pPr>
            <w:r>
              <w:rPr>
                <w:rFonts w:ascii="宋体" w:hAnsi="宋体" w:eastAsia="宋体"/>
                <w:sz w:val="16"/>
              </w:rPr>
              <w:t>全县儿童接种率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C651D9">
            <w:pPr>
              <w:jc w:val="center"/>
            </w:pPr>
            <w:r>
              <w:rPr>
                <w:rFonts w:ascii="宋体" w:hAnsi="宋体" w:eastAsia="宋体"/>
                <w:sz w:val="16"/>
              </w:rPr>
              <w:t>&gt;=99%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32D367">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BA7B2B">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50852E">
            <w:pPr>
              <w:jc w:val="center"/>
            </w:pPr>
            <w:r>
              <w:rPr>
                <w:rFonts w:ascii="宋体" w:hAnsi="宋体" w:eastAsia="宋体"/>
                <w:sz w:val="16"/>
              </w:rPr>
              <w:t>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E86244">
            <w:pPr>
              <w:jc w:val="center"/>
            </w:pPr>
            <w:r>
              <w:rPr>
                <w:rFonts w:ascii="宋体" w:hAnsi="宋体" w:eastAsia="宋体"/>
                <w:sz w:val="16"/>
              </w:rPr>
              <w:t>15</w:t>
            </w:r>
          </w:p>
        </w:tc>
      </w:tr>
      <w:tr w14:paraId="0A61EC9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E20D74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EBD2B2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5C7984">
            <w:pPr>
              <w:jc w:val="center"/>
            </w:pPr>
            <w:r>
              <w:rPr>
                <w:rFonts w:ascii="宋体" w:hAnsi="宋体" w:eastAsia="宋体"/>
                <w:sz w:val="16"/>
              </w:rPr>
              <w:t>传染病病人治疗覆盖率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0CC76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548AA2">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32228F">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36A13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C4F15D">
            <w:pPr>
              <w:jc w:val="center"/>
            </w:pPr>
            <w:r>
              <w:rPr>
                <w:rFonts w:ascii="宋体" w:hAnsi="宋体" w:eastAsia="宋体"/>
                <w:sz w:val="16"/>
              </w:rPr>
              <w:t>15</w:t>
            </w:r>
          </w:p>
        </w:tc>
      </w:tr>
    </w:tbl>
    <w:p w14:paraId="5E438DEC">
      <w:r>
        <w:br w:type="page"/>
      </w:r>
    </w:p>
    <w:tbl>
      <w:tblPr>
        <w:tblStyle w:val="9"/>
        <w:tblW w:w="0" w:type="auto"/>
        <w:tblInd w:w="0" w:type="dxa"/>
        <w:tblLayout w:type="autofit"/>
        <w:tblCellMar>
          <w:top w:w="0" w:type="dxa"/>
          <w:left w:w="108" w:type="dxa"/>
          <w:bottom w:w="0" w:type="dxa"/>
          <w:right w:w="108" w:type="dxa"/>
        </w:tblCellMar>
      </w:tblPr>
      <w:tblGrid>
        <w:gridCol w:w="622"/>
        <w:gridCol w:w="605"/>
        <w:gridCol w:w="605"/>
        <w:gridCol w:w="605"/>
        <w:gridCol w:w="856"/>
        <w:gridCol w:w="605"/>
        <w:gridCol w:w="605"/>
        <w:gridCol w:w="614"/>
        <w:gridCol w:w="605"/>
        <w:gridCol w:w="614"/>
        <w:gridCol w:w="776"/>
        <w:gridCol w:w="622"/>
        <w:gridCol w:w="696"/>
        <w:gridCol w:w="630"/>
      </w:tblGrid>
      <w:tr w14:paraId="4C211419">
        <w:tblPrEx>
          <w:tblCellMar>
            <w:top w:w="0" w:type="dxa"/>
            <w:left w:w="108" w:type="dxa"/>
            <w:bottom w:w="0" w:type="dxa"/>
            <w:right w:w="108" w:type="dxa"/>
          </w:tblCellMar>
        </w:tblPrEx>
        <w:tc>
          <w:tcPr>
            <w:tcW w:w="8848" w:type="dxa"/>
            <w:gridSpan w:val="14"/>
            <w:vAlign w:val="center"/>
          </w:tcPr>
          <w:p w14:paraId="175FC6CB">
            <w:pPr>
              <w:jc w:val="center"/>
            </w:pPr>
            <w:r>
              <w:rPr>
                <w:rFonts w:ascii="宋体" w:hAnsi="宋体" w:eastAsia="宋体"/>
                <w:sz w:val="24"/>
              </w:rPr>
              <w:t>项目支出绩效自评表</w:t>
            </w:r>
          </w:p>
        </w:tc>
      </w:tr>
      <w:tr w14:paraId="1E3DC4BE">
        <w:tblPrEx>
          <w:tblCellMar>
            <w:top w:w="0" w:type="dxa"/>
            <w:left w:w="108" w:type="dxa"/>
            <w:bottom w:w="0" w:type="dxa"/>
            <w:right w:w="108" w:type="dxa"/>
          </w:tblCellMar>
        </w:tblPrEx>
        <w:tc>
          <w:tcPr>
            <w:tcW w:w="8848" w:type="dxa"/>
            <w:gridSpan w:val="14"/>
            <w:vAlign w:val="center"/>
          </w:tcPr>
          <w:p w14:paraId="05E898D6">
            <w:pPr>
              <w:jc w:val="center"/>
            </w:pPr>
            <w:r>
              <w:rPr>
                <w:rFonts w:ascii="宋体" w:hAnsi="宋体" w:eastAsia="宋体"/>
                <w:sz w:val="24"/>
              </w:rPr>
              <w:t>(2024年度)</w:t>
            </w:r>
          </w:p>
        </w:tc>
      </w:tr>
      <w:tr w14:paraId="59CBA0C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3ACC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2E84E0E">
            <w:pPr>
              <w:jc w:val="center"/>
            </w:pPr>
            <w:r>
              <w:rPr>
                <w:rFonts w:ascii="宋体" w:hAnsi="宋体" w:eastAsia="宋体"/>
                <w:sz w:val="16"/>
              </w:rPr>
              <w:t>2024年单位资金</w:t>
            </w:r>
            <w:r>
              <w:rPr>
                <w:rFonts w:hint="eastAsia" w:ascii="宋体" w:hAnsi="宋体"/>
                <w:sz w:val="16"/>
                <w:lang w:eastAsia="zh-CN"/>
              </w:rPr>
              <w:t>－</w:t>
            </w:r>
            <w:r>
              <w:rPr>
                <w:rFonts w:ascii="宋体" w:hAnsi="宋体" w:eastAsia="宋体"/>
                <w:sz w:val="16"/>
              </w:rPr>
              <w:t>托里县疾病预防控制中心收入</w:t>
            </w:r>
          </w:p>
        </w:tc>
      </w:tr>
      <w:tr w14:paraId="02572C5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BAEF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D63AEE">
            <w:pPr>
              <w:jc w:val="center"/>
            </w:pPr>
            <w:r>
              <w:rPr>
                <w:rFonts w:ascii="宋体" w:hAnsi="宋体" w:eastAsia="宋体"/>
                <w:sz w:val="16"/>
              </w:rPr>
              <w:t>托里县疾病预防控制中心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177E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76BE130">
            <w:pPr>
              <w:jc w:val="center"/>
            </w:pPr>
            <w:r>
              <w:rPr>
                <w:rFonts w:ascii="宋体" w:hAnsi="宋体" w:eastAsia="宋体"/>
                <w:sz w:val="16"/>
              </w:rPr>
              <w:t>托里县疾病预防控制中心</w:t>
            </w:r>
          </w:p>
        </w:tc>
      </w:tr>
      <w:tr w14:paraId="46653EF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6F43D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E1E2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B656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3F2A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CEAA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56AC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9F53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B88A1">
            <w:pPr>
              <w:jc w:val="center"/>
            </w:pPr>
            <w:r>
              <w:rPr>
                <w:rFonts w:ascii="宋体" w:hAnsi="宋体" w:eastAsia="宋体"/>
                <w:sz w:val="16"/>
              </w:rPr>
              <w:t>得分</w:t>
            </w:r>
          </w:p>
        </w:tc>
      </w:tr>
      <w:tr w14:paraId="2CB6D7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43E2E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9C79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5C07C">
            <w:pPr>
              <w:jc w:val="center"/>
            </w:pPr>
            <w:r>
              <w:rPr>
                <w:rFonts w:ascii="宋体" w:hAnsi="宋体" w:eastAsia="宋体"/>
                <w:sz w:val="16"/>
              </w:rPr>
              <w:t>135.00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42535">
            <w:pPr>
              <w:jc w:val="center"/>
            </w:pPr>
            <w:r>
              <w:rPr>
                <w:rFonts w:ascii="宋体" w:hAnsi="宋体" w:eastAsia="宋体"/>
                <w:sz w:val="16"/>
              </w:rPr>
              <w:t>129.07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5F24B">
            <w:pPr>
              <w:jc w:val="center"/>
            </w:pPr>
            <w:r>
              <w:rPr>
                <w:rFonts w:ascii="宋体" w:hAnsi="宋体" w:eastAsia="宋体"/>
                <w:sz w:val="16"/>
              </w:rPr>
              <w:t>129.07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5D9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EEF0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54878">
            <w:pPr>
              <w:jc w:val="center"/>
            </w:pPr>
            <w:r>
              <w:rPr>
                <w:rFonts w:ascii="宋体" w:hAnsi="宋体" w:eastAsia="宋体"/>
                <w:sz w:val="16"/>
              </w:rPr>
              <w:t>10.00</w:t>
            </w:r>
          </w:p>
        </w:tc>
      </w:tr>
      <w:tr w14:paraId="5913EA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301D6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A1BE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4A1B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6BE0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E520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E96B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30ED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45161">
            <w:pPr>
              <w:jc w:val="center"/>
            </w:pPr>
            <w:r>
              <w:rPr>
                <w:rFonts w:ascii="宋体" w:hAnsi="宋体" w:eastAsia="宋体"/>
                <w:sz w:val="16"/>
              </w:rPr>
              <w:t>—</w:t>
            </w:r>
          </w:p>
        </w:tc>
      </w:tr>
      <w:tr w14:paraId="2B6A8E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E15C0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7167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BDEF3">
            <w:pPr>
              <w:jc w:val="center"/>
            </w:pPr>
            <w:r>
              <w:rPr>
                <w:rFonts w:ascii="宋体" w:hAnsi="宋体" w:eastAsia="宋体"/>
                <w:sz w:val="16"/>
              </w:rPr>
              <w:t>135.00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AE5C3">
            <w:pPr>
              <w:jc w:val="center"/>
            </w:pPr>
            <w:r>
              <w:rPr>
                <w:rFonts w:ascii="宋体" w:hAnsi="宋体" w:eastAsia="宋体"/>
                <w:sz w:val="16"/>
              </w:rPr>
              <w:t>129.07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46D6D">
            <w:pPr>
              <w:jc w:val="center"/>
            </w:pPr>
            <w:r>
              <w:rPr>
                <w:rFonts w:ascii="宋体" w:hAnsi="宋体" w:eastAsia="宋体"/>
                <w:sz w:val="16"/>
              </w:rPr>
              <w:t>129.07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5A83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D9D13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2F0CA">
            <w:pPr>
              <w:jc w:val="center"/>
            </w:pPr>
            <w:r>
              <w:rPr>
                <w:rFonts w:ascii="宋体" w:hAnsi="宋体" w:eastAsia="宋体"/>
                <w:sz w:val="16"/>
              </w:rPr>
              <w:t>—</w:t>
            </w:r>
          </w:p>
        </w:tc>
      </w:tr>
      <w:tr w14:paraId="0BE4FCC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ED3C7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C334B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61A22C">
            <w:pPr>
              <w:jc w:val="center"/>
            </w:pPr>
            <w:r>
              <w:rPr>
                <w:rFonts w:ascii="宋体" w:hAnsi="宋体" w:eastAsia="宋体"/>
                <w:sz w:val="16"/>
              </w:rPr>
              <w:t>实际完成情况</w:t>
            </w:r>
          </w:p>
        </w:tc>
      </w:tr>
      <w:tr w14:paraId="53415E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0DB07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FB2D08">
            <w:pPr>
              <w:jc w:val="both"/>
            </w:pPr>
            <w:r>
              <w:rPr>
                <w:rFonts w:ascii="宋体" w:hAnsi="宋体" w:eastAsia="宋体"/>
                <w:sz w:val="16"/>
              </w:rPr>
              <w:t>托里县疾病预防控制中心业务工作经费及疫苗款资金129.07万元，主要用于支付1200人体检工作及办公经费和2000支疫苗的采购，提升工作人员的工作能力，保证学生体检工作及免疫规划工作，工作人员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17B230">
            <w:pPr>
              <w:jc w:val="both"/>
            </w:pPr>
            <w:r>
              <w:rPr>
                <w:rFonts w:ascii="宋体" w:hAnsi="宋体" w:eastAsia="宋体"/>
                <w:sz w:val="16"/>
              </w:rPr>
              <w:t>托里县疾病预防控制中心业务工作经费及疫苗款资金129.07万元，主要用于支付1200人体检工作及办公经费和2000支疫苗的采购，提升工作人员的工作能力，保证学生体检工作及免疫规划工作，工作人员满意度达到95%。</w:t>
            </w:r>
            <w:r>
              <w:rPr>
                <w:rFonts w:ascii="宋体" w:hAnsi="宋体" w:eastAsia="宋体"/>
                <w:sz w:val="16"/>
              </w:rPr>
              <w:br w:type="textWrapping"/>
            </w:r>
          </w:p>
        </w:tc>
      </w:tr>
      <w:tr w14:paraId="6BD88A7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91F6F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E7CB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77C4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7C0A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B7B3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C212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9E44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3803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B7740">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4438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2D93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48DE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21770">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5BA44">
            <w:pPr>
              <w:jc w:val="center"/>
            </w:pPr>
            <w:r>
              <w:rPr>
                <w:rFonts w:ascii="宋体" w:hAnsi="宋体" w:eastAsia="宋体"/>
                <w:sz w:val="16"/>
              </w:rPr>
              <w:t>偏差原因分析及改进措施</w:t>
            </w:r>
          </w:p>
        </w:tc>
      </w:tr>
      <w:tr w14:paraId="446556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F845B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7CF88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9F74F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22EE5">
            <w:pPr>
              <w:jc w:val="center"/>
            </w:pPr>
            <w:r>
              <w:rPr>
                <w:rFonts w:ascii="宋体" w:hAnsi="宋体" w:eastAsia="宋体"/>
                <w:sz w:val="16"/>
              </w:rPr>
              <w:t>参加学生体检人数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5F494">
            <w:pPr>
              <w:jc w:val="center"/>
            </w:pPr>
            <w:r>
              <w:rPr>
                <w:rFonts w:ascii="宋体" w:hAnsi="宋体" w:eastAsia="宋体"/>
                <w:sz w:val="16"/>
              </w:rPr>
              <w:t>&gt;=1200人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623D6">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CB78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5141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D24B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34DB0">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C5E84">
            <w:pPr>
              <w:jc w:val="center"/>
            </w:pPr>
            <w:r>
              <w:rPr>
                <w:rFonts w:ascii="宋体" w:hAnsi="宋体" w:eastAsia="宋体"/>
                <w:sz w:val="16"/>
              </w:rPr>
              <w:t>=1200人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4F4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D900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0B6A1">
            <w:pPr>
              <w:jc w:val="center"/>
            </w:pPr>
          </w:p>
        </w:tc>
      </w:tr>
      <w:tr w14:paraId="5D8B2B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5A48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37AA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E305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DADEA">
            <w:pPr>
              <w:jc w:val="center"/>
            </w:pPr>
            <w:r>
              <w:rPr>
                <w:rFonts w:ascii="宋体" w:hAnsi="宋体" w:eastAsia="宋体"/>
                <w:sz w:val="16"/>
              </w:rPr>
              <w:t>购买疫苗数量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4EFD0">
            <w:pPr>
              <w:jc w:val="center"/>
            </w:pPr>
            <w:r>
              <w:rPr>
                <w:rFonts w:ascii="宋体" w:hAnsi="宋体" w:eastAsia="宋体"/>
                <w:sz w:val="16"/>
              </w:rPr>
              <w:t>&gt;=2000支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F499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1043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FF8F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A21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D913E">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9FC42">
            <w:pPr>
              <w:jc w:val="center"/>
            </w:pPr>
            <w:r>
              <w:rPr>
                <w:rFonts w:ascii="宋体" w:hAnsi="宋体" w:eastAsia="宋体"/>
                <w:sz w:val="16"/>
              </w:rPr>
              <w:t>=2000支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3E0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FD7B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C512F">
            <w:pPr>
              <w:jc w:val="center"/>
            </w:pPr>
          </w:p>
        </w:tc>
      </w:tr>
      <w:tr w14:paraId="2966FB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8A92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9713B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CCCDE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62A6D">
            <w:pPr>
              <w:jc w:val="center"/>
            </w:pPr>
            <w:r>
              <w:rPr>
                <w:rFonts w:ascii="宋体" w:hAnsi="宋体" w:eastAsia="宋体"/>
                <w:sz w:val="16"/>
              </w:rPr>
              <w:t>体检任务完成率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7D1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EA20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0AF8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35A3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063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AD2A1">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897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C9B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FA50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1E801">
            <w:pPr>
              <w:jc w:val="center"/>
            </w:pPr>
          </w:p>
        </w:tc>
      </w:tr>
      <w:tr w14:paraId="1257FA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7261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6489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8B84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BE5D5">
            <w:pPr>
              <w:jc w:val="center"/>
            </w:pPr>
            <w:r>
              <w:rPr>
                <w:rFonts w:ascii="宋体" w:hAnsi="宋体" w:eastAsia="宋体"/>
                <w:sz w:val="16"/>
              </w:rPr>
              <w:t>疫苗品质合格率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A18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C690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76FC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9252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D9F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F6210">
            <w:pPr>
              <w:jc w:val="center"/>
            </w:pPr>
            <w:r>
              <w:rPr>
                <w:rFonts w:ascii="宋体" w:hAnsi="宋体" w:eastAsia="宋体"/>
                <w:sz w:val="16"/>
              </w:rPr>
              <w:t>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902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7EA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BDEC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4D7AB">
            <w:pPr>
              <w:jc w:val="center"/>
            </w:pPr>
          </w:p>
        </w:tc>
      </w:tr>
      <w:tr w14:paraId="783841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BCF2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6F70D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35F5A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CD182">
            <w:pPr>
              <w:jc w:val="center"/>
            </w:pPr>
            <w:r>
              <w:rPr>
                <w:rFonts w:ascii="宋体" w:hAnsi="宋体" w:eastAsia="宋体"/>
                <w:sz w:val="16"/>
              </w:rPr>
              <w:t>学生体检工作及时率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038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07B76">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7D40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2C38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22C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1F704">
            <w:pPr>
              <w:jc w:val="center"/>
            </w:pPr>
            <w:r>
              <w:rPr>
                <w:rFonts w:ascii="宋体" w:hAnsi="宋体" w:eastAsia="宋体"/>
                <w:sz w:val="16"/>
              </w:rPr>
              <w:t>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898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604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32F3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40BA9">
            <w:pPr>
              <w:jc w:val="center"/>
            </w:pPr>
          </w:p>
        </w:tc>
      </w:tr>
      <w:tr w14:paraId="7EB1BA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AF43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BA0A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A46F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13D55">
            <w:pPr>
              <w:jc w:val="center"/>
            </w:pPr>
            <w:r>
              <w:rPr>
                <w:rFonts w:ascii="宋体" w:hAnsi="宋体" w:eastAsia="宋体"/>
                <w:sz w:val="16"/>
              </w:rPr>
              <w:t>体检完成时间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A0F5E">
            <w:pPr>
              <w:jc w:val="center"/>
            </w:pPr>
            <w:r>
              <w:rPr>
                <w:rFonts w:ascii="宋体" w:hAnsi="宋体" w:eastAsia="宋体"/>
                <w:sz w:val="16"/>
              </w:rPr>
              <w:t>2024年10月30日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590B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CDD4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8475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0D5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CA55E">
            <w:pPr>
              <w:jc w:val="center"/>
            </w:pPr>
            <w:r>
              <w:rPr>
                <w:rFonts w:ascii="宋体" w:hAnsi="宋体" w:eastAsia="宋体"/>
                <w:sz w:val="16"/>
              </w:rPr>
              <w:t>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E8BC2">
            <w:pPr>
              <w:jc w:val="center"/>
            </w:pPr>
            <w:r>
              <w:rPr>
                <w:rFonts w:ascii="宋体" w:hAnsi="宋体" w:eastAsia="宋体"/>
                <w:sz w:val="16"/>
              </w:rPr>
              <w:t>=2024年10月30日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264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B02F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610DF">
            <w:pPr>
              <w:jc w:val="center"/>
            </w:pPr>
          </w:p>
        </w:tc>
      </w:tr>
      <w:tr w14:paraId="3D2C36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348CB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F626F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E2898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D33C6">
            <w:pPr>
              <w:jc w:val="center"/>
            </w:pPr>
            <w:r>
              <w:rPr>
                <w:rFonts w:ascii="宋体" w:hAnsi="宋体" w:eastAsia="宋体"/>
                <w:sz w:val="16"/>
              </w:rPr>
              <w:t>学生体检金额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0FDE6">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86AB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E254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B478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4B4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F5189">
            <w:pPr>
              <w:jc w:val="center"/>
            </w:pPr>
            <w:r>
              <w:rPr>
                <w:rFonts w:ascii="宋体" w:hAnsi="宋体" w:eastAsia="宋体"/>
                <w:sz w:val="16"/>
              </w:rPr>
              <w:t>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B91B9">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758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330B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D1292">
            <w:pPr>
              <w:jc w:val="center"/>
            </w:pPr>
          </w:p>
        </w:tc>
      </w:tr>
      <w:tr w14:paraId="4CFAE4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D9E5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9261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39C4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185C5">
            <w:pPr>
              <w:jc w:val="center"/>
            </w:pPr>
            <w:r>
              <w:rPr>
                <w:rFonts w:ascii="宋体" w:hAnsi="宋体" w:eastAsia="宋体"/>
                <w:sz w:val="16"/>
              </w:rPr>
              <w:t>疫苗金额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B95CE">
            <w:pPr>
              <w:jc w:val="center"/>
            </w:pPr>
            <w:r>
              <w:rPr>
                <w:rFonts w:ascii="宋体" w:hAnsi="宋体" w:eastAsia="宋体"/>
                <w:sz w:val="16"/>
              </w:rPr>
              <w:t>&lt;=114.07万元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D938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9215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5AA05">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2EE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E6B16">
            <w:pPr>
              <w:jc w:val="center"/>
            </w:pPr>
            <w:r>
              <w:rPr>
                <w:rFonts w:ascii="宋体" w:hAnsi="宋体" w:eastAsia="宋体"/>
                <w:sz w:val="16"/>
              </w:rPr>
              <w:t>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50F81">
            <w:pPr>
              <w:jc w:val="center"/>
            </w:pPr>
            <w:r>
              <w:rPr>
                <w:rFonts w:ascii="宋体" w:hAnsi="宋体" w:eastAsia="宋体"/>
                <w:sz w:val="16"/>
              </w:rPr>
              <w:t>=114.07万元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E81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644F4">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04341">
            <w:pPr>
              <w:jc w:val="center"/>
            </w:pPr>
          </w:p>
        </w:tc>
      </w:tr>
      <w:tr w14:paraId="649B9F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9DBEB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5948E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6434E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07136">
            <w:pPr>
              <w:jc w:val="center"/>
            </w:pPr>
            <w:r>
              <w:rPr>
                <w:rFonts w:ascii="宋体" w:hAnsi="宋体" w:eastAsia="宋体"/>
                <w:sz w:val="16"/>
              </w:rPr>
              <w:t>提升工作人员工作能力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86804">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BEB19">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2326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D3D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A85E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A7B90">
            <w:pPr>
              <w:jc w:val="center"/>
            </w:pPr>
            <w:r>
              <w:rPr>
                <w:rFonts w:ascii="宋体" w:hAnsi="宋体" w:eastAsia="宋体"/>
                <w:sz w:val="16"/>
              </w:rPr>
              <w:t>说明材料,原始凭证,工作资料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37409">
            <w:pPr>
              <w:jc w:val="center"/>
            </w:pPr>
            <w:r>
              <w:rPr>
                <w:rFonts w:ascii="宋体" w:hAnsi="宋体" w:eastAsia="宋体"/>
                <w:sz w:val="16"/>
              </w:rPr>
              <w:t>有效提升</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84D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6E0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BFAFD">
            <w:pPr>
              <w:jc w:val="center"/>
            </w:pPr>
          </w:p>
        </w:tc>
      </w:tr>
      <w:tr w14:paraId="30696B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57D2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1A1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8E49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71257">
            <w:pPr>
              <w:jc w:val="center"/>
            </w:pPr>
            <w:r>
              <w:rPr>
                <w:rFonts w:ascii="宋体" w:hAnsi="宋体" w:eastAsia="宋体"/>
                <w:sz w:val="16"/>
              </w:rPr>
              <w:t>保证学生体检工作顺利开展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E04F7">
            <w:pPr>
              <w:jc w:val="center"/>
            </w:pPr>
            <w:r>
              <w:rPr>
                <w:rFonts w:ascii="宋体" w:hAnsi="宋体" w:eastAsia="宋体"/>
                <w:sz w:val="16"/>
              </w:rPr>
              <w:t>有效保证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FC9B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9CC6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73F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967F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2C69F">
            <w:pPr>
              <w:jc w:val="center"/>
            </w:pPr>
            <w:r>
              <w:rPr>
                <w:rFonts w:ascii="宋体" w:hAnsi="宋体" w:eastAsia="宋体"/>
                <w:sz w:val="16"/>
              </w:rPr>
              <w:t>原始凭证,工作资料,说明材料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C0C89">
            <w:pPr>
              <w:jc w:val="center"/>
            </w:pPr>
            <w:r>
              <w:rPr>
                <w:rFonts w:ascii="宋体" w:hAnsi="宋体" w:eastAsia="宋体"/>
                <w:sz w:val="16"/>
              </w:rPr>
              <w:t>有效保证</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5AA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E91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4C6C8">
            <w:pPr>
              <w:jc w:val="center"/>
            </w:pPr>
          </w:p>
        </w:tc>
      </w:tr>
      <w:tr w14:paraId="5E5280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CAD4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3836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5503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09818">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098F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A7F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CC38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B85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4D79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BB70E">
            <w:pPr>
              <w:jc w:val="center"/>
            </w:pPr>
            <w:r>
              <w:rPr>
                <w:rFonts w:ascii="宋体" w:hAnsi="宋体" w:eastAsia="宋体"/>
                <w:sz w:val="16"/>
              </w:rPr>
              <w:t>说明材料,原始凭证,工作资料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89CE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C7F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7A0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7196E">
            <w:pPr>
              <w:jc w:val="center"/>
            </w:pPr>
          </w:p>
        </w:tc>
      </w:tr>
      <w:tr w14:paraId="423EFAE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885475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552F0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6CEE2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8F40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26B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F15D7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12AFB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C1CA3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0D7D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36DFC">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386A44"/>
        </w:tc>
      </w:tr>
    </w:tbl>
    <w:p w14:paraId="4B85886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084E0DF5">
        <w:tc>
          <w:tcPr>
            <w:tcW w:w="8848" w:type="dxa"/>
            <w:gridSpan w:val="14"/>
            <w:vAlign w:val="center"/>
          </w:tcPr>
          <w:p w14:paraId="3719A349">
            <w:pPr>
              <w:jc w:val="center"/>
            </w:pPr>
            <w:r>
              <w:rPr>
                <w:rFonts w:ascii="宋体" w:hAnsi="宋体" w:eastAsia="宋体"/>
                <w:sz w:val="24"/>
              </w:rPr>
              <w:t>项目支出绩效自评表</w:t>
            </w:r>
          </w:p>
        </w:tc>
      </w:tr>
      <w:tr w14:paraId="7831ACC9">
        <w:tblPrEx>
          <w:tblCellMar>
            <w:top w:w="0" w:type="dxa"/>
            <w:left w:w="108" w:type="dxa"/>
            <w:bottom w:w="0" w:type="dxa"/>
            <w:right w:w="108" w:type="dxa"/>
          </w:tblCellMar>
        </w:tblPrEx>
        <w:tc>
          <w:tcPr>
            <w:tcW w:w="8848" w:type="dxa"/>
            <w:gridSpan w:val="14"/>
            <w:vAlign w:val="center"/>
          </w:tcPr>
          <w:p w14:paraId="512BBA2F">
            <w:pPr>
              <w:jc w:val="center"/>
            </w:pPr>
            <w:r>
              <w:rPr>
                <w:rFonts w:ascii="宋体" w:hAnsi="宋体" w:eastAsia="宋体"/>
                <w:sz w:val="24"/>
              </w:rPr>
              <w:t>(2024年度)</w:t>
            </w:r>
          </w:p>
        </w:tc>
      </w:tr>
      <w:tr w14:paraId="2348A0C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2E9D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33F577B">
            <w:pPr>
              <w:jc w:val="center"/>
            </w:pPr>
            <w:r>
              <w:rPr>
                <w:rFonts w:ascii="宋体" w:hAnsi="宋体" w:eastAsia="宋体"/>
                <w:sz w:val="16"/>
              </w:rPr>
              <w:t>地方安排2021年卫生健康领域第一批中央基建投资，托里县疾病预防控制中心综合检测楼及附属设施建设项目</w:t>
            </w:r>
          </w:p>
        </w:tc>
      </w:tr>
      <w:tr w14:paraId="106DFF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6E16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DF3181">
            <w:pPr>
              <w:jc w:val="center"/>
            </w:pPr>
            <w:r>
              <w:rPr>
                <w:rFonts w:ascii="宋体" w:hAnsi="宋体" w:eastAsia="宋体"/>
                <w:sz w:val="16"/>
              </w:rPr>
              <w:t>托里县疾病预防控制中心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33A5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8F73A3">
            <w:pPr>
              <w:jc w:val="center"/>
            </w:pPr>
            <w:r>
              <w:rPr>
                <w:rFonts w:ascii="宋体" w:hAnsi="宋体" w:eastAsia="宋体"/>
                <w:sz w:val="16"/>
              </w:rPr>
              <w:t>托里县疾病预防控制中心</w:t>
            </w:r>
          </w:p>
        </w:tc>
      </w:tr>
      <w:tr w14:paraId="69FBC1F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4EA64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359C5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EB86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0089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7905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2E3D8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FB1E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70EDD">
            <w:pPr>
              <w:jc w:val="center"/>
            </w:pPr>
            <w:r>
              <w:rPr>
                <w:rFonts w:ascii="宋体" w:hAnsi="宋体" w:eastAsia="宋体"/>
                <w:sz w:val="16"/>
              </w:rPr>
              <w:t>得分</w:t>
            </w:r>
          </w:p>
        </w:tc>
      </w:tr>
      <w:tr w14:paraId="5D9013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E5655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8E97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A5FEA">
            <w:pPr>
              <w:jc w:val="center"/>
            </w:pPr>
            <w:r>
              <w:rPr>
                <w:rFonts w:ascii="宋体" w:hAnsi="宋体" w:eastAsia="宋体"/>
                <w:sz w:val="16"/>
              </w:rPr>
              <w:t>334.00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2CCBD">
            <w:pPr>
              <w:jc w:val="center"/>
            </w:pPr>
            <w:r>
              <w:rPr>
                <w:rFonts w:ascii="宋体" w:hAnsi="宋体" w:eastAsia="宋体"/>
                <w:sz w:val="16"/>
              </w:rPr>
              <w:t>334.00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4A232">
            <w:pPr>
              <w:jc w:val="center"/>
            </w:pPr>
            <w:r>
              <w:rPr>
                <w:rFonts w:ascii="宋体" w:hAnsi="宋体" w:eastAsia="宋体"/>
                <w:sz w:val="16"/>
              </w:rPr>
              <w:t>334.00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B92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4094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501D5">
            <w:pPr>
              <w:jc w:val="center"/>
            </w:pPr>
            <w:r>
              <w:rPr>
                <w:rFonts w:ascii="宋体" w:hAnsi="宋体" w:eastAsia="宋体"/>
                <w:sz w:val="16"/>
              </w:rPr>
              <w:t>10.00</w:t>
            </w:r>
          </w:p>
        </w:tc>
      </w:tr>
      <w:tr w14:paraId="370234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53EEC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4176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E1CCB">
            <w:pPr>
              <w:jc w:val="center"/>
            </w:pPr>
            <w:r>
              <w:rPr>
                <w:rFonts w:ascii="宋体" w:hAnsi="宋体" w:eastAsia="宋体"/>
                <w:sz w:val="16"/>
              </w:rPr>
              <w:t>334.00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B32E0">
            <w:pPr>
              <w:jc w:val="center"/>
            </w:pPr>
            <w:r>
              <w:rPr>
                <w:rFonts w:ascii="宋体" w:hAnsi="宋体" w:eastAsia="宋体"/>
                <w:sz w:val="16"/>
              </w:rPr>
              <w:t>334.00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2BCBD">
            <w:pPr>
              <w:jc w:val="center"/>
            </w:pPr>
            <w:r>
              <w:rPr>
                <w:rFonts w:ascii="宋体" w:hAnsi="宋体" w:eastAsia="宋体"/>
                <w:sz w:val="16"/>
              </w:rPr>
              <w:t>334.00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FDC9C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961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85C43">
            <w:pPr>
              <w:jc w:val="center"/>
            </w:pPr>
            <w:r>
              <w:rPr>
                <w:rFonts w:ascii="宋体" w:hAnsi="宋体" w:eastAsia="宋体"/>
                <w:sz w:val="16"/>
              </w:rPr>
              <w:t>—</w:t>
            </w:r>
          </w:p>
        </w:tc>
      </w:tr>
      <w:tr w14:paraId="32CC95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398FB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C907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D221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93D9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C8653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E9AF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39F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B0EEA">
            <w:pPr>
              <w:jc w:val="center"/>
            </w:pPr>
            <w:r>
              <w:rPr>
                <w:rFonts w:ascii="宋体" w:hAnsi="宋体" w:eastAsia="宋体"/>
                <w:sz w:val="16"/>
              </w:rPr>
              <w:t>—</w:t>
            </w:r>
          </w:p>
        </w:tc>
      </w:tr>
      <w:tr w14:paraId="40B9B62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D4834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7171C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832C56">
            <w:pPr>
              <w:jc w:val="center"/>
            </w:pPr>
            <w:r>
              <w:rPr>
                <w:rFonts w:ascii="宋体" w:hAnsi="宋体" w:eastAsia="宋体"/>
                <w:sz w:val="16"/>
              </w:rPr>
              <w:t>实际完成情况</w:t>
            </w:r>
          </w:p>
        </w:tc>
      </w:tr>
      <w:tr w14:paraId="7C86F6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47BE1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D2457E">
            <w:pPr>
              <w:jc w:val="both"/>
            </w:pPr>
            <w:r>
              <w:rPr>
                <w:rFonts w:ascii="宋体" w:hAnsi="宋体" w:eastAsia="宋体"/>
                <w:sz w:val="16"/>
              </w:rPr>
              <w:t>地方安排2021年卫生健康领域第一批中央基建投资总投入1250万元，2024年计划支付334万元，用于支付项目30%的工程款，新建综合楼建设楼总面积2800平方米，医疗仪器设备15套，托里县疾病预防控制中心综合检测楼及附属设施建设项目在项目资金使用过程中能严格按照专项经费管理使用要求和相应实施方案及预算目标进行收支和管理，做到</w:t>
            </w:r>
            <w:r>
              <w:rPr>
                <w:rFonts w:hint="eastAsia" w:ascii="宋体" w:hAnsi="宋体"/>
                <w:sz w:val="16"/>
                <w:lang w:eastAsia="zh-CN"/>
              </w:rPr>
              <w:t>专款专用</w:t>
            </w:r>
            <w:r>
              <w:rPr>
                <w:rFonts w:ascii="宋体" w:hAnsi="宋体" w:eastAsia="宋体"/>
                <w:sz w:val="16"/>
              </w:rPr>
              <w:t>。群众</w:t>
            </w:r>
            <w:r>
              <w:rPr>
                <w:rFonts w:hint="eastAsia" w:ascii="宋体" w:hAnsi="宋体"/>
                <w:sz w:val="16"/>
                <w:lang w:eastAsia="zh-CN"/>
              </w:rPr>
              <w:t>满意度</w:t>
            </w:r>
            <w:r>
              <w:rPr>
                <w:rFonts w:ascii="宋体" w:hAnsi="宋体" w:eastAsia="宋体"/>
                <w:sz w:val="16"/>
              </w:rPr>
              <w:t>达到98%。</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079048">
            <w:pPr>
              <w:jc w:val="both"/>
            </w:pPr>
            <w:r>
              <w:rPr>
                <w:rFonts w:ascii="宋体" w:hAnsi="宋体" w:eastAsia="宋体"/>
                <w:sz w:val="16"/>
              </w:rPr>
              <w:t>项目2024年进行托里县疾病预防控制中心流调中心业务用房</w:t>
            </w:r>
            <w:r>
              <w:rPr>
                <w:rFonts w:hint="eastAsia" w:ascii="宋体" w:hAnsi="宋体"/>
                <w:sz w:val="16"/>
                <w:lang w:eastAsia="zh-CN"/>
              </w:rPr>
              <w:t>。</w:t>
            </w:r>
          </w:p>
        </w:tc>
      </w:tr>
      <w:tr w14:paraId="778AFC4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9E120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3C4C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EE26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437D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A246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213B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34CB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A147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6542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6201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11EF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328C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05E5E">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C6186">
            <w:pPr>
              <w:jc w:val="center"/>
            </w:pPr>
            <w:r>
              <w:rPr>
                <w:rFonts w:ascii="宋体" w:hAnsi="宋体" w:eastAsia="宋体"/>
                <w:sz w:val="16"/>
              </w:rPr>
              <w:t>偏差原因分析及改进措施</w:t>
            </w:r>
          </w:p>
        </w:tc>
      </w:tr>
      <w:tr w14:paraId="31ADDCB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7620D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3C7A3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5E4BB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18173">
            <w:pPr>
              <w:jc w:val="center"/>
            </w:pPr>
            <w:r>
              <w:rPr>
                <w:rFonts w:ascii="宋体" w:hAnsi="宋体" w:eastAsia="宋体"/>
                <w:sz w:val="16"/>
              </w:rPr>
              <w:t>综合楼建设楼总面积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E4DDD">
            <w:pPr>
              <w:jc w:val="center"/>
            </w:pPr>
            <w:r>
              <w:rPr>
                <w:rFonts w:ascii="宋体" w:hAnsi="宋体" w:eastAsia="宋体"/>
                <w:sz w:val="16"/>
              </w:rPr>
              <w:t>=2800平方米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A14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DEF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4AD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590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0692B">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6E4A0">
            <w:pPr>
              <w:jc w:val="center"/>
            </w:pPr>
            <w:r>
              <w:rPr>
                <w:rFonts w:ascii="宋体" w:hAnsi="宋体" w:eastAsia="宋体"/>
                <w:sz w:val="16"/>
              </w:rPr>
              <w:t>=2800平方米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A5D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88C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B2E1D">
            <w:pPr>
              <w:jc w:val="center"/>
            </w:pPr>
          </w:p>
        </w:tc>
      </w:tr>
      <w:tr w14:paraId="3A9A97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969F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D712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7A6A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F63C9">
            <w:pPr>
              <w:jc w:val="center"/>
            </w:pPr>
            <w:r>
              <w:rPr>
                <w:rFonts w:ascii="宋体" w:hAnsi="宋体" w:eastAsia="宋体"/>
                <w:sz w:val="16"/>
              </w:rPr>
              <w:t>医疗仪器设备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94D16">
            <w:pPr>
              <w:jc w:val="center"/>
            </w:pPr>
            <w:r>
              <w:rPr>
                <w:rFonts w:ascii="宋体" w:hAnsi="宋体" w:eastAsia="宋体"/>
                <w:sz w:val="16"/>
              </w:rPr>
              <w:t>=15套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A7F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CF85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957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3CA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621E7">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ECC43">
            <w:pPr>
              <w:jc w:val="center"/>
            </w:pPr>
            <w:r>
              <w:rPr>
                <w:rFonts w:ascii="宋体" w:hAnsi="宋体" w:eastAsia="宋体"/>
                <w:sz w:val="16"/>
              </w:rPr>
              <w:t>=15套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7D1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627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68261">
            <w:pPr>
              <w:jc w:val="center"/>
            </w:pPr>
          </w:p>
        </w:tc>
      </w:tr>
      <w:tr w14:paraId="17C664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E07A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5096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1C54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BFA7A">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2D3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C1C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BF7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3B3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61C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89290">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C70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41C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006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28ADA">
            <w:pPr>
              <w:jc w:val="center"/>
            </w:pPr>
          </w:p>
        </w:tc>
      </w:tr>
      <w:tr w14:paraId="18AA77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6D95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F402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91B4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13A88">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0F42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C88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67BC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82E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C76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313F3">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6765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72B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EF5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CACE5">
            <w:pPr>
              <w:jc w:val="center"/>
            </w:pPr>
          </w:p>
        </w:tc>
      </w:tr>
      <w:tr w14:paraId="28DD70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EDA1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1C05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21AB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FB28A">
            <w:pPr>
              <w:jc w:val="center"/>
            </w:pPr>
            <w:r>
              <w:rPr>
                <w:rFonts w:ascii="宋体" w:hAnsi="宋体" w:eastAsia="宋体"/>
                <w:sz w:val="16"/>
              </w:rPr>
              <w:t>项目30%工程款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1D65D">
            <w:pPr>
              <w:jc w:val="center"/>
            </w:pPr>
            <w:r>
              <w:rPr>
                <w:rFonts w:ascii="宋体" w:hAnsi="宋体" w:eastAsia="宋体"/>
                <w:sz w:val="16"/>
              </w:rPr>
              <w:t>=334万元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7EC2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ED6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96A6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286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2CF53">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06DE1">
            <w:pPr>
              <w:jc w:val="center"/>
            </w:pPr>
            <w:r>
              <w:rPr>
                <w:rFonts w:ascii="宋体" w:hAnsi="宋体" w:eastAsia="宋体"/>
                <w:sz w:val="16"/>
              </w:rPr>
              <w:t>=334万元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275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33B2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9FC8A">
            <w:pPr>
              <w:jc w:val="center"/>
            </w:pPr>
          </w:p>
        </w:tc>
      </w:tr>
      <w:tr w14:paraId="44FE68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E69E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5315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562A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4CAAA">
            <w:pPr>
              <w:jc w:val="center"/>
            </w:pPr>
            <w:r>
              <w:rPr>
                <w:rFonts w:ascii="宋体" w:hAnsi="宋体" w:eastAsia="宋体"/>
                <w:sz w:val="16"/>
              </w:rPr>
              <w:t>综合利用率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257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215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C53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9A85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4E57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FE30E">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4B0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BF6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6EF1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052F6">
            <w:pPr>
              <w:jc w:val="center"/>
            </w:pPr>
          </w:p>
        </w:tc>
      </w:tr>
      <w:tr w14:paraId="1AC009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502C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D9DF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E6A9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EE471">
            <w:pPr>
              <w:jc w:val="center"/>
            </w:pPr>
            <w:r>
              <w:rPr>
                <w:rFonts w:ascii="宋体" w:hAnsi="宋体" w:eastAsia="宋体"/>
                <w:sz w:val="16"/>
              </w:rPr>
              <w:t>单位职工满意度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2DEF3">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C62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885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488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7506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9D977">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251B7">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D86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259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B4251">
            <w:pPr>
              <w:jc w:val="center"/>
            </w:pPr>
          </w:p>
        </w:tc>
      </w:tr>
      <w:tr w14:paraId="6BB7551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85D00B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4EFFB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ABF42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B785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76F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B4924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2259B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547FD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05BA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2CB2C">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F7CA03"/>
        </w:tc>
      </w:tr>
    </w:tbl>
    <w:p w14:paraId="6B6B3CB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2A6F4960">
        <w:tblPrEx>
          <w:tblCellMar>
            <w:top w:w="0" w:type="dxa"/>
            <w:left w:w="108" w:type="dxa"/>
            <w:bottom w:w="0" w:type="dxa"/>
            <w:right w:w="108" w:type="dxa"/>
          </w:tblCellMar>
        </w:tblPrEx>
        <w:tc>
          <w:tcPr>
            <w:tcW w:w="8848" w:type="dxa"/>
            <w:gridSpan w:val="14"/>
            <w:vAlign w:val="center"/>
          </w:tcPr>
          <w:p w14:paraId="1EDD3421">
            <w:pPr>
              <w:jc w:val="center"/>
            </w:pPr>
            <w:r>
              <w:rPr>
                <w:rFonts w:ascii="宋体" w:hAnsi="宋体" w:eastAsia="宋体"/>
                <w:sz w:val="24"/>
              </w:rPr>
              <w:t>项目支出绩效自评表</w:t>
            </w:r>
          </w:p>
        </w:tc>
      </w:tr>
      <w:tr w14:paraId="618D9DCA">
        <w:tblPrEx>
          <w:tblCellMar>
            <w:top w:w="0" w:type="dxa"/>
            <w:left w:w="108" w:type="dxa"/>
            <w:bottom w:w="0" w:type="dxa"/>
            <w:right w:w="108" w:type="dxa"/>
          </w:tblCellMar>
        </w:tblPrEx>
        <w:tc>
          <w:tcPr>
            <w:tcW w:w="8848" w:type="dxa"/>
            <w:gridSpan w:val="14"/>
            <w:vAlign w:val="center"/>
          </w:tcPr>
          <w:p w14:paraId="15350FA5">
            <w:pPr>
              <w:jc w:val="center"/>
            </w:pPr>
            <w:r>
              <w:rPr>
                <w:rFonts w:ascii="宋体" w:hAnsi="宋体" w:eastAsia="宋体"/>
                <w:sz w:val="24"/>
              </w:rPr>
              <w:t>(2024年度)</w:t>
            </w:r>
          </w:p>
        </w:tc>
      </w:tr>
      <w:tr w14:paraId="430C464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3A07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946FC67">
            <w:pPr>
              <w:jc w:val="center"/>
            </w:pPr>
            <w:r>
              <w:rPr>
                <w:rFonts w:ascii="宋体" w:hAnsi="宋体" w:eastAsia="宋体"/>
                <w:sz w:val="16"/>
              </w:rPr>
              <w:t>托里县疾病预防控制中心2024年中央基本公共卫生服务补助资金</w:t>
            </w:r>
          </w:p>
        </w:tc>
      </w:tr>
      <w:tr w14:paraId="227DD7D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B211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33BD50">
            <w:pPr>
              <w:jc w:val="center"/>
            </w:pPr>
            <w:r>
              <w:rPr>
                <w:rFonts w:ascii="宋体" w:hAnsi="宋体" w:eastAsia="宋体"/>
                <w:sz w:val="16"/>
              </w:rPr>
              <w:t>托里县疾病预防控制中心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EFCB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CB17ACC">
            <w:pPr>
              <w:jc w:val="center"/>
            </w:pPr>
            <w:r>
              <w:rPr>
                <w:rFonts w:ascii="宋体" w:hAnsi="宋体" w:eastAsia="宋体"/>
                <w:sz w:val="16"/>
              </w:rPr>
              <w:t>托里县疾病预防控制中心</w:t>
            </w:r>
          </w:p>
        </w:tc>
      </w:tr>
      <w:tr w14:paraId="5F35DD0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3DE32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35A1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159F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1680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76FD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9A15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58E7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D2C97">
            <w:pPr>
              <w:jc w:val="center"/>
            </w:pPr>
            <w:r>
              <w:rPr>
                <w:rFonts w:ascii="宋体" w:hAnsi="宋体" w:eastAsia="宋体"/>
                <w:sz w:val="16"/>
              </w:rPr>
              <w:t>得分</w:t>
            </w:r>
          </w:p>
        </w:tc>
      </w:tr>
      <w:tr w14:paraId="406FC6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DACA5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399B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406A0">
            <w:pPr>
              <w:jc w:val="center"/>
            </w:pPr>
            <w:r>
              <w:rPr>
                <w:rFonts w:ascii="宋体" w:hAnsi="宋体" w:eastAsia="宋体"/>
                <w:sz w:val="16"/>
              </w:rPr>
              <w:t>13.55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33235">
            <w:pPr>
              <w:jc w:val="center"/>
            </w:pPr>
            <w:r>
              <w:rPr>
                <w:rFonts w:ascii="宋体" w:hAnsi="宋体" w:eastAsia="宋体"/>
                <w:sz w:val="16"/>
              </w:rPr>
              <w:t>13.55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55A81">
            <w:pPr>
              <w:jc w:val="center"/>
            </w:pPr>
            <w:r>
              <w:rPr>
                <w:rFonts w:ascii="宋体" w:hAnsi="宋体" w:eastAsia="宋体"/>
                <w:sz w:val="16"/>
              </w:rPr>
              <w:t>13.55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D06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A0E95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5F58B">
            <w:pPr>
              <w:jc w:val="center"/>
            </w:pPr>
            <w:r>
              <w:rPr>
                <w:rFonts w:ascii="宋体" w:hAnsi="宋体" w:eastAsia="宋体"/>
                <w:sz w:val="16"/>
              </w:rPr>
              <w:t>10.00</w:t>
            </w:r>
          </w:p>
        </w:tc>
      </w:tr>
      <w:tr w14:paraId="3DB87D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BDD54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0272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D5092">
            <w:pPr>
              <w:jc w:val="center"/>
            </w:pPr>
            <w:r>
              <w:rPr>
                <w:rFonts w:ascii="宋体" w:hAnsi="宋体" w:eastAsia="宋体"/>
                <w:sz w:val="16"/>
              </w:rPr>
              <w:t>13.55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10E00">
            <w:pPr>
              <w:jc w:val="center"/>
            </w:pPr>
            <w:r>
              <w:rPr>
                <w:rFonts w:ascii="宋体" w:hAnsi="宋体" w:eastAsia="宋体"/>
                <w:sz w:val="16"/>
              </w:rPr>
              <w:t>13.55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C7F61">
            <w:pPr>
              <w:jc w:val="center"/>
            </w:pPr>
            <w:r>
              <w:rPr>
                <w:rFonts w:ascii="宋体" w:hAnsi="宋体" w:eastAsia="宋体"/>
                <w:sz w:val="16"/>
              </w:rPr>
              <w:t>13.55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6A06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802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93F8C">
            <w:pPr>
              <w:jc w:val="center"/>
            </w:pPr>
            <w:r>
              <w:rPr>
                <w:rFonts w:ascii="宋体" w:hAnsi="宋体" w:eastAsia="宋体"/>
                <w:sz w:val="16"/>
              </w:rPr>
              <w:t>—</w:t>
            </w:r>
          </w:p>
        </w:tc>
      </w:tr>
      <w:tr w14:paraId="438530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73A40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9223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EAC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F3FF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BC73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635E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7A53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6ED33">
            <w:pPr>
              <w:jc w:val="center"/>
            </w:pPr>
            <w:r>
              <w:rPr>
                <w:rFonts w:ascii="宋体" w:hAnsi="宋体" w:eastAsia="宋体"/>
                <w:sz w:val="16"/>
              </w:rPr>
              <w:t>—</w:t>
            </w:r>
          </w:p>
        </w:tc>
      </w:tr>
      <w:tr w14:paraId="299EF70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B823F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4E39D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46CE56">
            <w:pPr>
              <w:jc w:val="center"/>
            </w:pPr>
            <w:r>
              <w:rPr>
                <w:rFonts w:ascii="宋体" w:hAnsi="宋体" w:eastAsia="宋体"/>
                <w:sz w:val="16"/>
              </w:rPr>
              <w:t>实际完成情况</w:t>
            </w:r>
          </w:p>
        </w:tc>
      </w:tr>
      <w:tr w14:paraId="1BA770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4DD03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7B589E">
            <w:pPr>
              <w:jc w:val="both"/>
            </w:pPr>
            <w:r>
              <w:rPr>
                <w:rFonts w:ascii="宋体" w:hAnsi="宋体" w:eastAsia="宋体"/>
                <w:sz w:val="16"/>
              </w:rPr>
              <w:t>2024年自治区公共卫生服务（地方公共卫生）补助项目资金13.55万元，用于学生体检收益3297人，进一步完善托里县疾病预防控制机构体系建设，提高对危害人民健康的重大疾病的预防控制和对爆发</w:t>
            </w:r>
            <w:r>
              <w:rPr>
                <w:rFonts w:hint="eastAsia" w:ascii="宋体" w:hAnsi="宋体"/>
                <w:sz w:val="16"/>
                <w:lang w:eastAsia="zh-CN"/>
              </w:rPr>
              <w:t>防疫</w:t>
            </w:r>
            <w:r>
              <w:rPr>
                <w:rFonts w:ascii="宋体" w:hAnsi="宋体" w:eastAsia="宋体"/>
                <w:sz w:val="16"/>
              </w:rPr>
              <w:t>，中毒及生物化学危害等突发公共卫生事件的产量和反应能力，提高公共卫生服务质量与效率，保护人民健康，维护社会稳定，包虫病患者人数1500人慢性病患者人数1500人，群众满意度95%。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49A5EA">
            <w:pPr>
              <w:jc w:val="both"/>
            </w:pPr>
            <w:r>
              <w:rPr>
                <w:rFonts w:ascii="宋体" w:hAnsi="宋体" w:eastAsia="宋体"/>
                <w:sz w:val="16"/>
              </w:rPr>
              <w:t>2024年自治区公共卫生服务（地方公共卫生）补助项目资金13.55万元，截至2024年12月，该项目已完成支付13.55万元，完成包虫病患者筛查1500人，慢性病患者筛查1500人，慢性病原学阳性密切接触者筛查率达到了98%，进一步完善了托里县疾病预防控制机构体系建设，提高了对危害人民健康的重大疾病的预防控制和对</w:t>
            </w:r>
            <w:bookmarkStart w:id="0" w:name="_GoBack"/>
            <w:r>
              <w:rPr>
                <w:rFonts w:ascii="宋体" w:hAnsi="宋体" w:eastAsia="宋体"/>
                <w:sz w:val="16"/>
              </w:rPr>
              <w:t>爆发</w:t>
            </w:r>
            <w:bookmarkEnd w:id="0"/>
            <w:r>
              <w:rPr>
                <w:rFonts w:hint="eastAsia" w:ascii="宋体" w:hAnsi="宋体"/>
                <w:sz w:val="16"/>
                <w:lang w:eastAsia="zh-CN"/>
              </w:rPr>
              <w:t>防疫</w:t>
            </w:r>
            <w:r>
              <w:rPr>
                <w:rFonts w:ascii="宋体" w:hAnsi="宋体" w:eastAsia="宋体"/>
                <w:sz w:val="16"/>
              </w:rPr>
              <w:t>、中毒及生物化学危害等突发公共卫生事件的产量和反应能力，提高了公共卫生服务质量与效率，保护人民健康，维护社会稳定。</w:t>
            </w:r>
          </w:p>
        </w:tc>
      </w:tr>
      <w:tr w14:paraId="65C64D1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33240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31A2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04A4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8CFD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AABC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C004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4FE7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BB5C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4EFE9">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734C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3866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7FF2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5FCC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10DF8">
            <w:pPr>
              <w:jc w:val="center"/>
            </w:pPr>
            <w:r>
              <w:rPr>
                <w:rFonts w:ascii="宋体" w:hAnsi="宋体" w:eastAsia="宋体"/>
                <w:sz w:val="16"/>
              </w:rPr>
              <w:t>偏差原因分析及改进措施</w:t>
            </w:r>
          </w:p>
        </w:tc>
      </w:tr>
      <w:tr w14:paraId="337BA2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9D800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92BA9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606AC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95871">
            <w:pPr>
              <w:jc w:val="center"/>
            </w:pPr>
            <w:r>
              <w:rPr>
                <w:rFonts w:ascii="宋体" w:hAnsi="宋体" w:eastAsia="宋体"/>
                <w:sz w:val="16"/>
              </w:rPr>
              <w:t>包虫病患者人数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F4522">
            <w:pPr>
              <w:jc w:val="center"/>
            </w:pPr>
            <w:r>
              <w:rPr>
                <w:rFonts w:ascii="宋体" w:hAnsi="宋体" w:eastAsia="宋体"/>
                <w:sz w:val="16"/>
              </w:rPr>
              <w:t>&gt;=1500人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0C6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70A5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6A63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82B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AE837">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F774E">
            <w:pPr>
              <w:jc w:val="center"/>
            </w:pPr>
            <w:r>
              <w:rPr>
                <w:rFonts w:ascii="宋体" w:hAnsi="宋体" w:eastAsia="宋体"/>
                <w:sz w:val="16"/>
              </w:rPr>
              <w:t>=1500人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A05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AF50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2377A">
            <w:pPr>
              <w:jc w:val="center"/>
            </w:pPr>
          </w:p>
        </w:tc>
      </w:tr>
      <w:tr w14:paraId="20B6F6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4DF3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A83A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5192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4BC72">
            <w:pPr>
              <w:jc w:val="center"/>
            </w:pPr>
            <w:r>
              <w:rPr>
                <w:rFonts w:ascii="宋体" w:hAnsi="宋体" w:eastAsia="宋体"/>
                <w:sz w:val="16"/>
              </w:rPr>
              <w:t>慢性病患者人数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A5BA3">
            <w:pPr>
              <w:jc w:val="center"/>
            </w:pPr>
            <w:r>
              <w:rPr>
                <w:rFonts w:ascii="宋体" w:hAnsi="宋体" w:eastAsia="宋体"/>
                <w:sz w:val="16"/>
              </w:rPr>
              <w:t>&gt;=1500人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FD1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F2F9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8183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582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CF839">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863B4">
            <w:pPr>
              <w:jc w:val="center"/>
            </w:pPr>
            <w:r>
              <w:rPr>
                <w:rFonts w:ascii="宋体" w:hAnsi="宋体" w:eastAsia="宋体"/>
                <w:sz w:val="16"/>
              </w:rPr>
              <w:t>=1500人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5E5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A30E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D8B98">
            <w:pPr>
              <w:jc w:val="center"/>
            </w:pPr>
          </w:p>
        </w:tc>
      </w:tr>
      <w:tr w14:paraId="66EB47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8F8F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D637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571D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88DDE">
            <w:pPr>
              <w:jc w:val="center"/>
            </w:pPr>
            <w:r>
              <w:rPr>
                <w:rFonts w:ascii="宋体" w:hAnsi="宋体" w:eastAsia="宋体"/>
                <w:sz w:val="16"/>
              </w:rPr>
              <w:t>慢性病原学阳性密切接触者筛查率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FF877">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7CD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B1C8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5F92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93A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DEECC">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41B5C">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954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66D0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36DBA">
            <w:pPr>
              <w:jc w:val="center"/>
            </w:pPr>
          </w:p>
        </w:tc>
      </w:tr>
      <w:tr w14:paraId="3DD728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70B1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2BDA8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12BB9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FE320">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D59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D4A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47E0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0BAB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565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2701E">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165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B69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BDAB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08BEB">
            <w:pPr>
              <w:jc w:val="center"/>
            </w:pPr>
          </w:p>
        </w:tc>
      </w:tr>
      <w:tr w14:paraId="503C25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FFB8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46CE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6802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EA32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205DB">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1D6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BA7F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9B1E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604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B5D00">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CD51B">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1F5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52AD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BC7DC">
            <w:pPr>
              <w:jc w:val="center"/>
            </w:pPr>
          </w:p>
        </w:tc>
      </w:tr>
      <w:tr w14:paraId="6B78CD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103DA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6B1A1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42181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77A67">
            <w:pPr>
              <w:jc w:val="center"/>
            </w:pPr>
            <w:r>
              <w:rPr>
                <w:rFonts w:ascii="宋体" w:hAnsi="宋体" w:eastAsia="宋体"/>
                <w:sz w:val="16"/>
              </w:rPr>
              <w:t>包虫病患者成本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036FA">
            <w:pPr>
              <w:jc w:val="center"/>
            </w:pPr>
            <w:r>
              <w:rPr>
                <w:rFonts w:ascii="宋体" w:hAnsi="宋体" w:eastAsia="宋体"/>
                <w:sz w:val="16"/>
              </w:rPr>
              <w:t>&lt;=3.55万元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4D26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FE43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10F1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9BB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37ACF">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71C4D">
            <w:pPr>
              <w:jc w:val="center"/>
            </w:pPr>
            <w:r>
              <w:rPr>
                <w:rFonts w:ascii="宋体" w:hAnsi="宋体" w:eastAsia="宋体"/>
                <w:sz w:val="16"/>
              </w:rPr>
              <w:t>=3.55万元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8AE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0EA2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F1FD8">
            <w:pPr>
              <w:jc w:val="center"/>
            </w:pPr>
          </w:p>
        </w:tc>
      </w:tr>
      <w:tr w14:paraId="50EB53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9A66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A0D0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3F23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0254F">
            <w:pPr>
              <w:jc w:val="center"/>
            </w:pPr>
            <w:r>
              <w:rPr>
                <w:rFonts w:ascii="宋体" w:hAnsi="宋体" w:eastAsia="宋体"/>
                <w:sz w:val="16"/>
              </w:rPr>
              <w:t>慢性病患者成本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679CD">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B275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D2D0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ABE43">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A31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942DE">
            <w:pPr>
              <w:jc w:val="center"/>
            </w:pPr>
            <w:r>
              <w:rPr>
                <w:rFonts w:ascii="宋体" w:hAnsi="宋体" w:eastAsia="宋体"/>
                <w:sz w:val="16"/>
              </w:rPr>
              <w:t>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627DA">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E43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B0D0D">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C0075">
            <w:pPr>
              <w:jc w:val="center"/>
            </w:pPr>
          </w:p>
        </w:tc>
      </w:tr>
      <w:tr w14:paraId="432DFB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4470B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26323E">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91515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ECE2A">
            <w:pPr>
              <w:jc w:val="center"/>
            </w:pPr>
            <w:r>
              <w:rPr>
                <w:rFonts w:ascii="宋体" w:hAnsi="宋体" w:eastAsia="宋体"/>
                <w:sz w:val="16"/>
              </w:rPr>
              <w:t>促进群众基本卫生服务知识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5B09B">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A21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26DA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F2D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292C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B0044">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D6B66">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87E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3D8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D9020">
            <w:pPr>
              <w:jc w:val="center"/>
            </w:pPr>
          </w:p>
        </w:tc>
      </w:tr>
      <w:tr w14:paraId="1EEC75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BEBE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35C1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1934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C2136">
            <w:pPr>
              <w:jc w:val="center"/>
            </w:pPr>
            <w:r>
              <w:rPr>
                <w:rFonts w:ascii="宋体" w:hAnsi="宋体" w:eastAsia="宋体"/>
                <w:sz w:val="16"/>
              </w:rPr>
              <w:t>提升卫生服务能力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AF229">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809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3670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9C3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B822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EBACB">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40EEA">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A50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C95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48E3C">
            <w:pPr>
              <w:jc w:val="center"/>
            </w:pPr>
          </w:p>
        </w:tc>
      </w:tr>
      <w:tr w14:paraId="2805F5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8B4D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6A17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CEE5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4E526">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3E293">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221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0953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9B0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A010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09BCF">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B2DEF">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9E3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799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21925">
            <w:pPr>
              <w:jc w:val="center"/>
            </w:pPr>
          </w:p>
        </w:tc>
      </w:tr>
      <w:tr w14:paraId="13456AC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25ACC2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A958B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4B112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0FE5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B37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99185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B56DD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463EF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9D35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6D44B">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CD9A06"/>
        </w:tc>
      </w:tr>
    </w:tbl>
    <w:p w14:paraId="0B268C74">
      <w:r>
        <w:br w:type="page"/>
      </w:r>
    </w:p>
    <w:tbl>
      <w:tblPr>
        <w:tblStyle w:val="9"/>
        <w:tblW w:w="0" w:type="auto"/>
        <w:tblInd w:w="0" w:type="dxa"/>
        <w:tblLayout w:type="fixed"/>
        <w:tblCellMar>
          <w:top w:w="0" w:type="dxa"/>
          <w:left w:w="108" w:type="dxa"/>
          <w:bottom w:w="0" w:type="dxa"/>
          <w:right w:w="108" w:type="dxa"/>
        </w:tblCellMar>
      </w:tblPr>
      <w:tblGrid>
        <w:gridCol w:w="622"/>
        <w:gridCol w:w="605"/>
        <w:gridCol w:w="605"/>
        <w:gridCol w:w="605"/>
        <w:gridCol w:w="936"/>
        <w:gridCol w:w="605"/>
        <w:gridCol w:w="605"/>
        <w:gridCol w:w="614"/>
        <w:gridCol w:w="734"/>
        <w:gridCol w:w="653"/>
        <w:gridCol w:w="528"/>
        <w:gridCol w:w="696"/>
        <w:gridCol w:w="630"/>
        <w:gridCol w:w="622"/>
      </w:tblGrid>
      <w:tr w14:paraId="7DF7EA84">
        <w:tblPrEx>
          <w:tblCellMar>
            <w:top w:w="0" w:type="dxa"/>
            <w:left w:w="108" w:type="dxa"/>
            <w:bottom w:w="0" w:type="dxa"/>
            <w:right w:w="108" w:type="dxa"/>
          </w:tblCellMar>
        </w:tblPrEx>
        <w:tc>
          <w:tcPr>
            <w:tcW w:w="9060" w:type="dxa"/>
            <w:gridSpan w:val="14"/>
            <w:vAlign w:val="center"/>
          </w:tcPr>
          <w:p w14:paraId="6D1D256C">
            <w:pPr>
              <w:jc w:val="center"/>
            </w:pPr>
            <w:r>
              <w:rPr>
                <w:rFonts w:ascii="宋体" w:hAnsi="宋体" w:eastAsia="宋体"/>
                <w:sz w:val="24"/>
              </w:rPr>
              <w:t>项目支出绩效自评表</w:t>
            </w:r>
          </w:p>
        </w:tc>
      </w:tr>
      <w:tr w14:paraId="54C68FE2">
        <w:tblPrEx>
          <w:tblCellMar>
            <w:top w:w="0" w:type="dxa"/>
            <w:left w:w="108" w:type="dxa"/>
            <w:bottom w:w="0" w:type="dxa"/>
            <w:right w:w="108" w:type="dxa"/>
          </w:tblCellMar>
        </w:tblPrEx>
        <w:tc>
          <w:tcPr>
            <w:tcW w:w="9060" w:type="dxa"/>
            <w:gridSpan w:val="14"/>
            <w:vAlign w:val="center"/>
          </w:tcPr>
          <w:p w14:paraId="7C66A448">
            <w:pPr>
              <w:jc w:val="center"/>
            </w:pPr>
            <w:r>
              <w:rPr>
                <w:rFonts w:ascii="宋体" w:hAnsi="宋体" w:eastAsia="宋体"/>
                <w:sz w:val="24"/>
              </w:rPr>
              <w:t>(2024年度)</w:t>
            </w:r>
          </w:p>
        </w:tc>
      </w:tr>
      <w:tr w14:paraId="13E9A832">
        <w:tblPrEx>
          <w:tblCellMar>
            <w:top w:w="0" w:type="dxa"/>
            <w:left w:w="108" w:type="dxa"/>
            <w:bottom w:w="0" w:type="dxa"/>
            <w:right w:w="108" w:type="dxa"/>
          </w:tblCellMar>
        </w:tblPrEx>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39A6B188">
            <w:pPr>
              <w:jc w:val="center"/>
            </w:pPr>
            <w:r>
              <w:rPr>
                <w:rFonts w:ascii="宋体" w:hAnsi="宋体" w:eastAsia="宋体"/>
                <w:sz w:val="16"/>
              </w:rPr>
              <w:t>项目名称</w:t>
            </w:r>
          </w:p>
        </w:tc>
        <w:tc>
          <w:tcPr>
            <w:tcW w:w="8438"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05EA3FB">
            <w:pPr>
              <w:jc w:val="center"/>
            </w:pPr>
            <w:r>
              <w:rPr>
                <w:rFonts w:ascii="宋体" w:hAnsi="宋体" w:eastAsia="宋体"/>
                <w:sz w:val="16"/>
              </w:rPr>
              <w:t>托里县疾病预防控制中心2024年重大传染病防控补助资金</w:t>
            </w:r>
          </w:p>
        </w:tc>
      </w:tr>
      <w:tr w14:paraId="662F01C0">
        <w:tblPrEx>
          <w:tblCellMar>
            <w:top w:w="0" w:type="dxa"/>
            <w:left w:w="108" w:type="dxa"/>
            <w:bottom w:w="0" w:type="dxa"/>
            <w:right w:w="108" w:type="dxa"/>
          </w:tblCellMar>
        </w:tblPrEx>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67E81573">
            <w:pPr>
              <w:jc w:val="center"/>
            </w:pPr>
            <w:r>
              <w:rPr>
                <w:rFonts w:ascii="宋体" w:hAnsi="宋体" w:eastAsia="宋体"/>
                <w:sz w:val="16"/>
              </w:rPr>
              <w:t>主管部门</w:t>
            </w:r>
          </w:p>
        </w:tc>
        <w:tc>
          <w:tcPr>
            <w:tcW w:w="457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5D84B2">
            <w:pPr>
              <w:jc w:val="center"/>
            </w:pPr>
            <w:r>
              <w:rPr>
                <w:rFonts w:ascii="宋体" w:hAnsi="宋体" w:eastAsia="宋体"/>
                <w:sz w:val="16"/>
              </w:rPr>
              <w:t>托里县疾病预防控制中心</w:t>
            </w:r>
          </w:p>
        </w:tc>
        <w:tc>
          <w:tcPr>
            <w:tcW w:w="734" w:type="dxa"/>
            <w:tcBorders>
              <w:top w:val="single" w:color="auto" w:sz="10" w:space="0"/>
              <w:left w:val="single" w:color="auto" w:sz="10" w:space="0"/>
              <w:bottom w:val="single" w:color="auto" w:sz="10" w:space="0"/>
              <w:right w:val="single" w:color="auto" w:sz="10" w:space="0"/>
              <w:insideV w:val="single" w:sz="10" w:space="0"/>
            </w:tcBorders>
            <w:vAlign w:val="center"/>
          </w:tcPr>
          <w:p w14:paraId="33642062">
            <w:pPr>
              <w:jc w:val="center"/>
            </w:pPr>
            <w:r>
              <w:rPr>
                <w:rFonts w:ascii="宋体" w:hAnsi="宋体" w:eastAsia="宋体"/>
                <w:sz w:val="16"/>
              </w:rPr>
              <w:t>实施单位</w:t>
            </w:r>
          </w:p>
        </w:tc>
        <w:tc>
          <w:tcPr>
            <w:tcW w:w="3129"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807E48D">
            <w:pPr>
              <w:jc w:val="center"/>
            </w:pPr>
            <w:r>
              <w:rPr>
                <w:rFonts w:ascii="宋体" w:hAnsi="宋体" w:eastAsia="宋体"/>
                <w:sz w:val="16"/>
              </w:rPr>
              <w:t>托里县疾病预防控制中心</w:t>
            </w:r>
          </w:p>
        </w:tc>
      </w:tr>
      <w:tr w14:paraId="3FF99E18">
        <w:tblPrEx>
          <w:tblCellMar>
            <w:top w:w="0" w:type="dxa"/>
            <w:left w:w="108" w:type="dxa"/>
            <w:bottom w:w="0" w:type="dxa"/>
            <w:right w:w="108" w:type="dxa"/>
          </w:tblCellMar>
        </w:tblPrEx>
        <w:tc>
          <w:tcPr>
            <w:tcW w:w="6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EE24A4">
            <w:pPr>
              <w:jc w:val="center"/>
            </w:pPr>
            <w:r>
              <w:rPr>
                <w:rFonts w:ascii="宋体" w:hAnsi="宋体" w:eastAsia="宋体"/>
                <w:sz w:val="16"/>
              </w:rPr>
              <w:t>项目资金 （万元）</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EAA5C">
            <w:pPr>
              <w:jc w:val="center"/>
            </w:pPr>
          </w:p>
        </w:tc>
        <w:tc>
          <w:tcPr>
            <w:tcW w:w="15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D3C5E">
            <w:pPr>
              <w:jc w:val="center"/>
            </w:pPr>
            <w:r>
              <w:rPr>
                <w:rFonts w:ascii="宋体" w:hAnsi="宋体" w:eastAsia="宋体"/>
                <w:sz w:val="16"/>
              </w:rPr>
              <w:t>年初预算数</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EB25E">
            <w:pPr>
              <w:jc w:val="center"/>
            </w:pPr>
            <w:r>
              <w:rPr>
                <w:rFonts w:ascii="宋体" w:hAnsi="宋体" w:eastAsia="宋体"/>
                <w:sz w:val="16"/>
              </w:rPr>
              <w:t>全年预算数</w:t>
            </w:r>
          </w:p>
        </w:tc>
        <w:tc>
          <w:tcPr>
            <w:tcW w:w="13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D2D3F6">
            <w:pPr>
              <w:jc w:val="center"/>
            </w:pPr>
            <w:r>
              <w:rPr>
                <w:rFonts w:ascii="宋体" w:hAnsi="宋体" w:eastAsia="宋体"/>
                <w:sz w:val="16"/>
              </w:rPr>
              <w:t>全年执行数</w:t>
            </w:r>
          </w:p>
        </w:tc>
        <w:tc>
          <w:tcPr>
            <w:tcW w:w="11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92830">
            <w:pPr>
              <w:jc w:val="center"/>
            </w:pPr>
            <w:r>
              <w:rPr>
                <w:rFonts w:ascii="宋体" w:hAnsi="宋体" w:eastAsia="宋体"/>
                <w:sz w:val="16"/>
              </w:rPr>
              <w:t>分值</w:t>
            </w:r>
          </w:p>
        </w:tc>
        <w:tc>
          <w:tcPr>
            <w:tcW w:w="13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54F52">
            <w:pPr>
              <w:jc w:val="center"/>
            </w:pPr>
            <w:r>
              <w:rPr>
                <w:rFonts w:ascii="宋体" w:hAnsi="宋体" w:eastAsia="宋体"/>
                <w:sz w:val="16"/>
              </w:rPr>
              <w:t>执行率</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4298C578">
            <w:pPr>
              <w:jc w:val="center"/>
            </w:pPr>
            <w:r>
              <w:rPr>
                <w:rFonts w:ascii="宋体" w:hAnsi="宋体" w:eastAsia="宋体"/>
                <w:sz w:val="16"/>
              </w:rPr>
              <w:t>得分</w:t>
            </w:r>
          </w:p>
        </w:tc>
      </w:tr>
      <w:tr w14:paraId="650CE4DA">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75021C67"/>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CD030">
            <w:pPr>
              <w:jc w:val="center"/>
            </w:pPr>
            <w:r>
              <w:rPr>
                <w:rFonts w:ascii="宋体" w:hAnsi="宋体" w:eastAsia="宋体"/>
                <w:sz w:val="16"/>
              </w:rPr>
              <w:t>年度资金总额</w:t>
            </w:r>
          </w:p>
        </w:tc>
        <w:tc>
          <w:tcPr>
            <w:tcW w:w="15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3C84C">
            <w:pPr>
              <w:jc w:val="center"/>
            </w:pPr>
            <w:r>
              <w:rPr>
                <w:rFonts w:ascii="宋体" w:hAnsi="宋体" w:eastAsia="宋体"/>
                <w:sz w:val="16"/>
              </w:rPr>
              <w:t>152.50</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32F3E">
            <w:pPr>
              <w:jc w:val="center"/>
            </w:pPr>
            <w:r>
              <w:rPr>
                <w:rFonts w:ascii="宋体" w:hAnsi="宋体" w:eastAsia="宋体"/>
                <w:sz w:val="16"/>
              </w:rPr>
              <w:t>152.50</w:t>
            </w:r>
          </w:p>
        </w:tc>
        <w:tc>
          <w:tcPr>
            <w:tcW w:w="13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5A3F6">
            <w:pPr>
              <w:jc w:val="center"/>
            </w:pPr>
            <w:r>
              <w:rPr>
                <w:rFonts w:ascii="宋体" w:hAnsi="宋体" w:eastAsia="宋体"/>
                <w:sz w:val="16"/>
              </w:rPr>
              <w:t>143.34</w:t>
            </w:r>
          </w:p>
        </w:tc>
        <w:tc>
          <w:tcPr>
            <w:tcW w:w="11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A413D">
            <w:pPr>
              <w:jc w:val="center"/>
            </w:pPr>
            <w:r>
              <w:rPr>
                <w:rFonts w:ascii="宋体" w:hAnsi="宋体" w:eastAsia="宋体"/>
                <w:sz w:val="16"/>
              </w:rPr>
              <w:t>10</w:t>
            </w:r>
          </w:p>
        </w:tc>
        <w:tc>
          <w:tcPr>
            <w:tcW w:w="13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6EF86">
            <w:pPr>
              <w:jc w:val="center"/>
            </w:pPr>
            <w:r>
              <w:rPr>
                <w:rFonts w:ascii="宋体" w:hAnsi="宋体" w:eastAsia="宋体"/>
                <w:sz w:val="16"/>
              </w:rPr>
              <w:t>93.99%</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49A2D2E2">
            <w:pPr>
              <w:jc w:val="center"/>
            </w:pPr>
            <w:r>
              <w:rPr>
                <w:rFonts w:ascii="宋体" w:hAnsi="宋体" w:eastAsia="宋体"/>
                <w:sz w:val="16"/>
              </w:rPr>
              <w:t>9.40</w:t>
            </w:r>
          </w:p>
        </w:tc>
      </w:tr>
      <w:tr w14:paraId="7BFA657F">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608112A2"/>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2B5DD">
            <w:pPr>
              <w:jc w:val="center"/>
            </w:pPr>
            <w:r>
              <w:rPr>
                <w:rFonts w:ascii="宋体" w:hAnsi="宋体" w:eastAsia="宋体"/>
                <w:sz w:val="16"/>
              </w:rPr>
              <w:t>其中：当年财政拨款</w:t>
            </w:r>
          </w:p>
        </w:tc>
        <w:tc>
          <w:tcPr>
            <w:tcW w:w="15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C6B68">
            <w:pPr>
              <w:jc w:val="center"/>
            </w:pPr>
            <w:r>
              <w:rPr>
                <w:rFonts w:ascii="宋体" w:hAnsi="宋体" w:eastAsia="宋体"/>
                <w:sz w:val="16"/>
              </w:rPr>
              <w:t>152.50</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CA1D3">
            <w:pPr>
              <w:jc w:val="center"/>
            </w:pPr>
            <w:r>
              <w:rPr>
                <w:rFonts w:ascii="宋体" w:hAnsi="宋体" w:eastAsia="宋体"/>
                <w:sz w:val="16"/>
              </w:rPr>
              <w:t>152.50</w:t>
            </w:r>
          </w:p>
        </w:tc>
        <w:tc>
          <w:tcPr>
            <w:tcW w:w="13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D8E57">
            <w:pPr>
              <w:jc w:val="center"/>
            </w:pPr>
            <w:r>
              <w:rPr>
                <w:rFonts w:ascii="宋体" w:hAnsi="宋体" w:eastAsia="宋体"/>
                <w:sz w:val="16"/>
              </w:rPr>
              <w:t>143.34</w:t>
            </w:r>
          </w:p>
        </w:tc>
        <w:tc>
          <w:tcPr>
            <w:tcW w:w="11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BAA849">
            <w:pPr>
              <w:jc w:val="center"/>
            </w:pPr>
            <w:r>
              <w:rPr>
                <w:rFonts w:ascii="宋体" w:hAnsi="宋体" w:eastAsia="宋体"/>
                <w:sz w:val="16"/>
              </w:rPr>
              <w:t>—</w:t>
            </w:r>
          </w:p>
        </w:tc>
        <w:tc>
          <w:tcPr>
            <w:tcW w:w="13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84A03">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0A542901">
            <w:pPr>
              <w:jc w:val="center"/>
            </w:pPr>
            <w:r>
              <w:rPr>
                <w:rFonts w:ascii="宋体" w:hAnsi="宋体" w:eastAsia="宋体"/>
                <w:sz w:val="16"/>
              </w:rPr>
              <w:t>—</w:t>
            </w:r>
          </w:p>
        </w:tc>
      </w:tr>
      <w:tr w14:paraId="3A29852D">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0BF187C9"/>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4D102">
            <w:pPr>
              <w:jc w:val="center"/>
            </w:pPr>
            <w:r>
              <w:rPr>
                <w:rFonts w:ascii="宋体" w:hAnsi="宋体" w:eastAsia="宋体"/>
                <w:sz w:val="16"/>
              </w:rPr>
              <w:t xml:space="preserve">  其他资金</w:t>
            </w:r>
          </w:p>
        </w:tc>
        <w:tc>
          <w:tcPr>
            <w:tcW w:w="15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66EE7">
            <w:pPr>
              <w:jc w:val="center"/>
            </w:pPr>
            <w:r>
              <w:rPr>
                <w:rFonts w:ascii="宋体" w:hAnsi="宋体" w:eastAsia="宋体"/>
                <w:sz w:val="16"/>
              </w:rPr>
              <w:t>0.00</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D59FB">
            <w:pPr>
              <w:jc w:val="center"/>
            </w:pPr>
            <w:r>
              <w:rPr>
                <w:rFonts w:ascii="宋体" w:hAnsi="宋体" w:eastAsia="宋体"/>
                <w:sz w:val="16"/>
              </w:rPr>
              <w:t>0.00</w:t>
            </w:r>
          </w:p>
        </w:tc>
        <w:tc>
          <w:tcPr>
            <w:tcW w:w="13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AE3FDB">
            <w:pPr>
              <w:jc w:val="center"/>
            </w:pPr>
            <w:r>
              <w:rPr>
                <w:rFonts w:ascii="宋体" w:hAnsi="宋体" w:eastAsia="宋体"/>
                <w:sz w:val="16"/>
              </w:rPr>
              <w:t>0.00</w:t>
            </w:r>
          </w:p>
        </w:tc>
        <w:tc>
          <w:tcPr>
            <w:tcW w:w="11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B0243">
            <w:pPr>
              <w:jc w:val="center"/>
            </w:pPr>
            <w:r>
              <w:rPr>
                <w:rFonts w:ascii="宋体" w:hAnsi="宋体" w:eastAsia="宋体"/>
                <w:sz w:val="16"/>
              </w:rPr>
              <w:t>—</w:t>
            </w:r>
          </w:p>
        </w:tc>
        <w:tc>
          <w:tcPr>
            <w:tcW w:w="13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8AAD7C">
            <w:pPr>
              <w:jc w:val="center"/>
            </w:pPr>
            <w:r>
              <w:rPr>
                <w:rFonts w:ascii="宋体" w:hAnsi="宋体" w:eastAsia="宋体"/>
                <w:sz w:val="16"/>
              </w:rPr>
              <w:t>—</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322BB0BA">
            <w:pPr>
              <w:jc w:val="center"/>
            </w:pPr>
            <w:r>
              <w:rPr>
                <w:rFonts w:ascii="宋体" w:hAnsi="宋体" w:eastAsia="宋体"/>
                <w:sz w:val="16"/>
              </w:rPr>
              <w:t>—</w:t>
            </w:r>
          </w:p>
        </w:tc>
      </w:tr>
      <w:tr w14:paraId="392DAC0B">
        <w:tblPrEx>
          <w:tblCellMar>
            <w:top w:w="0" w:type="dxa"/>
            <w:left w:w="108" w:type="dxa"/>
            <w:bottom w:w="0" w:type="dxa"/>
            <w:right w:w="108" w:type="dxa"/>
          </w:tblCellMar>
        </w:tblPrEx>
        <w:tc>
          <w:tcPr>
            <w:tcW w:w="6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6E02E0">
            <w:pPr>
              <w:jc w:val="center"/>
            </w:pPr>
            <w:r>
              <w:rPr>
                <w:rFonts w:ascii="宋体" w:hAnsi="宋体" w:eastAsia="宋体"/>
                <w:sz w:val="16"/>
              </w:rPr>
              <w:t>年度总体目标</w:t>
            </w:r>
          </w:p>
        </w:tc>
        <w:tc>
          <w:tcPr>
            <w:tcW w:w="457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23EC3E">
            <w:pPr>
              <w:jc w:val="center"/>
            </w:pPr>
            <w:r>
              <w:rPr>
                <w:rFonts w:ascii="宋体" w:hAnsi="宋体" w:eastAsia="宋体"/>
                <w:sz w:val="16"/>
              </w:rPr>
              <w:t>预期目标</w:t>
            </w:r>
          </w:p>
        </w:tc>
        <w:tc>
          <w:tcPr>
            <w:tcW w:w="386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95B387">
            <w:pPr>
              <w:jc w:val="center"/>
            </w:pPr>
            <w:r>
              <w:rPr>
                <w:rFonts w:ascii="宋体" w:hAnsi="宋体" w:eastAsia="宋体"/>
                <w:sz w:val="16"/>
              </w:rPr>
              <w:t>实际完成情况</w:t>
            </w:r>
          </w:p>
        </w:tc>
      </w:tr>
      <w:tr w14:paraId="5E7E3F72">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2A9402B1"/>
        </w:tc>
        <w:tc>
          <w:tcPr>
            <w:tcW w:w="457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2622E5">
            <w:pPr>
              <w:jc w:val="both"/>
            </w:pPr>
            <w:r>
              <w:rPr>
                <w:rFonts w:ascii="宋体" w:hAnsi="宋体" w:eastAsia="宋体"/>
                <w:sz w:val="16"/>
              </w:rPr>
              <w:t>补助项目资金152.5万元，用于学生体检收益3297人，进一步完善托里县疾病预防控制机构体系建设，提高对危害人民健康的重大疾病的预防控制和对爆发</w:t>
            </w:r>
            <w:r>
              <w:rPr>
                <w:rFonts w:hint="eastAsia" w:ascii="宋体" w:hAnsi="宋体"/>
                <w:sz w:val="16"/>
                <w:lang w:eastAsia="zh-CN"/>
              </w:rPr>
              <w:t>防疫</w:t>
            </w:r>
            <w:r>
              <w:rPr>
                <w:rFonts w:ascii="宋体" w:hAnsi="宋体" w:eastAsia="宋体"/>
                <w:sz w:val="16"/>
              </w:rPr>
              <w:t>，中毒及生物化学危害等突发公共卫生事件的产量和反应能力，提高公共卫生服务质量与效率，保护人民健康，维护社会稳定，群众满意度95%。</w:t>
            </w:r>
          </w:p>
        </w:tc>
        <w:tc>
          <w:tcPr>
            <w:tcW w:w="386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A69B8A">
            <w:pPr>
              <w:jc w:val="both"/>
            </w:pPr>
            <w:r>
              <w:rPr>
                <w:rFonts w:ascii="宋体" w:hAnsi="宋体" w:eastAsia="宋体"/>
                <w:sz w:val="16"/>
              </w:rPr>
              <w:t>年度预期目标：</w:t>
            </w:r>
            <w:r>
              <w:rPr>
                <w:rFonts w:ascii="宋体" w:hAnsi="宋体" w:eastAsia="宋体"/>
                <w:sz w:val="16"/>
              </w:rPr>
              <w:br w:type="textWrapping"/>
            </w:r>
            <w:r>
              <w:rPr>
                <w:rFonts w:ascii="宋体" w:hAnsi="宋体" w:eastAsia="宋体"/>
                <w:sz w:val="16"/>
              </w:rPr>
              <w:t>补助项目资金152.5万元，基本公共卫生重大传染病人数1500人，进一步完善托里县疾病预防控制机构体系建设，提高对危害人民健康的重大疾病的预防控制和对爆发</w:t>
            </w:r>
            <w:r>
              <w:rPr>
                <w:rFonts w:hint="eastAsia" w:ascii="宋体" w:hAnsi="宋体"/>
                <w:sz w:val="16"/>
                <w:lang w:eastAsia="zh-CN"/>
              </w:rPr>
              <w:t>防疫</w:t>
            </w:r>
            <w:r>
              <w:rPr>
                <w:rFonts w:ascii="宋体" w:hAnsi="宋体" w:eastAsia="宋体"/>
                <w:sz w:val="16"/>
              </w:rPr>
              <w:t>，中毒及生物化学危害等突发公共卫生事件的产量和反应能力，提高公共卫生服务质量与效率，保护人民健康，维护社会稳定，群众满意度95%。</w:t>
            </w:r>
          </w:p>
        </w:tc>
      </w:tr>
      <w:tr w14:paraId="6D89284A">
        <w:tblPrEx>
          <w:tblCellMar>
            <w:top w:w="0" w:type="dxa"/>
            <w:left w:w="108" w:type="dxa"/>
            <w:bottom w:w="0" w:type="dxa"/>
            <w:right w:w="108" w:type="dxa"/>
          </w:tblCellMar>
        </w:tblPrEx>
        <w:tc>
          <w:tcPr>
            <w:tcW w:w="622" w:type="dxa"/>
            <w:tcBorders>
              <w:top w:val="single" w:color="auto" w:sz="10" w:space="0"/>
              <w:left w:val="single" w:color="auto" w:sz="10" w:space="0"/>
              <w:bottom w:val="single" w:color="auto" w:sz="10" w:space="0"/>
              <w:right w:val="single" w:color="auto" w:sz="10" w:space="0"/>
              <w:insideV w:val="single" w:sz="10" w:space="0"/>
            </w:tcBorders>
          </w:tcPr>
          <w:p w14:paraId="0F36A163"/>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589A1389">
            <w:pPr>
              <w:jc w:val="center"/>
            </w:pPr>
            <w:r>
              <w:rPr>
                <w:rFonts w:ascii="宋体" w:hAnsi="宋体" w:eastAsia="宋体"/>
                <w:sz w:val="16"/>
              </w:rPr>
              <w:t>一级指标</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395ED6F2">
            <w:pPr>
              <w:jc w:val="center"/>
            </w:pPr>
            <w:r>
              <w:rPr>
                <w:rFonts w:ascii="宋体" w:hAnsi="宋体" w:eastAsia="宋体"/>
                <w:sz w:val="16"/>
              </w:rPr>
              <w:t>二级指标</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6684FF9F">
            <w:pPr>
              <w:jc w:val="center"/>
            </w:pPr>
            <w:r>
              <w:rPr>
                <w:rFonts w:ascii="宋体" w:hAnsi="宋体" w:eastAsia="宋体"/>
                <w:sz w:val="16"/>
              </w:rPr>
              <w:t>三级指标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2931528C">
            <w:pPr>
              <w:jc w:val="center"/>
            </w:pPr>
            <w:r>
              <w:rPr>
                <w:rFonts w:ascii="宋体" w:hAnsi="宋体" w:eastAsia="宋体"/>
                <w:sz w:val="16"/>
              </w:rPr>
              <w:t>指标值</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4F564608">
            <w:pPr>
              <w:jc w:val="center"/>
            </w:pPr>
            <w:r>
              <w:rPr>
                <w:rFonts w:ascii="宋体" w:hAnsi="宋体" w:eastAsia="宋体"/>
                <w:sz w:val="16"/>
              </w:rPr>
              <w:t>指标值设定依据</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50102302">
            <w:pPr>
              <w:jc w:val="center"/>
            </w:pPr>
            <w:r>
              <w:rPr>
                <w:rFonts w:ascii="宋体" w:hAnsi="宋体" w:eastAsia="宋体"/>
                <w:sz w:val="16"/>
              </w:rPr>
              <w:t>上年完成情况</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6CEB91E4">
            <w:pPr>
              <w:jc w:val="center"/>
            </w:pPr>
            <w:r>
              <w:rPr>
                <w:rFonts w:ascii="宋体" w:hAnsi="宋体" w:eastAsia="宋体"/>
                <w:sz w:val="16"/>
              </w:rPr>
              <w:t>指标分值权重</w:t>
            </w:r>
          </w:p>
        </w:tc>
        <w:tc>
          <w:tcPr>
            <w:tcW w:w="734" w:type="dxa"/>
            <w:tcBorders>
              <w:top w:val="single" w:color="auto" w:sz="10" w:space="0"/>
              <w:left w:val="single" w:color="auto" w:sz="10" w:space="0"/>
              <w:bottom w:val="single" w:color="auto" w:sz="10" w:space="0"/>
              <w:right w:val="single" w:color="auto" w:sz="10" w:space="0"/>
              <w:insideV w:val="single" w:sz="10" w:space="0"/>
            </w:tcBorders>
            <w:vAlign w:val="center"/>
          </w:tcPr>
          <w:p w14:paraId="03AB6ED7">
            <w:pPr>
              <w:jc w:val="center"/>
            </w:pPr>
            <w:r>
              <w:rPr>
                <w:rFonts w:ascii="宋体" w:hAnsi="宋体" w:eastAsia="宋体"/>
                <w:sz w:val="16"/>
              </w:rPr>
              <w:t>指标赋分规则</w:t>
            </w:r>
          </w:p>
        </w:tc>
        <w:tc>
          <w:tcPr>
            <w:tcW w:w="653" w:type="dxa"/>
            <w:tcBorders>
              <w:top w:val="single" w:color="auto" w:sz="10" w:space="0"/>
              <w:left w:val="single" w:color="auto" w:sz="10" w:space="0"/>
              <w:bottom w:val="single" w:color="auto" w:sz="10" w:space="0"/>
              <w:right w:val="single" w:color="auto" w:sz="10" w:space="0"/>
              <w:insideV w:val="single" w:sz="10" w:space="0"/>
            </w:tcBorders>
            <w:vAlign w:val="center"/>
          </w:tcPr>
          <w:p w14:paraId="42BDFBCF">
            <w:pPr>
              <w:jc w:val="center"/>
            </w:pPr>
            <w:r>
              <w:rPr>
                <w:rFonts w:ascii="宋体" w:hAnsi="宋体" w:eastAsia="宋体"/>
                <w:sz w:val="16"/>
              </w:rPr>
              <w:t>佐证资料</w:t>
            </w:r>
          </w:p>
        </w:tc>
        <w:tc>
          <w:tcPr>
            <w:tcW w:w="528" w:type="dxa"/>
            <w:tcBorders>
              <w:top w:val="single" w:color="auto" w:sz="10" w:space="0"/>
              <w:left w:val="single" w:color="auto" w:sz="10" w:space="0"/>
              <w:bottom w:val="single" w:color="auto" w:sz="10" w:space="0"/>
              <w:right w:val="single" w:color="auto" w:sz="10" w:space="0"/>
              <w:insideV w:val="single" w:sz="10" w:space="0"/>
            </w:tcBorders>
            <w:vAlign w:val="center"/>
          </w:tcPr>
          <w:p w14:paraId="22B093AC">
            <w:pPr>
              <w:jc w:val="center"/>
            </w:pPr>
            <w:r>
              <w:rPr>
                <w:rFonts w:ascii="宋体" w:hAnsi="宋体" w:eastAsia="宋体"/>
                <w:sz w:val="16"/>
              </w:rPr>
              <w:t>指标实际完成值</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5B9A634">
            <w:pPr>
              <w:jc w:val="center"/>
            </w:pPr>
            <w:r>
              <w:rPr>
                <w:rFonts w:ascii="宋体" w:hAnsi="宋体" w:eastAsia="宋体"/>
                <w:sz w:val="16"/>
              </w:rPr>
              <w:t>完成率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28D001F7">
            <w:pPr>
              <w:jc w:val="center"/>
            </w:pPr>
            <w:r>
              <w:rPr>
                <w:rFonts w:ascii="宋体" w:hAnsi="宋体" w:eastAsia="宋体"/>
                <w:sz w:val="16"/>
              </w:rPr>
              <w:t>指标得分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1F73AC57">
            <w:pPr>
              <w:jc w:val="center"/>
            </w:pPr>
            <w:r>
              <w:rPr>
                <w:rFonts w:ascii="宋体" w:hAnsi="宋体" w:eastAsia="宋体"/>
                <w:sz w:val="16"/>
              </w:rPr>
              <w:t>偏差原因分析及改进措施</w:t>
            </w:r>
          </w:p>
        </w:tc>
      </w:tr>
      <w:tr w14:paraId="034F15A9">
        <w:tblPrEx>
          <w:tblCellMar>
            <w:top w:w="0" w:type="dxa"/>
            <w:left w:w="108" w:type="dxa"/>
            <w:bottom w:w="0" w:type="dxa"/>
            <w:right w:w="108" w:type="dxa"/>
          </w:tblCellMar>
        </w:tblPrEx>
        <w:tc>
          <w:tcPr>
            <w:tcW w:w="6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02DE94">
            <w:pPr>
              <w:jc w:val="center"/>
            </w:pPr>
            <w:r>
              <w:rPr>
                <w:rFonts w:ascii="宋体" w:hAnsi="宋体" w:eastAsia="宋体"/>
                <w:sz w:val="16"/>
              </w:rPr>
              <w:t>年度绩效指标完成情况</w:t>
            </w:r>
          </w:p>
        </w:tc>
        <w:tc>
          <w:tcPr>
            <w:tcW w:w="6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D71C02">
            <w:pPr>
              <w:jc w:val="center"/>
            </w:pPr>
            <w:r>
              <w:rPr>
                <w:rFonts w:ascii="宋体" w:hAnsi="宋体" w:eastAsia="宋体"/>
                <w:sz w:val="16"/>
              </w:rPr>
              <w:t>产出指标</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6C845BD8">
            <w:pPr>
              <w:jc w:val="center"/>
            </w:pPr>
            <w:r>
              <w:rPr>
                <w:rFonts w:ascii="宋体" w:hAnsi="宋体" w:eastAsia="宋体"/>
                <w:sz w:val="16"/>
              </w:rPr>
              <w:t>数量指标</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2C2AF90E">
            <w:pPr>
              <w:jc w:val="center"/>
            </w:pPr>
            <w:r>
              <w:rPr>
                <w:rFonts w:ascii="宋体" w:hAnsi="宋体" w:eastAsia="宋体"/>
                <w:sz w:val="16"/>
              </w:rPr>
              <w:t>基本公共卫生重大传染病人数</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353E0AA7">
            <w:pPr>
              <w:jc w:val="center"/>
            </w:pPr>
            <w:r>
              <w:rPr>
                <w:rFonts w:ascii="宋体" w:hAnsi="宋体" w:eastAsia="宋体"/>
                <w:sz w:val="16"/>
              </w:rPr>
              <w:t>=1500人</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340432A8">
            <w:pPr>
              <w:jc w:val="center"/>
            </w:pPr>
            <w:r>
              <w:rPr>
                <w:rFonts w:ascii="宋体" w:hAnsi="宋体" w:eastAsia="宋体"/>
                <w:sz w:val="16"/>
              </w:rPr>
              <w:t>计划标准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5D398749">
            <w:pPr>
              <w:jc w:val="center"/>
            </w:pPr>
            <w:r>
              <w:rPr>
                <w:rFonts w:ascii="宋体" w:hAnsi="宋体" w:eastAsia="宋体"/>
                <w:sz w:val="16"/>
              </w:rPr>
              <w:t>上年无此值</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285DF237">
            <w:pPr>
              <w:jc w:val="center"/>
            </w:pPr>
            <w:r>
              <w:rPr>
                <w:rFonts w:ascii="宋体" w:hAnsi="宋体" w:eastAsia="宋体"/>
                <w:sz w:val="16"/>
              </w:rPr>
              <w:t>10</w:t>
            </w:r>
          </w:p>
        </w:tc>
        <w:tc>
          <w:tcPr>
            <w:tcW w:w="734" w:type="dxa"/>
            <w:tcBorders>
              <w:top w:val="single" w:color="auto" w:sz="10" w:space="0"/>
              <w:left w:val="single" w:color="auto" w:sz="10" w:space="0"/>
              <w:bottom w:val="single" w:color="auto" w:sz="10" w:space="0"/>
              <w:right w:val="single" w:color="auto" w:sz="10" w:space="0"/>
              <w:insideV w:val="single" w:sz="10" w:space="0"/>
            </w:tcBorders>
            <w:vAlign w:val="center"/>
          </w:tcPr>
          <w:p w14:paraId="54583396">
            <w:pPr>
              <w:jc w:val="center"/>
            </w:pPr>
            <w:r>
              <w:rPr>
                <w:rFonts w:ascii="宋体" w:hAnsi="宋体" w:eastAsia="宋体"/>
                <w:sz w:val="16"/>
              </w:rPr>
              <w:t>按照完成比例赋分</w:t>
            </w:r>
          </w:p>
        </w:tc>
        <w:tc>
          <w:tcPr>
            <w:tcW w:w="653" w:type="dxa"/>
            <w:tcBorders>
              <w:top w:val="single" w:color="auto" w:sz="10" w:space="0"/>
              <w:left w:val="single" w:color="auto" w:sz="10" w:space="0"/>
              <w:bottom w:val="single" w:color="auto" w:sz="10" w:space="0"/>
              <w:right w:val="single" w:color="auto" w:sz="10" w:space="0"/>
              <w:insideV w:val="single" w:sz="10" w:space="0"/>
            </w:tcBorders>
            <w:vAlign w:val="center"/>
          </w:tcPr>
          <w:p w14:paraId="512153AA">
            <w:pPr>
              <w:jc w:val="center"/>
            </w:pPr>
            <w:r>
              <w:rPr>
                <w:rFonts w:ascii="宋体" w:hAnsi="宋体" w:eastAsia="宋体"/>
                <w:sz w:val="16"/>
              </w:rPr>
              <w:t>正式材料</w:t>
            </w:r>
          </w:p>
        </w:tc>
        <w:tc>
          <w:tcPr>
            <w:tcW w:w="528" w:type="dxa"/>
            <w:tcBorders>
              <w:top w:val="single" w:color="auto" w:sz="10" w:space="0"/>
              <w:left w:val="single" w:color="auto" w:sz="10" w:space="0"/>
              <w:bottom w:val="single" w:color="auto" w:sz="10" w:space="0"/>
              <w:right w:val="single" w:color="auto" w:sz="10" w:space="0"/>
              <w:insideV w:val="single" w:sz="10" w:space="0"/>
            </w:tcBorders>
            <w:vAlign w:val="center"/>
          </w:tcPr>
          <w:p w14:paraId="5F077443">
            <w:pPr>
              <w:jc w:val="center"/>
            </w:pPr>
            <w:r>
              <w:rPr>
                <w:rFonts w:ascii="宋体" w:hAnsi="宋体" w:eastAsia="宋体"/>
                <w:sz w:val="16"/>
              </w:rPr>
              <w:t>=1500人</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F3F12F7">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0A0567A8">
            <w:pPr>
              <w:jc w:val="center"/>
            </w:pPr>
            <w:r>
              <w:rPr>
                <w:rFonts w:ascii="宋体" w:hAnsi="宋体" w:eastAsia="宋体"/>
                <w:sz w:val="16"/>
              </w:rPr>
              <w:t>10</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45BEFB44">
            <w:pPr>
              <w:jc w:val="center"/>
            </w:pPr>
          </w:p>
        </w:tc>
      </w:tr>
      <w:tr w14:paraId="1155BB8D">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78F0DEDE"/>
        </w:tc>
        <w:tc>
          <w:tcPr>
            <w:tcW w:w="605" w:type="dxa"/>
            <w:vMerge w:val="continue"/>
            <w:tcBorders>
              <w:top w:val="single" w:color="auto" w:sz="10" w:space="0"/>
              <w:left w:val="single" w:color="auto" w:sz="10" w:space="0"/>
              <w:bottom w:val="single" w:color="auto" w:sz="10" w:space="0"/>
              <w:right w:val="single" w:color="auto" w:sz="10" w:space="0"/>
              <w:insideV w:val="single" w:sz="10" w:space="0"/>
            </w:tcBorders>
          </w:tcPr>
          <w:p w14:paraId="6B636252"/>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232873DE">
            <w:pPr>
              <w:jc w:val="center"/>
            </w:pPr>
            <w:r>
              <w:rPr>
                <w:rFonts w:ascii="宋体" w:hAnsi="宋体" w:eastAsia="宋体"/>
                <w:sz w:val="16"/>
              </w:rPr>
              <w:t>质量指标</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1B183EE4">
            <w:pPr>
              <w:jc w:val="center"/>
            </w:pPr>
            <w:r>
              <w:rPr>
                <w:rFonts w:ascii="宋体" w:hAnsi="宋体" w:eastAsia="宋体"/>
                <w:sz w:val="16"/>
              </w:rPr>
              <w:t>资金使用合格率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1BC27F46">
            <w:pPr>
              <w:jc w:val="center"/>
            </w:pPr>
            <w:r>
              <w:rPr>
                <w:rFonts w:ascii="宋体" w:hAnsi="宋体" w:eastAsia="宋体"/>
                <w:sz w:val="16"/>
              </w:rPr>
              <w:t>=100%</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3D95E49F">
            <w:pPr>
              <w:jc w:val="center"/>
            </w:pPr>
            <w:r>
              <w:rPr>
                <w:rFonts w:ascii="宋体" w:hAnsi="宋体" w:eastAsia="宋体"/>
                <w:sz w:val="16"/>
              </w:rPr>
              <w:t>计划标准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73856428">
            <w:pPr>
              <w:jc w:val="center"/>
            </w:pPr>
            <w:r>
              <w:rPr>
                <w:rFonts w:ascii="宋体" w:hAnsi="宋体" w:eastAsia="宋体"/>
                <w:sz w:val="16"/>
              </w:rPr>
              <w:t>上年无此值</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27343436">
            <w:pPr>
              <w:jc w:val="center"/>
            </w:pPr>
            <w:r>
              <w:rPr>
                <w:rFonts w:ascii="宋体" w:hAnsi="宋体" w:eastAsia="宋体"/>
                <w:sz w:val="16"/>
              </w:rPr>
              <w:t>10</w:t>
            </w:r>
          </w:p>
        </w:tc>
        <w:tc>
          <w:tcPr>
            <w:tcW w:w="734" w:type="dxa"/>
            <w:tcBorders>
              <w:top w:val="single" w:color="auto" w:sz="10" w:space="0"/>
              <w:left w:val="single" w:color="auto" w:sz="10" w:space="0"/>
              <w:bottom w:val="single" w:color="auto" w:sz="10" w:space="0"/>
              <w:right w:val="single" w:color="auto" w:sz="10" w:space="0"/>
              <w:insideV w:val="single" w:sz="10" w:space="0"/>
            </w:tcBorders>
            <w:vAlign w:val="center"/>
          </w:tcPr>
          <w:p w14:paraId="31A1DC26">
            <w:pPr>
              <w:jc w:val="center"/>
            </w:pPr>
            <w:r>
              <w:rPr>
                <w:rFonts w:ascii="宋体" w:hAnsi="宋体" w:eastAsia="宋体"/>
                <w:sz w:val="16"/>
              </w:rPr>
              <w:t>按照完成比例赋分</w:t>
            </w:r>
          </w:p>
        </w:tc>
        <w:tc>
          <w:tcPr>
            <w:tcW w:w="653" w:type="dxa"/>
            <w:tcBorders>
              <w:top w:val="single" w:color="auto" w:sz="10" w:space="0"/>
              <w:left w:val="single" w:color="auto" w:sz="10" w:space="0"/>
              <w:bottom w:val="single" w:color="auto" w:sz="10" w:space="0"/>
              <w:right w:val="single" w:color="auto" w:sz="10" w:space="0"/>
              <w:insideV w:val="single" w:sz="10" w:space="0"/>
            </w:tcBorders>
            <w:vAlign w:val="center"/>
          </w:tcPr>
          <w:p w14:paraId="468ABFA5">
            <w:pPr>
              <w:jc w:val="center"/>
            </w:pPr>
            <w:r>
              <w:rPr>
                <w:rFonts w:ascii="宋体" w:hAnsi="宋体" w:eastAsia="宋体"/>
                <w:sz w:val="16"/>
              </w:rPr>
              <w:t>正式材料</w:t>
            </w:r>
          </w:p>
        </w:tc>
        <w:tc>
          <w:tcPr>
            <w:tcW w:w="528" w:type="dxa"/>
            <w:tcBorders>
              <w:top w:val="single" w:color="auto" w:sz="10" w:space="0"/>
              <w:left w:val="single" w:color="auto" w:sz="10" w:space="0"/>
              <w:bottom w:val="single" w:color="auto" w:sz="10" w:space="0"/>
              <w:right w:val="single" w:color="auto" w:sz="10" w:space="0"/>
              <w:insideV w:val="single" w:sz="10" w:space="0"/>
            </w:tcBorders>
            <w:vAlign w:val="center"/>
          </w:tcPr>
          <w:p w14:paraId="5F744753">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CA7C2AE">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0C176B06">
            <w:pPr>
              <w:jc w:val="center"/>
            </w:pPr>
            <w:r>
              <w:rPr>
                <w:rFonts w:ascii="宋体" w:hAnsi="宋体" w:eastAsia="宋体"/>
                <w:sz w:val="16"/>
              </w:rPr>
              <w:t>10</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36E149A9">
            <w:pPr>
              <w:jc w:val="center"/>
            </w:pPr>
          </w:p>
        </w:tc>
      </w:tr>
      <w:tr w14:paraId="427463DA">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0745A540"/>
        </w:tc>
        <w:tc>
          <w:tcPr>
            <w:tcW w:w="605" w:type="dxa"/>
            <w:vMerge w:val="continue"/>
            <w:tcBorders>
              <w:top w:val="single" w:color="auto" w:sz="10" w:space="0"/>
              <w:left w:val="single" w:color="auto" w:sz="10" w:space="0"/>
              <w:bottom w:val="single" w:color="auto" w:sz="10" w:space="0"/>
              <w:right w:val="single" w:color="auto" w:sz="10" w:space="0"/>
              <w:insideV w:val="single" w:sz="10" w:space="0"/>
            </w:tcBorders>
          </w:tcPr>
          <w:p w14:paraId="51384FE6"/>
        </w:tc>
        <w:tc>
          <w:tcPr>
            <w:tcW w:w="6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F84523">
            <w:pPr>
              <w:jc w:val="center"/>
            </w:pPr>
            <w:r>
              <w:rPr>
                <w:rFonts w:ascii="宋体" w:hAnsi="宋体" w:eastAsia="宋体"/>
                <w:sz w:val="16"/>
              </w:rPr>
              <w:t>时效指标</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00FB0516">
            <w:pPr>
              <w:jc w:val="center"/>
            </w:pPr>
            <w:r>
              <w:rPr>
                <w:rFonts w:ascii="宋体" w:hAnsi="宋体" w:eastAsia="宋体"/>
                <w:sz w:val="16"/>
              </w:rPr>
              <w:t>资金支付及时率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704D8C69">
            <w:pPr>
              <w:jc w:val="center"/>
            </w:pPr>
            <w:r>
              <w:rPr>
                <w:rFonts w:ascii="宋体" w:hAnsi="宋体" w:eastAsia="宋体"/>
                <w:sz w:val="16"/>
              </w:rPr>
              <w:t>=100%</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4FB8E7B7">
            <w:pPr>
              <w:jc w:val="center"/>
            </w:pPr>
            <w:r>
              <w:rPr>
                <w:rFonts w:ascii="宋体" w:hAnsi="宋体" w:eastAsia="宋体"/>
                <w:sz w:val="16"/>
              </w:rPr>
              <w:t>计划标准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74906062">
            <w:pPr>
              <w:jc w:val="center"/>
            </w:pPr>
            <w:r>
              <w:rPr>
                <w:rFonts w:ascii="宋体" w:hAnsi="宋体" w:eastAsia="宋体"/>
                <w:sz w:val="16"/>
              </w:rPr>
              <w:t>上年无此值</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3683391B">
            <w:pPr>
              <w:jc w:val="center"/>
            </w:pPr>
            <w:r>
              <w:rPr>
                <w:rFonts w:ascii="宋体" w:hAnsi="宋体" w:eastAsia="宋体"/>
                <w:sz w:val="16"/>
              </w:rPr>
              <w:t>10</w:t>
            </w:r>
          </w:p>
        </w:tc>
        <w:tc>
          <w:tcPr>
            <w:tcW w:w="734" w:type="dxa"/>
            <w:tcBorders>
              <w:top w:val="single" w:color="auto" w:sz="10" w:space="0"/>
              <w:left w:val="single" w:color="auto" w:sz="10" w:space="0"/>
              <w:bottom w:val="single" w:color="auto" w:sz="10" w:space="0"/>
              <w:right w:val="single" w:color="auto" w:sz="10" w:space="0"/>
              <w:insideV w:val="single" w:sz="10" w:space="0"/>
            </w:tcBorders>
            <w:vAlign w:val="center"/>
          </w:tcPr>
          <w:p w14:paraId="028BE19A">
            <w:pPr>
              <w:jc w:val="center"/>
            </w:pPr>
            <w:r>
              <w:rPr>
                <w:rFonts w:ascii="宋体" w:hAnsi="宋体" w:eastAsia="宋体"/>
                <w:sz w:val="16"/>
              </w:rPr>
              <w:t>按照完成比例赋分</w:t>
            </w:r>
          </w:p>
        </w:tc>
        <w:tc>
          <w:tcPr>
            <w:tcW w:w="653" w:type="dxa"/>
            <w:tcBorders>
              <w:top w:val="single" w:color="auto" w:sz="10" w:space="0"/>
              <w:left w:val="single" w:color="auto" w:sz="10" w:space="0"/>
              <w:bottom w:val="single" w:color="auto" w:sz="10" w:space="0"/>
              <w:right w:val="single" w:color="auto" w:sz="10" w:space="0"/>
              <w:insideV w:val="single" w:sz="10" w:space="0"/>
            </w:tcBorders>
            <w:vAlign w:val="center"/>
          </w:tcPr>
          <w:p w14:paraId="40553F66">
            <w:pPr>
              <w:jc w:val="center"/>
            </w:pPr>
            <w:r>
              <w:rPr>
                <w:rFonts w:ascii="宋体" w:hAnsi="宋体" w:eastAsia="宋体"/>
                <w:sz w:val="16"/>
              </w:rPr>
              <w:t>正式材料</w:t>
            </w:r>
          </w:p>
        </w:tc>
        <w:tc>
          <w:tcPr>
            <w:tcW w:w="528" w:type="dxa"/>
            <w:tcBorders>
              <w:top w:val="single" w:color="auto" w:sz="10" w:space="0"/>
              <w:left w:val="single" w:color="auto" w:sz="10" w:space="0"/>
              <w:bottom w:val="single" w:color="auto" w:sz="10" w:space="0"/>
              <w:right w:val="single" w:color="auto" w:sz="10" w:space="0"/>
              <w:insideV w:val="single" w:sz="10" w:space="0"/>
            </w:tcBorders>
            <w:vAlign w:val="center"/>
          </w:tcPr>
          <w:p w14:paraId="0439FB5E">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B04A86C">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57C3056C">
            <w:pPr>
              <w:jc w:val="center"/>
            </w:pPr>
            <w:r>
              <w:rPr>
                <w:rFonts w:ascii="宋体" w:hAnsi="宋体" w:eastAsia="宋体"/>
                <w:sz w:val="16"/>
              </w:rPr>
              <w:t>10</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6399CB0A">
            <w:pPr>
              <w:jc w:val="center"/>
            </w:pPr>
          </w:p>
        </w:tc>
      </w:tr>
      <w:tr w14:paraId="70BFB591">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771E33CA"/>
        </w:tc>
        <w:tc>
          <w:tcPr>
            <w:tcW w:w="605" w:type="dxa"/>
            <w:vMerge w:val="continue"/>
            <w:tcBorders>
              <w:top w:val="single" w:color="auto" w:sz="10" w:space="0"/>
              <w:left w:val="single" w:color="auto" w:sz="10" w:space="0"/>
              <w:bottom w:val="single" w:color="auto" w:sz="10" w:space="0"/>
              <w:right w:val="single" w:color="auto" w:sz="10" w:space="0"/>
              <w:insideV w:val="single" w:sz="10" w:space="0"/>
            </w:tcBorders>
          </w:tcPr>
          <w:p w14:paraId="7CA67E29"/>
        </w:tc>
        <w:tc>
          <w:tcPr>
            <w:tcW w:w="605" w:type="dxa"/>
            <w:vMerge w:val="continue"/>
            <w:tcBorders>
              <w:top w:val="single" w:color="auto" w:sz="10" w:space="0"/>
              <w:left w:val="single" w:color="auto" w:sz="10" w:space="0"/>
              <w:bottom w:val="single" w:color="auto" w:sz="10" w:space="0"/>
              <w:right w:val="single" w:color="auto" w:sz="10" w:space="0"/>
              <w:insideV w:val="single" w:sz="10" w:space="0"/>
            </w:tcBorders>
          </w:tcPr>
          <w:p w14:paraId="6B5671A7"/>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3CAF43F7">
            <w:pPr>
              <w:jc w:val="center"/>
            </w:pPr>
            <w:r>
              <w:rPr>
                <w:rFonts w:ascii="宋体" w:hAnsi="宋体" w:eastAsia="宋体"/>
                <w:sz w:val="16"/>
              </w:rPr>
              <w:t>项目完成时间</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7A545B5D">
            <w:pPr>
              <w:jc w:val="center"/>
            </w:pPr>
            <w:r>
              <w:rPr>
                <w:rFonts w:ascii="宋体" w:hAnsi="宋体" w:eastAsia="宋体"/>
                <w:sz w:val="16"/>
              </w:rPr>
              <w:t>2024年12月25日</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0A0AC61B">
            <w:pPr>
              <w:jc w:val="center"/>
            </w:pPr>
            <w:r>
              <w:rPr>
                <w:rFonts w:ascii="宋体" w:hAnsi="宋体" w:eastAsia="宋体"/>
                <w:sz w:val="16"/>
              </w:rPr>
              <w:t>计划标准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34477523">
            <w:pPr>
              <w:jc w:val="center"/>
            </w:pPr>
            <w:r>
              <w:rPr>
                <w:rFonts w:ascii="宋体" w:hAnsi="宋体" w:eastAsia="宋体"/>
                <w:sz w:val="16"/>
              </w:rPr>
              <w:t>上年无此值</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7CA8C608">
            <w:pPr>
              <w:jc w:val="center"/>
            </w:pPr>
            <w:r>
              <w:rPr>
                <w:rFonts w:ascii="宋体" w:hAnsi="宋体" w:eastAsia="宋体"/>
                <w:sz w:val="16"/>
              </w:rPr>
              <w:t>10</w:t>
            </w:r>
          </w:p>
        </w:tc>
        <w:tc>
          <w:tcPr>
            <w:tcW w:w="734" w:type="dxa"/>
            <w:tcBorders>
              <w:top w:val="single" w:color="auto" w:sz="10" w:space="0"/>
              <w:left w:val="single" w:color="auto" w:sz="10" w:space="0"/>
              <w:bottom w:val="single" w:color="auto" w:sz="10" w:space="0"/>
              <w:right w:val="single" w:color="auto" w:sz="10" w:space="0"/>
              <w:insideV w:val="single" w:sz="10" w:space="0"/>
            </w:tcBorders>
            <w:vAlign w:val="center"/>
          </w:tcPr>
          <w:p w14:paraId="39EAAF9D">
            <w:pPr>
              <w:jc w:val="center"/>
            </w:pPr>
            <w:r>
              <w:rPr>
                <w:rFonts w:ascii="宋体" w:hAnsi="宋体" w:eastAsia="宋体"/>
                <w:sz w:val="16"/>
              </w:rPr>
              <w:t>按照完成比例赋分</w:t>
            </w:r>
          </w:p>
        </w:tc>
        <w:tc>
          <w:tcPr>
            <w:tcW w:w="653" w:type="dxa"/>
            <w:tcBorders>
              <w:top w:val="single" w:color="auto" w:sz="10" w:space="0"/>
              <w:left w:val="single" w:color="auto" w:sz="10" w:space="0"/>
              <w:bottom w:val="single" w:color="auto" w:sz="10" w:space="0"/>
              <w:right w:val="single" w:color="auto" w:sz="10" w:space="0"/>
              <w:insideV w:val="single" w:sz="10" w:space="0"/>
            </w:tcBorders>
            <w:vAlign w:val="center"/>
          </w:tcPr>
          <w:p w14:paraId="284BBF1E">
            <w:pPr>
              <w:jc w:val="center"/>
            </w:pPr>
            <w:r>
              <w:rPr>
                <w:rFonts w:ascii="宋体" w:hAnsi="宋体" w:eastAsia="宋体"/>
                <w:sz w:val="16"/>
              </w:rPr>
              <w:t>正式材料,工作资料,原始凭证</w:t>
            </w:r>
          </w:p>
        </w:tc>
        <w:tc>
          <w:tcPr>
            <w:tcW w:w="528" w:type="dxa"/>
            <w:tcBorders>
              <w:top w:val="single" w:color="auto" w:sz="10" w:space="0"/>
              <w:left w:val="single" w:color="auto" w:sz="10" w:space="0"/>
              <w:bottom w:val="single" w:color="auto" w:sz="10" w:space="0"/>
              <w:right w:val="single" w:color="auto" w:sz="10" w:space="0"/>
              <w:insideV w:val="single" w:sz="10" w:space="0"/>
            </w:tcBorders>
            <w:vAlign w:val="center"/>
          </w:tcPr>
          <w:p w14:paraId="48227275">
            <w:pPr>
              <w:jc w:val="center"/>
            </w:pPr>
            <w:r>
              <w:rPr>
                <w:rFonts w:ascii="宋体" w:hAnsi="宋体" w:eastAsia="宋体"/>
                <w:sz w:val="16"/>
              </w:rPr>
              <w:t>=2024年12月25日</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046E7A4">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3755045A">
            <w:pPr>
              <w:jc w:val="center"/>
            </w:pPr>
            <w:r>
              <w:rPr>
                <w:rFonts w:ascii="宋体" w:hAnsi="宋体" w:eastAsia="宋体"/>
                <w:sz w:val="16"/>
              </w:rPr>
              <w:t>10</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37D268A6">
            <w:pPr>
              <w:jc w:val="center"/>
            </w:pPr>
          </w:p>
        </w:tc>
      </w:tr>
      <w:tr w14:paraId="61D89C15">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17388C83"/>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1A826E7F">
            <w:pPr>
              <w:jc w:val="center"/>
            </w:pPr>
            <w:r>
              <w:rPr>
                <w:rFonts w:ascii="宋体" w:hAnsi="宋体" w:eastAsia="宋体"/>
                <w:sz w:val="16"/>
              </w:rPr>
              <w:t>成本指标</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47632B6F">
            <w:pPr>
              <w:jc w:val="center"/>
            </w:pPr>
            <w:r>
              <w:rPr>
                <w:rFonts w:ascii="宋体" w:hAnsi="宋体" w:eastAsia="宋体"/>
                <w:sz w:val="16"/>
              </w:rPr>
              <w:t>经济成本指标</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1E36B98E">
            <w:pPr>
              <w:jc w:val="center"/>
            </w:pPr>
            <w:r>
              <w:rPr>
                <w:rFonts w:ascii="宋体" w:hAnsi="宋体" w:eastAsia="宋体"/>
                <w:sz w:val="16"/>
              </w:rPr>
              <w:t>基本公共卫生重大传染病成本平均标准</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1A1EE684">
            <w:pPr>
              <w:jc w:val="center"/>
            </w:pPr>
            <w:r>
              <w:rPr>
                <w:rFonts w:ascii="宋体" w:hAnsi="宋体" w:eastAsia="宋体"/>
                <w:sz w:val="16"/>
              </w:rPr>
              <w:t>&lt;=1016.67元/人</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3B73B505">
            <w:pPr>
              <w:jc w:val="center"/>
            </w:pPr>
            <w:r>
              <w:rPr>
                <w:rFonts w:ascii="宋体" w:hAnsi="宋体" w:eastAsia="宋体"/>
                <w:sz w:val="16"/>
              </w:rPr>
              <w:t>预算支出标准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5967DCE3">
            <w:pPr>
              <w:jc w:val="center"/>
            </w:pPr>
            <w:r>
              <w:rPr>
                <w:rFonts w:ascii="宋体" w:hAnsi="宋体" w:eastAsia="宋体"/>
                <w:sz w:val="16"/>
              </w:rPr>
              <w:t>上年无此值</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3E394C43">
            <w:pPr>
              <w:jc w:val="center"/>
            </w:pPr>
            <w:r>
              <w:rPr>
                <w:rFonts w:ascii="宋体" w:hAnsi="宋体" w:eastAsia="宋体"/>
                <w:sz w:val="16"/>
              </w:rPr>
              <w:t>20</w:t>
            </w:r>
          </w:p>
        </w:tc>
        <w:tc>
          <w:tcPr>
            <w:tcW w:w="734" w:type="dxa"/>
            <w:tcBorders>
              <w:top w:val="single" w:color="auto" w:sz="10" w:space="0"/>
              <w:left w:val="single" w:color="auto" w:sz="10" w:space="0"/>
              <w:bottom w:val="single" w:color="auto" w:sz="10" w:space="0"/>
              <w:right w:val="single" w:color="auto" w:sz="10" w:space="0"/>
              <w:insideV w:val="single" w:sz="10" w:space="0"/>
            </w:tcBorders>
            <w:vAlign w:val="center"/>
          </w:tcPr>
          <w:p w14:paraId="604F6174">
            <w:pPr>
              <w:jc w:val="center"/>
            </w:pPr>
            <w:r>
              <w:rPr>
                <w:rFonts w:ascii="宋体" w:hAnsi="宋体" w:eastAsia="宋体"/>
                <w:sz w:val="16"/>
              </w:rPr>
              <w:t>按照完成比例赋分</w:t>
            </w:r>
          </w:p>
        </w:tc>
        <w:tc>
          <w:tcPr>
            <w:tcW w:w="653" w:type="dxa"/>
            <w:tcBorders>
              <w:top w:val="single" w:color="auto" w:sz="10" w:space="0"/>
              <w:left w:val="single" w:color="auto" w:sz="10" w:space="0"/>
              <w:bottom w:val="single" w:color="auto" w:sz="10" w:space="0"/>
              <w:right w:val="single" w:color="auto" w:sz="10" w:space="0"/>
              <w:insideV w:val="single" w:sz="10" w:space="0"/>
            </w:tcBorders>
            <w:vAlign w:val="center"/>
          </w:tcPr>
          <w:p w14:paraId="5A05B586">
            <w:pPr>
              <w:jc w:val="center"/>
            </w:pPr>
            <w:r>
              <w:rPr>
                <w:rFonts w:ascii="宋体" w:hAnsi="宋体" w:eastAsia="宋体"/>
                <w:sz w:val="16"/>
              </w:rPr>
              <w:t>正式材料,工作资料,原始凭证</w:t>
            </w:r>
          </w:p>
        </w:tc>
        <w:tc>
          <w:tcPr>
            <w:tcW w:w="528" w:type="dxa"/>
            <w:tcBorders>
              <w:top w:val="single" w:color="auto" w:sz="10" w:space="0"/>
              <w:left w:val="single" w:color="auto" w:sz="10" w:space="0"/>
              <w:bottom w:val="single" w:color="auto" w:sz="10" w:space="0"/>
              <w:right w:val="single" w:color="auto" w:sz="10" w:space="0"/>
              <w:insideV w:val="single" w:sz="10" w:space="0"/>
            </w:tcBorders>
            <w:vAlign w:val="center"/>
          </w:tcPr>
          <w:p w14:paraId="50D999C6">
            <w:pPr>
              <w:jc w:val="center"/>
            </w:pPr>
            <w:r>
              <w:rPr>
                <w:rFonts w:ascii="宋体" w:hAnsi="宋体" w:eastAsia="宋体"/>
                <w:sz w:val="16"/>
              </w:rPr>
              <w:t>=955.6元/人</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A522FBF">
            <w:pPr>
              <w:jc w:val="center"/>
            </w:pPr>
            <w:r>
              <w:rPr>
                <w:rFonts w:ascii="宋体" w:hAnsi="宋体" w:eastAsia="宋体"/>
                <w:sz w:val="16"/>
              </w:rPr>
              <w:t>93.99%</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0729B83B">
            <w:pPr>
              <w:jc w:val="center"/>
            </w:pPr>
            <w:r>
              <w:rPr>
                <w:rFonts w:ascii="宋体" w:hAnsi="宋体" w:eastAsia="宋体"/>
                <w:sz w:val="16"/>
              </w:rPr>
              <w:t>18.8</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3539FCCE">
            <w:pPr>
              <w:jc w:val="center"/>
            </w:pPr>
            <w:r>
              <w:rPr>
                <w:rFonts w:ascii="宋体" w:hAnsi="宋体" w:eastAsia="宋体"/>
                <w:sz w:val="16"/>
              </w:rPr>
              <w:t>原因：年底劳务费任务未完成，待支付。改进措施：专人专项跟进，灵活调整交付方案，加速任务执行与验收，按时支付。</w:t>
            </w:r>
          </w:p>
        </w:tc>
      </w:tr>
      <w:tr w14:paraId="58C642F3">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0AAB3D1D"/>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16C75F31">
            <w:pPr>
              <w:jc w:val="center"/>
            </w:pPr>
            <w:r>
              <w:rPr>
                <w:rFonts w:ascii="宋体" w:hAnsi="宋体" w:eastAsia="宋体"/>
                <w:sz w:val="16"/>
              </w:rPr>
              <w:t>效益指标</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070DA345">
            <w:pPr>
              <w:jc w:val="center"/>
            </w:pPr>
            <w:r>
              <w:rPr>
                <w:rFonts w:ascii="宋体" w:hAnsi="宋体" w:eastAsia="宋体"/>
                <w:sz w:val="16"/>
              </w:rPr>
              <w:t>社会效益指标</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27B9EC9F">
            <w:pPr>
              <w:jc w:val="center"/>
            </w:pPr>
            <w:r>
              <w:rPr>
                <w:rFonts w:ascii="宋体" w:hAnsi="宋体" w:eastAsia="宋体"/>
                <w:sz w:val="16"/>
              </w:rPr>
              <w:t>提升防控重大传染病</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69715A2E">
            <w:pPr>
              <w:jc w:val="center"/>
            </w:pPr>
            <w:r>
              <w:rPr>
                <w:rFonts w:ascii="宋体" w:hAnsi="宋体" w:eastAsia="宋体"/>
                <w:sz w:val="16"/>
              </w:rPr>
              <w:t>有效提升</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4735F84C">
            <w:pPr>
              <w:jc w:val="center"/>
            </w:pPr>
            <w:r>
              <w:rPr>
                <w:rFonts w:ascii="宋体" w:hAnsi="宋体" w:eastAsia="宋体"/>
                <w:sz w:val="16"/>
              </w:rPr>
              <w:t>计划标准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12BCA6A1">
            <w:pPr>
              <w:jc w:val="center"/>
            </w:pPr>
            <w:r>
              <w:rPr>
                <w:rFonts w:ascii="宋体" w:hAnsi="宋体" w:eastAsia="宋体"/>
                <w:sz w:val="16"/>
              </w:rPr>
              <w:t>上年无此值</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03574809">
            <w:pPr>
              <w:jc w:val="center"/>
            </w:pPr>
            <w:r>
              <w:rPr>
                <w:rFonts w:ascii="宋体" w:hAnsi="宋体" w:eastAsia="宋体"/>
                <w:sz w:val="16"/>
              </w:rPr>
              <w:t>20</w:t>
            </w:r>
          </w:p>
        </w:tc>
        <w:tc>
          <w:tcPr>
            <w:tcW w:w="734" w:type="dxa"/>
            <w:tcBorders>
              <w:top w:val="single" w:color="auto" w:sz="10" w:space="0"/>
              <w:left w:val="single" w:color="auto" w:sz="10" w:space="0"/>
              <w:bottom w:val="single" w:color="auto" w:sz="10" w:space="0"/>
              <w:right w:val="single" w:color="auto" w:sz="10" w:space="0"/>
              <w:insideV w:val="single" w:sz="10" w:space="0"/>
            </w:tcBorders>
            <w:vAlign w:val="center"/>
          </w:tcPr>
          <w:p w14:paraId="0628BF1B">
            <w:pPr>
              <w:jc w:val="center"/>
            </w:pPr>
            <w:r>
              <w:rPr>
                <w:rFonts w:ascii="宋体" w:hAnsi="宋体" w:eastAsia="宋体"/>
                <w:sz w:val="16"/>
              </w:rPr>
              <w:t>按评判等级赋分</w:t>
            </w:r>
          </w:p>
        </w:tc>
        <w:tc>
          <w:tcPr>
            <w:tcW w:w="653" w:type="dxa"/>
            <w:tcBorders>
              <w:top w:val="single" w:color="auto" w:sz="10" w:space="0"/>
              <w:left w:val="single" w:color="auto" w:sz="10" w:space="0"/>
              <w:bottom w:val="single" w:color="auto" w:sz="10" w:space="0"/>
              <w:right w:val="single" w:color="auto" w:sz="10" w:space="0"/>
              <w:insideV w:val="single" w:sz="10" w:space="0"/>
            </w:tcBorders>
            <w:vAlign w:val="center"/>
          </w:tcPr>
          <w:p w14:paraId="0105D248">
            <w:pPr>
              <w:jc w:val="center"/>
            </w:pPr>
            <w:r>
              <w:rPr>
                <w:rFonts w:ascii="宋体" w:hAnsi="宋体" w:eastAsia="宋体"/>
                <w:sz w:val="16"/>
              </w:rPr>
              <w:t>说明材料,工作资料</w:t>
            </w:r>
          </w:p>
        </w:tc>
        <w:tc>
          <w:tcPr>
            <w:tcW w:w="528" w:type="dxa"/>
            <w:tcBorders>
              <w:top w:val="single" w:color="auto" w:sz="10" w:space="0"/>
              <w:left w:val="single" w:color="auto" w:sz="10" w:space="0"/>
              <w:bottom w:val="single" w:color="auto" w:sz="10" w:space="0"/>
              <w:right w:val="single" w:color="auto" w:sz="10" w:space="0"/>
              <w:insideV w:val="single" w:sz="10" w:space="0"/>
            </w:tcBorders>
            <w:vAlign w:val="center"/>
          </w:tcPr>
          <w:p w14:paraId="70F54277">
            <w:pPr>
              <w:jc w:val="center"/>
            </w:pPr>
            <w:r>
              <w:rPr>
                <w:rFonts w:ascii="宋体" w:hAnsi="宋体" w:eastAsia="宋体"/>
                <w:sz w:val="16"/>
              </w:rPr>
              <w:t>有效提升</w:t>
            </w:r>
            <w:r>
              <w:rPr>
                <w:rFonts w:ascii="宋体" w:hAnsi="宋体" w:eastAsia="宋体"/>
                <w:sz w:val="16"/>
              </w:rPr>
              <w:tab/>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C168AE1">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4AA9DF9E">
            <w:pPr>
              <w:jc w:val="center"/>
            </w:pPr>
            <w:r>
              <w:rPr>
                <w:rFonts w:ascii="宋体" w:hAnsi="宋体" w:eastAsia="宋体"/>
                <w:sz w:val="16"/>
              </w:rPr>
              <w:t>20</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1B4F0056">
            <w:pPr>
              <w:jc w:val="center"/>
            </w:pPr>
          </w:p>
        </w:tc>
      </w:tr>
      <w:tr w14:paraId="1B9921B4">
        <w:tblPrEx>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14:paraId="53551F13"/>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7B005ECF">
            <w:pPr>
              <w:jc w:val="center"/>
            </w:pPr>
            <w:r>
              <w:rPr>
                <w:rFonts w:ascii="宋体" w:hAnsi="宋体" w:eastAsia="宋体"/>
                <w:sz w:val="16"/>
              </w:rPr>
              <w:t>满意度指标</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17212A50">
            <w:pPr>
              <w:jc w:val="center"/>
            </w:pPr>
            <w:r>
              <w:rPr>
                <w:rFonts w:ascii="宋体" w:hAnsi="宋体" w:eastAsia="宋体"/>
                <w:sz w:val="16"/>
              </w:rPr>
              <w:t>满意度指标</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4ABEC5F3">
            <w:pPr>
              <w:jc w:val="center"/>
            </w:pPr>
            <w:r>
              <w:rPr>
                <w:rFonts w:ascii="宋体" w:hAnsi="宋体" w:eastAsia="宋体"/>
                <w:sz w:val="16"/>
              </w:rPr>
              <w:t>群众满意度</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19BD297D">
            <w:pPr>
              <w:jc w:val="center"/>
            </w:pPr>
            <w:r>
              <w:rPr>
                <w:rFonts w:ascii="宋体" w:hAnsi="宋体" w:eastAsia="宋体"/>
                <w:sz w:val="16"/>
              </w:rPr>
              <w:t>&gt;=95%</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26FC0C44">
            <w:pPr>
              <w:jc w:val="center"/>
            </w:pPr>
            <w:r>
              <w:rPr>
                <w:rFonts w:ascii="宋体" w:hAnsi="宋体" w:eastAsia="宋体"/>
                <w:sz w:val="16"/>
              </w:rPr>
              <w:t>计划标准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14:paraId="27F60E3A">
            <w:pPr>
              <w:jc w:val="center"/>
            </w:pPr>
            <w:r>
              <w:rPr>
                <w:rFonts w:ascii="宋体" w:hAnsi="宋体" w:eastAsia="宋体"/>
                <w:sz w:val="16"/>
              </w:rPr>
              <w:t>上年无此值</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7AFBD233">
            <w:pPr>
              <w:jc w:val="center"/>
            </w:pPr>
            <w:r>
              <w:rPr>
                <w:rFonts w:ascii="宋体" w:hAnsi="宋体" w:eastAsia="宋体"/>
                <w:sz w:val="16"/>
              </w:rPr>
              <w:t>10</w:t>
            </w:r>
          </w:p>
        </w:tc>
        <w:tc>
          <w:tcPr>
            <w:tcW w:w="734" w:type="dxa"/>
            <w:tcBorders>
              <w:top w:val="single" w:color="auto" w:sz="10" w:space="0"/>
              <w:left w:val="single" w:color="auto" w:sz="10" w:space="0"/>
              <w:bottom w:val="single" w:color="auto" w:sz="10" w:space="0"/>
              <w:right w:val="single" w:color="auto" w:sz="10" w:space="0"/>
              <w:insideV w:val="single" w:sz="10" w:space="0"/>
            </w:tcBorders>
            <w:vAlign w:val="center"/>
          </w:tcPr>
          <w:p w14:paraId="093B7811">
            <w:pPr>
              <w:jc w:val="center"/>
            </w:pPr>
            <w:r>
              <w:rPr>
                <w:rFonts w:ascii="宋体" w:hAnsi="宋体" w:eastAsia="宋体"/>
                <w:sz w:val="16"/>
              </w:rPr>
              <w:t>满意度赋分</w:t>
            </w:r>
          </w:p>
        </w:tc>
        <w:tc>
          <w:tcPr>
            <w:tcW w:w="653" w:type="dxa"/>
            <w:tcBorders>
              <w:top w:val="single" w:color="auto" w:sz="10" w:space="0"/>
              <w:left w:val="single" w:color="auto" w:sz="10" w:space="0"/>
              <w:bottom w:val="single" w:color="auto" w:sz="10" w:space="0"/>
              <w:right w:val="single" w:color="auto" w:sz="10" w:space="0"/>
              <w:insideV w:val="single" w:sz="10" w:space="0"/>
            </w:tcBorders>
            <w:vAlign w:val="center"/>
          </w:tcPr>
          <w:p w14:paraId="34EFDF34">
            <w:pPr>
              <w:jc w:val="center"/>
            </w:pPr>
            <w:r>
              <w:rPr>
                <w:rFonts w:ascii="宋体" w:hAnsi="宋体" w:eastAsia="宋体"/>
                <w:sz w:val="16"/>
              </w:rPr>
              <w:t>说明材料,工作资料</w:t>
            </w:r>
          </w:p>
        </w:tc>
        <w:tc>
          <w:tcPr>
            <w:tcW w:w="528" w:type="dxa"/>
            <w:tcBorders>
              <w:top w:val="single" w:color="auto" w:sz="10" w:space="0"/>
              <w:left w:val="single" w:color="auto" w:sz="10" w:space="0"/>
              <w:bottom w:val="single" w:color="auto" w:sz="10" w:space="0"/>
              <w:right w:val="single" w:color="auto" w:sz="10" w:space="0"/>
              <w:insideV w:val="single" w:sz="10" w:space="0"/>
            </w:tcBorders>
            <w:vAlign w:val="center"/>
          </w:tcPr>
          <w:p w14:paraId="65AB1B4D">
            <w:pPr>
              <w:jc w:val="center"/>
            </w:pPr>
            <w:r>
              <w:rPr>
                <w:rFonts w:ascii="宋体" w:hAnsi="宋体" w:eastAsia="宋体"/>
                <w:sz w:val="16"/>
              </w:rPr>
              <w:t>=95%</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5786951">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187DE075">
            <w:pPr>
              <w:jc w:val="center"/>
            </w:pPr>
            <w:r>
              <w:rPr>
                <w:rFonts w:ascii="宋体" w:hAnsi="宋体" w:eastAsia="宋体"/>
                <w:sz w:val="16"/>
              </w:rPr>
              <w:t>10</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14:paraId="1B69A3BA">
            <w:pPr>
              <w:jc w:val="center"/>
            </w:pPr>
          </w:p>
        </w:tc>
      </w:tr>
      <w:tr w14:paraId="66397906">
        <w:tblPrEx>
          <w:tblCellMar>
            <w:top w:w="0" w:type="dxa"/>
            <w:left w:w="108" w:type="dxa"/>
            <w:bottom w:w="0" w:type="dxa"/>
            <w:right w:w="108" w:type="dxa"/>
          </w:tblCellMar>
        </w:tblPrEx>
        <w:tc>
          <w:tcPr>
            <w:tcW w:w="2437"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10D1D2C">
            <w:pPr>
              <w:jc w:val="center"/>
            </w:pPr>
            <w:r>
              <w:rPr>
                <w:rFonts w:ascii="宋体" w:hAnsi="宋体" w:eastAsia="宋体"/>
                <w:sz w:val="16"/>
              </w:rPr>
              <w:t>总分</w:t>
            </w:r>
          </w:p>
        </w:tc>
        <w:tc>
          <w:tcPr>
            <w:tcW w:w="936" w:type="dxa"/>
            <w:tcBorders>
              <w:top w:val="single" w:color="auto" w:sz="10" w:space="0"/>
              <w:left w:val="single" w:color="auto" w:sz="10" w:space="0"/>
              <w:bottom w:val="single" w:color="auto" w:sz="10" w:space="0"/>
              <w:right w:val="single" w:color="auto" w:sz="10" w:space="0"/>
              <w:insideV w:val="single" w:sz="10" w:space="0"/>
            </w:tcBorders>
          </w:tcPr>
          <w:p w14:paraId="5B2BCE0D"/>
        </w:tc>
        <w:tc>
          <w:tcPr>
            <w:tcW w:w="605" w:type="dxa"/>
            <w:tcBorders>
              <w:top w:val="single" w:color="auto" w:sz="10" w:space="0"/>
              <w:left w:val="single" w:color="auto" w:sz="10" w:space="0"/>
              <w:bottom w:val="single" w:color="auto" w:sz="10" w:space="0"/>
              <w:right w:val="single" w:color="auto" w:sz="10" w:space="0"/>
              <w:insideV w:val="single" w:sz="10" w:space="0"/>
            </w:tcBorders>
          </w:tcPr>
          <w:p w14:paraId="1F71B661"/>
        </w:tc>
        <w:tc>
          <w:tcPr>
            <w:tcW w:w="605" w:type="dxa"/>
            <w:tcBorders>
              <w:top w:val="single" w:color="auto" w:sz="10" w:space="0"/>
              <w:left w:val="single" w:color="auto" w:sz="10" w:space="0"/>
              <w:bottom w:val="single" w:color="auto" w:sz="10" w:space="0"/>
              <w:right w:val="single" w:color="auto" w:sz="10" w:space="0"/>
              <w:insideV w:val="single" w:sz="10" w:space="0"/>
            </w:tcBorders>
          </w:tcPr>
          <w:p w14:paraId="20EF6D2B"/>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14:paraId="66E092B1">
            <w:pPr>
              <w:jc w:val="center"/>
            </w:pPr>
            <w:r>
              <w:rPr>
                <w:rFonts w:ascii="宋体" w:hAnsi="宋体" w:eastAsia="宋体"/>
                <w:sz w:val="16"/>
              </w:rPr>
              <w:t>100</w:t>
            </w:r>
          </w:p>
        </w:tc>
        <w:tc>
          <w:tcPr>
            <w:tcW w:w="734" w:type="dxa"/>
            <w:tcBorders>
              <w:top w:val="single" w:color="auto" w:sz="10" w:space="0"/>
              <w:left w:val="single" w:color="auto" w:sz="10" w:space="0"/>
              <w:bottom w:val="single" w:color="auto" w:sz="10" w:space="0"/>
              <w:right w:val="single" w:color="auto" w:sz="10" w:space="0"/>
              <w:insideV w:val="single" w:sz="10" w:space="0"/>
            </w:tcBorders>
          </w:tcPr>
          <w:p w14:paraId="507C36FB"/>
        </w:tc>
        <w:tc>
          <w:tcPr>
            <w:tcW w:w="653" w:type="dxa"/>
            <w:tcBorders>
              <w:top w:val="single" w:color="auto" w:sz="10" w:space="0"/>
              <w:left w:val="single" w:color="auto" w:sz="10" w:space="0"/>
              <w:bottom w:val="single" w:color="auto" w:sz="10" w:space="0"/>
              <w:right w:val="single" w:color="auto" w:sz="10" w:space="0"/>
              <w:insideV w:val="single" w:sz="10" w:space="0"/>
            </w:tcBorders>
          </w:tcPr>
          <w:p w14:paraId="58E48644"/>
        </w:tc>
        <w:tc>
          <w:tcPr>
            <w:tcW w:w="528" w:type="dxa"/>
            <w:tcBorders>
              <w:top w:val="single" w:color="auto" w:sz="10" w:space="0"/>
              <w:left w:val="single" w:color="auto" w:sz="10" w:space="0"/>
              <w:bottom w:val="single" w:color="auto" w:sz="10" w:space="0"/>
              <w:right w:val="single" w:color="auto" w:sz="10" w:space="0"/>
              <w:insideV w:val="single" w:sz="10" w:space="0"/>
            </w:tcBorders>
          </w:tcPr>
          <w:p w14:paraId="343A9F59"/>
        </w:tc>
        <w:tc>
          <w:tcPr>
            <w:tcW w:w="696" w:type="dxa"/>
            <w:tcBorders>
              <w:top w:val="single" w:color="auto" w:sz="10" w:space="0"/>
              <w:left w:val="single" w:color="auto" w:sz="10" w:space="0"/>
              <w:bottom w:val="single" w:color="auto" w:sz="10" w:space="0"/>
              <w:right w:val="single" w:color="auto" w:sz="10" w:space="0"/>
              <w:insideV w:val="single" w:sz="10" w:space="0"/>
            </w:tcBorders>
          </w:tcPr>
          <w:p w14:paraId="60D82091"/>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148BB460">
            <w:pPr>
              <w:jc w:val="center"/>
            </w:pPr>
            <w:r>
              <w:rPr>
                <w:rFonts w:ascii="宋体" w:hAnsi="宋体" w:eastAsia="宋体"/>
                <w:sz w:val="16"/>
              </w:rPr>
              <w:t>98.20分</w:t>
            </w:r>
          </w:p>
        </w:tc>
        <w:tc>
          <w:tcPr>
            <w:tcW w:w="622" w:type="dxa"/>
            <w:tcBorders>
              <w:top w:val="single" w:color="auto" w:sz="10" w:space="0"/>
              <w:left w:val="single" w:color="auto" w:sz="10" w:space="0"/>
              <w:bottom w:val="single" w:color="auto" w:sz="10" w:space="0"/>
              <w:right w:val="single" w:color="auto" w:sz="10" w:space="0"/>
              <w:insideV w:val="single" w:sz="10" w:space="0"/>
            </w:tcBorders>
          </w:tcPr>
          <w:p w14:paraId="687ABE0A"/>
        </w:tc>
      </w:tr>
    </w:tbl>
    <w:p w14:paraId="51729E3E">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776"/>
        <w:gridCol w:w="625"/>
        <w:gridCol w:w="625"/>
        <w:gridCol w:w="627"/>
        <w:gridCol w:w="625"/>
        <w:gridCol w:w="625"/>
        <w:gridCol w:w="696"/>
        <w:gridCol w:w="629"/>
        <w:gridCol w:w="696"/>
        <w:gridCol w:w="632"/>
      </w:tblGrid>
      <w:tr w14:paraId="18B856E7">
        <w:tblPrEx>
          <w:tblCellMar>
            <w:top w:w="0" w:type="dxa"/>
            <w:left w:w="108" w:type="dxa"/>
            <w:bottom w:w="0" w:type="dxa"/>
            <w:right w:w="108" w:type="dxa"/>
          </w:tblCellMar>
        </w:tblPrEx>
        <w:tc>
          <w:tcPr>
            <w:tcW w:w="8848" w:type="dxa"/>
            <w:gridSpan w:val="14"/>
            <w:vAlign w:val="center"/>
          </w:tcPr>
          <w:p w14:paraId="6F75DC51">
            <w:pPr>
              <w:jc w:val="center"/>
            </w:pPr>
            <w:r>
              <w:rPr>
                <w:rFonts w:ascii="宋体" w:hAnsi="宋体" w:eastAsia="宋体"/>
                <w:sz w:val="24"/>
              </w:rPr>
              <w:t>项目支出绩效自评表</w:t>
            </w:r>
          </w:p>
        </w:tc>
      </w:tr>
      <w:tr w14:paraId="355D97B4">
        <w:tc>
          <w:tcPr>
            <w:tcW w:w="8848" w:type="dxa"/>
            <w:gridSpan w:val="14"/>
            <w:vAlign w:val="center"/>
          </w:tcPr>
          <w:p w14:paraId="4931B34A">
            <w:pPr>
              <w:jc w:val="center"/>
            </w:pPr>
            <w:r>
              <w:rPr>
                <w:rFonts w:ascii="宋体" w:hAnsi="宋体" w:eastAsia="宋体"/>
                <w:sz w:val="24"/>
              </w:rPr>
              <w:t>(2024年度)</w:t>
            </w:r>
          </w:p>
        </w:tc>
      </w:tr>
      <w:tr w14:paraId="05173A0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E275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F50B940">
            <w:pPr>
              <w:jc w:val="center"/>
            </w:pPr>
            <w:r>
              <w:rPr>
                <w:rFonts w:ascii="宋体" w:hAnsi="宋体" w:eastAsia="宋体"/>
                <w:sz w:val="16"/>
              </w:rPr>
              <w:t>托里县疾病预防控制中心传染病防治应急能力提升改造项目</w:t>
            </w:r>
          </w:p>
        </w:tc>
      </w:tr>
      <w:tr w14:paraId="5C8D817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3107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33EF6F">
            <w:pPr>
              <w:jc w:val="center"/>
            </w:pPr>
            <w:r>
              <w:rPr>
                <w:rFonts w:ascii="宋体" w:hAnsi="宋体" w:eastAsia="宋体"/>
                <w:sz w:val="16"/>
              </w:rPr>
              <w:t>托里县疾病预防控制中心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2963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D0BC27">
            <w:pPr>
              <w:jc w:val="center"/>
            </w:pPr>
            <w:r>
              <w:rPr>
                <w:rFonts w:ascii="宋体" w:hAnsi="宋体" w:eastAsia="宋体"/>
                <w:sz w:val="16"/>
              </w:rPr>
              <w:t>托里县疾病预防控制中心</w:t>
            </w:r>
          </w:p>
        </w:tc>
      </w:tr>
      <w:tr w14:paraId="335EEEE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EC7E3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C651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69EE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DB4E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12B4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7B45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9DC5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71F44">
            <w:pPr>
              <w:jc w:val="center"/>
            </w:pPr>
            <w:r>
              <w:rPr>
                <w:rFonts w:ascii="宋体" w:hAnsi="宋体" w:eastAsia="宋体"/>
                <w:sz w:val="16"/>
              </w:rPr>
              <w:t>得分</w:t>
            </w:r>
          </w:p>
        </w:tc>
      </w:tr>
      <w:tr w14:paraId="480BE7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DA3C4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E918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4C1F1">
            <w:pPr>
              <w:jc w:val="center"/>
            </w:pPr>
            <w:r>
              <w:rPr>
                <w:rFonts w:ascii="宋体" w:hAnsi="宋体" w:eastAsia="宋体"/>
                <w:sz w:val="16"/>
              </w:rPr>
              <w:t>22.60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C07BF">
            <w:pPr>
              <w:jc w:val="center"/>
            </w:pPr>
            <w:r>
              <w:rPr>
                <w:rFonts w:ascii="宋体" w:hAnsi="宋体" w:eastAsia="宋体"/>
                <w:sz w:val="16"/>
              </w:rPr>
              <w:t>22.08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AFC93">
            <w:pPr>
              <w:jc w:val="center"/>
            </w:pPr>
            <w:r>
              <w:rPr>
                <w:rFonts w:ascii="宋体" w:hAnsi="宋体" w:eastAsia="宋体"/>
                <w:sz w:val="16"/>
              </w:rPr>
              <w:t>22.08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2334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3CF3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57DF8">
            <w:pPr>
              <w:jc w:val="center"/>
            </w:pPr>
            <w:r>
              <w:rPr>
                <w:rFonts w:ascii="宋体" w:hAnsi="宋体" w:eastAsia="宋体"/>
                <w:sz w:val="16"/>
              </w:rPr>
              <w:t>10.00</w:t>
            </w:r>
          </w:p>
        </w:tc>
      </w:tr>
      <w:tr w14:paraId="713A60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CF48C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A6EB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6D5AF">
            <w:pPr>
              <w:jc w:val="center"/>
            </w:pPr>
            <w:r>
              <w:rPr>
                <w:rFonts w:ascii="宋体" w:hAnsi="宋体" w:eastAsia="宋体"/>
                <w:sz w:val="16"/>
              </w:rPr>
              <w:t>22.60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99F02">
            <w:pPr>
              <w:jc w:val="center"/>
            </w:pPr>
            <w:r>
              <w:rPr>
                <w:rFonts w:ascii="宋体" w:hAnsi="宋体" w:eastAsia="宋体"/>
                <w:sz w:val="16"/>
              </w:rPr>
              <w:t>22.08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74AF5">
            <w:pPr>
              <w:jc w:val="center"/>
            </w:pPr>
            <w:r>
              <w:rPr>
                <w:rFonts w:ascii="宋体" w:hAnsi="宋体" w:eastAsia="宋体"/>
                <w:sz w:val="16"/>
              </w:rPr>
              <w:t>22.08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B425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13F3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0DF74">
            <w:pPr>
              <w:jc w:val="center"/>
            </w:pPr>
            <w:r>
              <w:rPr>
                <w:rFonts w:ascii="宋体" w:hAnsi="宋体" w:eastAsia="宋体"/>
                <w:sz w:val="16"/>
              </w:rPr>
              <w:t>—</w:t>
            </w:r>
          </w:p>
        </w:tc>
      </w:tr>
      <w:tr w14:paraId="745232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DC2BF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A6F8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621D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476F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CF1D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A308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6060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49094">
            <w:pPr>
              <w:jc w:val="center"/>
            </w:pPr>
            <w:r>
              <w:rPr>
                <w:rFonts w:ascii="宋体" w:hAnsi="宋体" w:eastAsia="宋体"/>
                <w:sz w:val="16"/>
              </w:rPr>
              <w:t>—</w:t>
            </w:r>
          </w:p>
        </w:tc>
      </w:tr>
      <w:tr w14:paraId="4163EEB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7DCFC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7C99F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5F2F7B">
            <w:pPr>
              <w:jc w:val="center"/>
            </w:pPr>
            <w:r>
              <w:rPr>
                <w:rFonts w:ascii="宋体" w:hAnsi="宋体" w:eastAsia="宋体"/>
                <w:sz w:val="16"/>
              </w:rPr>
              <w:t>实际完成情况</w:t>
            </w:r>
          </w:p>
        </w:tc>
      </w:tr>
      <w:tr w14:paraId="7EB365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0C240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22CB8D">
            <w:pPr>
              <w:jc w:val="both"/>
            </w:pPr>
            <w:r>
              <w:rPr>
                <w:rFonts w:ascii="宋体" w:hAnsi="宋体" w:eastAsia="宋体"/>
                <w:sz w:val="16"/>
              </w:rPr>
              <w:t>2024年中小企业项目</w:t>
            </w:r>
            <w:r>
              <w:rPr>
                <w:rFonts w:hint="eastAsia" w:ascii="宋体" w:hAnsi="宋体"/>
                <w:sz w:val="16"/>
                <w:lang w:eastAsia="zh-CN"/>
              </w:rPr>
              <w:t>－</w:t>
            </w:r>
            <w:r>
              <w:rPr>
                <w:rFonts w:ascii="宋体" w:hAnsi="宋体" w:eastAsia="宋体"/>
                <w:sz w:val="16"/>
              </w:rPr>
              <w:t>传染病防治应急能力提升，在项目资金使用过程中能严格按照专项经费管理使用要求和相应实施方案及预算目标进行收支和管理，做到</w:t>
            </w:r>
            <w:r>
              <w:rPr>
                <w:rFonts w:hint="eastAsia" w:ascii="宋体" w:hAnsi="宋体"/>
                <w:sz w:val="16"/>
                <w:lang w:eastAsia="zh-CN"/>
              </w:rPr>
              <w:t>专款专用</w:t>
            </w:r>
            <w:r>
              <w:rPr>
                <w:rFonts w:ascii="宋体" w:hAnsi="宋体" w:eastAsia="宋体"/>
                <w:sz w:val="16"/>
              </w:rPr>
              <w:t>。涉及维修项目目标2个，涉及货物采购项目数量2个，群众满意度达到98%</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60AC0F">
            <w:pPr>
              <w:jc w:val="both"/>
            </w:pPr>
            <w:r>
              <w:rPr>
                <w:rFonts w:ascii="宋体" w:hAnsi="宋体" w:eastAsia="宋体"/>
                <w:sz w:val="16"/>
              </w:rPr>
              <w:t>2024年中小企业项目</w:t>
            </w:r>
            <w:r>
              <w:rPr>
                <w:rFonts w:hint="eastAsia" w:ascii="宋体" w:hAnsi="宋体"/>
                <w:sz w:val="16"/>
                <w:lang w:eastAsia="zh-CN"/>
              </w:rPr>
              <w:t>－</w:t>
            </w:r>
            <w:r>
              <w:rPr>
                <w:rFonts w:ascii="宋体" w:hAnsi="宋体" w:eastAsia="宋体"/>
                <w:sz w:val="16"/>
              </w:rPr>
              <w:t>传染病防治应急能力提升，在项目资金使用过程中能严格按照专项经费管理使用要求和相应实施方案及预算目标进行收支和管理，做到</w:t>
            </w:r>
            <w:r>
              <w:rPr>
                <w:rFonts w:hint="eastAsia" w:ascii="宋体" w:hAnsi="宋体"/>
                <w:sz w:val="16"/>
                <w:lang w:eastAsia="zh-CN"/>
              </w:rPr>
              <w:t>专款专用</w:t>
            </w:r>
            <w:r>
              <w:rPr>
                <w:rFonts w:ascii="宋体" w:hAnsi="宋体" w:eastAsia="宋体"/>
                <w:sz w:val="16"/>
              </w:rPr>
              <w:t>。涉及维修项目目标2个，涉及货物采购项目数量2个，群众满意度达到98%</w:t>
            </w:r>
            <w:r>
              <w:rPr>
                <w:rFonts w:ascii="宋体" w:hAnsi="宋体" w:eastAsia="宋体"/>
                <w:sz w:val="16"/>
              </w:rPr>
              <w:br w:type="textWrapping"/>
            </w:r>
          </w:p>
        </w:tc>
      </w:tr>
      <w:tr w14:paraId="0135E5A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56F4D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11F1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60F2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BD8B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AFED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6DAC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C00C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C51A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79D8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81A3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8D42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A24E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42C0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CA6C9">
            <w:pPr>
              <w:jc w:val="center"/>
            </w:pPr>
            <w:r>
              <w:rPr>
                <w:rFonts w:ascii="宋体" w:hAnsi="宋体" w:eastAsia="宋体"/>
                <w:sz w:val="16"/>
              </w:rPr>
              <w:t>偏差原因分析及改进措施</w:t>
            </w:r>
          </w:p>
        </w:tc>
      </w:tr>
      <w:tr w14:paraId="57869C9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1E526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B3637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1E896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2A7D5">
            <w:pPr>
              <w:jc w:val="center"/>
            </w:pPr>
            <w:r>
              <w:rPr>
                <w:rFonts w:ascii="宋体" w:hAnsi="宋体" w:eastAsia="宋体"/>
                <w:sz w:val="16"/>
              </w:rPr>
              <w:t>涉及维修项目数量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D5165">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C61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99B5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1FD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3FD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898D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EA38A">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EA3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222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1FBB0">
            <w:pPr>
              <w:jc w:val="center"/>
            </w:pPr>
          </w:p>
        </w:tc>
      </w:tr>
      <w:tr w14:paraId="0AFAEF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3DAF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A519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773D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E8AAE">
            <w:pPr>
              <w:jc w:val="center"/>
            </w:pPr>
            <w:r>
              <w:rPr>
                <w:rFonts w:ascii="宋体" w:hAnsi="宋体" w:eastAsia="宋体"/>
                <w:sz w:val="16"/>
              </w:rPr>
              <w:t>涉及货物采购项目数量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1CA60">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98E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A344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A2A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96B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C73D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B0E19">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A22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D37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33938">
            <w:pPr>
              <w:jc w:val="center"/>
            </w:pPr>
          </w:p>
        </w:tc>
      </w:tr>
      <w:tr w14:paraId="06341D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A1A2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7370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7B10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BDBBB">
            <w:pPr>
              <w:jc w:val="center"/>
            </w:pPr>
            <w:r>
              <w:rPr>
                <w:rFonts w:ascii="宋体" w:hAnsi="宋体" w:eastAsia="宋体"/>
                <w:sz w:val="16"/>
              </w:rPr>
              <w:t>涉及任务完成率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275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DA8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772E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F9D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F4F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3031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025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FF4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FE9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9540E">
            <w:pPr>
              <w:jc w:val="center"/>
            </w:pPr>
          </w:p>
        </w:tc>
      </w:tr>
      <w:tr w14:paraId="45D666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BC83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232C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62C5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973BB">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4E33B">
            <w:pPr>
              <w:jc w:val="center"/>
            </w:pPr>
            <w:r>
              <w:rPr>
                <w:rFonts w:ascii="宋体" w:hAnsi="宋体" w:eastAsia="宋体"/>
                <w:sz w:val="16"/>
              </w:rPr>
              <w:t>2024年12月30日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BAC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C5D5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169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67A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D77E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C11A2">
            <w:pPr>
              <w:jc w:val="center"/>
            </w:pPr>
            <w:r>
              <w:rPr>
                <w:rFonts w:ascii="宋体" w:hAnsi="宋体" w:eastAsia="宋体"/>
                <w:sz w:val="16"/>
              </w:rPr>
              <w:t>=2024年12月30日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A10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A63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F1668">
            <w:pPr>
              <w:jc w:val="center"/>
            </w:pPr>
          </w:p>
        </w:tc>
      </w:tr>
      <w:tr w14:paraId="21AE84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26C3D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56BD5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66D6F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F95AD">
            <w:pPr>
              <w:jc w:val="center"/>
            </w:pPr>
            <w:r>
              <w:rPr>
                <w:rFonts w:ascii="宋体" w:hAnsi="宋体" w:eastAsia="宋体"/>
                <w:sz w:val="16"/>
              </w:rPr>
              <w:t>货物采购项目资金金额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162B7">
            <w:pPr>
              <w:jc w:val="center"/>
            </w:pPr>
            <w:r>
              <w:rPr>
                <w:rFonts w:ascii="宋体" w:hAnsi="宋体" w:eastAsia="宋体"/>
                <w:sz w:val="16"/>
              </w:rPr>
              <w:t>&lt;=6.60万元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D5B8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7841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134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ACF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5C2D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0465F">
            <w:pPr>
              <w:jc w:val="center"/>
            </w:pPr>
            <w:r>
              <w:rPr>
                <w:rFonts w:ascii="宋体" w:hAnsi="宋体" w:eastAsia="宋体"/>
                <w:sz w:val="16"/>
              </w:rPr>
              <w:t>=6.6万元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5F6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D86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7B6EC">
            <w:pPr>
              <w:jc w:val="center"/>
            </w:pPr>
          </w:p>
        </w:tc>
      </w:tr>
      <w:tr w14:paraId="3E5DAE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718D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CD96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A379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75760">
            <w:pPr>
              <w:jc w:val="center"/>
            </w:pPr>
            <w:r>
              <w:rPr>
                <w:rFonts w:ascii="宋体" w:hAnsi="宋体" w:eastAsia="宋体"/>
                <w:sz w:val="16"/>
              </w:rPr>
              <w:t>维修改造项目资金金额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A0F80">
            <w:pPr>
              <w:jc w:val="center"/>
            </w:pPr>
            <w:r>
              <w:rPr>
                <w:rFonts w:ascii="宋体" w:hAnsi="宋体" w:eastAsia="宋体"/>
                <w:sz w:val="16"/>
              </w:rPr>
              <w:t>&lt;=15.48万元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D05A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F1EC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9CF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179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CB3A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C7E0C">
            <w:pPr>
              <w:jc w:val="center"/>
            </w:pPr>
            <w:r>
              <w:rPr>
                <w:rFonts w:ascii="宋体" w:hAnsi="宋体" w:eastAsia="宋体"/>
                <w:sz w:val="16"/>
              </w:rPr>
              <w:t>=15.48万元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5B9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B21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68A61">
            <w:pPr>
              <w:jc w:val="center"/>
            </w:pPr>
          </w:p>
        </w:tc>
      </w:tr>
      <w:tr w14:paraId="41D4F5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EC31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523F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9439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B316E">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94CF8">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5E6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0A87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0459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D279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FF6B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5BF93">
            <w:pPr>
              <w:jc w:val="center"/>
            </w:pPr>
            <w:r>
              <w:rPr>
                <w:rFonts w:ascii="宋体" w:hAnsi="宋体" w:eastAsia="宋体"/>
                <w:sz w:val="16"/>
              </w:rPr>
              <w:t>有效提升</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442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B682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E05EF">
            <w:pPr>
              <w:jc w:val="center"/>
            </w:pPr>
          </w:p>
        </w:tc>
      </w:tr>
      <w:tr w14:paraId="6A917B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4BE4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35E3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A6AD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28D83">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8AA6E">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33B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254A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DB83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6908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32AC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ABB12">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A56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FAA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F10B4">
            <w:pPr>
              <w:jc w:val="center"/>
            </w:pPr>
          </w:p>
        </w:tc>
      </w:tr>
      <w:tr w14:paraId="1B1E271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6607BD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89503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E39F3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8BBF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1EF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0074D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423D7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1879F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D74A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A2E3C">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DB8B04"/>
        </w:tc>
      </w:tr>
    </w:tbl>
    <w:p w14:paraId="6C26CB65">
      <w:r>
        <w:br w:type="page"/>
      </w:r>
    </w:p>
    <w:p w14:paraId="3207FA16">
      <w:pPr>
        <w:spacing w:line="640" w:lineRule="exact"/>
        <w:ind w:firstLine="640"/>
        <w:jc w:val="both"/>
        <w:outlineLvl w:val="2"/>
      </w:pPr>
      <w:r>
        <w:rPr>
          <w:rFonts w:ascii="黑体" w:hAnsi="黑体" w:eastAsia="黑体"/>
          <w:sz w:val="32"/>
        </w:rPr>
        <w:t>十二、其他需说明的事项</w:t>
      </w:r>
    </w:p>
    <w:p w14:paraId="262F2F0C">
      <w:pPr>
        <w:spacing w:line="580" w:lineRule="exact"/>
        <w:ind w:firstLine="640"/>
        <w:jc w:val="both"/>
      </w:pPr>
      <w:r>
        <w:rPr>
          <w:rFonts w:ascii="仿宋_GB2312" w:hAnsi="仿宋_GB2312" w:eastAsia="仿宋_GB2312"/>
          <w:b w:val="0"/>
          <w:sz w:val="32"/>
        </w:rPr>
        <w:t>本单位无其他需说明的事项。</w:t>
      </w:r>
    </w:p>
    <w:p w14:paraId="608D6331">
      <w:r>
        <w:br w:type="page"/>
      </w:r>
    </w:p>
    <w:p w14:paraId="2BE042D7">
      <w:pPr>
        <w:spacing w:line="240" w:lineRule="auto"/>
        <w:jc w:val="center"/>
        <w:outlineLvl w:val="1"/>
      </w:pPr>
      <w:r>
        <w:rPr>
          <w:rFonts w:ascii="黑体" w:hAnsi="黑体" w:eastAsia="黑体"/>
          <w:sz w:val="32"/>
        </w:rPr>
        <w:t>第三部分 专业名词解释</w:t>
      </w:r>
    </w:p>
    <w:p w14:paraId="58A3B3D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F00CCE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67FBA1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590DD7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8F7262D">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D3FACC2">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7BE159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52E390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16EF42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EB26EE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0F7AAD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D22D7F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6A593B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17D5D4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1165DC8">
      <w:r>
        <w:br w:type="page"/>
      </w:r>
    </w:p>
    <w:p w14:paraId="49778768">
      <w:pPr>
        <w:spacing w:line="240" w:lineRule="auto"/>
        <w:jc w:val="center"/>
        <w:outlineLvl w:val="1"/>
      </w:pPr>
      <w:r>
        <w:rPr>
          <w:rFonts w:ascii="黑体" w:hAnsi="黑体" w:eastAsia="黑体"/>
          <w:sz w:val="32"/>
        </w:rPr>
        <w:t>第四部分 部门决算报表（见附表）</w:t>
      </w:r>
    </w:p>
    <w:p w14:paraId="5F08A498">
      <w:pPr>
        <w:spacing w:line="240" w:lineRule="auto"/>
        <w:ind w:firstLine="640"/>
        <w:jc w:val="both"/>
      </w:pPr>
      <w:r>
        <w:rPr>
          <w:rFonts w:ascii="仿宋_GB2312" w:hAnsi="仿宋_GB2312" w:eastAsia="仿宋_GB2312"/>
          <w:b w:val="0"/>
          <w:sz w:val="32"/>
        </w:rPr>
        <w:t>一、《收入支出决算总表》</w:t>
      </w:r>
    </w:p>
    <w:p w14:paraId="343DD0A7">
      <w:pPr>
        <w:spacing w:line="240" w:lineRule="auto"/>
        <w:ind w:firstLine="640"/>
        <w:jc w:val="both"/>
      </w:pPr>
      <w:r>
        <w:rPr>
          <w:rFonts w:ascii="仿宋_GB2312" w:hAnsi="仿宋_GB2312" w:eastAsia="仿宋_GB2312"/>
          <w:b w:val="0"/>
          <w:sz w:val="32"/>
        </w:rPr>
        <w:t>二、《收入决算表》</w:t>
      </w:r>
    </w:p>
    <w:p w14:paraId="36B38CEF">
      <w:pPr>
        <w:spacing w:line="240" w:lineRule="auto"/>
        <w:ind w:firstLine="640"/>
        <w:jc w:val="both"/>
      </w:pPr>
      <w:r>
        <w:rPr>
          <w:rFonts w:ascii="仿宋_GB2312" w:hAnsi="仿宋_GB2312" w:eastAsia="仿宋_GB2312"/>
          <w:b w:val="0"/>
          <w:sz w:val="32"/>
        </w:rPr>
        <w:t>三、《支出决算表》</w:t>
      </w:r>
    </w:p>
    <w:p w14:paraId="5EEC00BD">
      <w:pPr>
        <w:spacing w:line="240" w:lineRule="auto"/>
        <w:ind w:firstLine="640"/>
        <w:jc w:val="both"/>
      </w:pPr>
      <w:r>
        <w:rPr>
          <w:rFonts w:ascii="仿宋_GB2312" w:hAnsi="仿宋_GB2312" w:eastAsia="仿宋_GB2312"/>
          <w:b w:val="0"/>
          <w:sz w:val="32"/>
        </w:rPr>
        <w:t>四、《财政拨款收入支出决算总表》</w:t>
      </w:r>
    </w:p>
    <w:p w14:paraId="3089D724">
      <w:pPr>
        <w:spacing w:line="240" w:lineRule="auto"/>
        <w:ind w:firstLine="640"/>
        <w:jc w:val="both"/>
      </w:pPr>
      <w:r>
        <w:rPr>
          <w:rFonts w:ascii="仿宋_GB2312" w:hAnsi="仿宋_GB2312" w:eastAsia="仿宋_GB2312"/>
          <w:b w:val="0"/>
          <w:sz w:val="32"/>
        </w:rPr>
        <w:t>五、《一般公共预算财政拨款支出决算表》</w:t>
      </w:r>
    </w:p>
    <w:p w14:paraId="49F3DAD3">
      <w:pPr>
        <w:spacing w:line="240" w:lineRule="auto"/>
        <w:ind w:firstLine="640"/>
        <w:jc w:val="both"/>
      </w:pPr>
      <w:r>
        <w:rPr>
          <w:rFonts w:ascii="仿宋_GB2312" w:hAnsi="仿宋_GB2312" w:eastAsia="仿宋_GB2312"/>
          <w:b w:val="0"/>
          <w:sz w:val="32"/>
        </w:rPr>
        <w:t>六、《一般公共预算财政拨款基本支出决算表》</w:t>
      </w:r>
    </w:p>
    <w:p w14:paraId="2E38E5D9">
      <w:pPr>
        <w:spacing w:line="240" w:lineRule="auto"/>
        <w:ind w:firstLine="640"/>
        <w:jc w:val="both"/>
      </w:pPr>
      <w:r>
        <w:rPr>
          <w:rFonts w:ascii="仿宋_GB2312" w:hAnsi="仿宋_GB2312" w:eastAsia="仿宋_GB2312"/>
          <w:b w:val="0"/>
          <w:sz w:val="32"/>
        </w:rPr>
        <w:t>七、《政府性基金预算财政拨款收入支出决算表》</w:t>
      </w:r>
    </w:p>
    <w:p w14:paraId="18D83C51">
      <w:pPr>
        <w:spacing w:line="240" w:lineRule="auto"/>
        <w:ind w:firstLine="640"/>
        <w:jc w:val="both"/>
      </w:pPr>
      <w:r>
        <w:rPr>
          <w:rFonts w:ascii="仿宋_GB2312" w:hAnsi="仿宋_GB2312" w:eastAsia="仿宋_GB2312"/>
          <w:b w:val="0"/>
          <w:sz w:val="32"/>
        </w:rPr>
        <w:t>八、《国有资本经营预算财政拨款收入支出决算表》</w:t>
      </w:r>
    </w:p>
    <w:p w14:paraId="5F536043">
      <w:pPr>
        <w:spacing w:line="240" w:lineRule="auto"/>
        <w:ind w:firstLine="640"/>
        <w:jc w:val="both"/>
      </w:pPr>
      <w:r>
        <w:rPr>
          <w:rFonts w:ascii="仿宋_GB2312" w:hAnsi="仿宋_GB2312" w:eastAsia="仿宋_GB2312"/>
          <w:b w:val="0"/>
          <w:sz w:val="32"/>
        </w:rPr>
        <w:t>九、《财政拨款“三公”经费支出决算表》</w:t>
      </w:r>
    </w:p>
    <w:p w14:paraId="6DFFEDAB">
      <w:pPr>
        <w:spacing w:line="240" w:lineRule="auto"/>
        <w:ind w:firstLine="640"/>
        <w:jc w:val="both"/>
      </w:pPr>
    </w:p>
    <w:p w14:paraId="6FC400C1">
      <w:pPr>
        <w:spacing w:line="240" w:lineRule="auto"/>
        <w:ind w:firstLine="640"/>
        <w:jc w:val="both"/>
      </w:pPr>
    </w:p>
    <w:p w14:paraId="7D7AF5E4">
      <w:pPr>
        <w:spacing w:line="240" w:lineRule="auto"/>
        <w:ind w:firstLine="640"/>
        <w:jc w:val="both"/>
      </w:pPr>
    </w:p>
    <w:p w14:paraId="3B6CF97C">
      <w:pPr>
        <w:spacing w:line="240" w:lineRule="auto"/>
        <w:ind w:firstLine="640"/>
        <w:jc w:val="both"/>
      </w:pPr>
    </w:p>
    <w:p w14:paraId="40D2811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WPSEMBED1">
    <w:panose1 w:val="02000000000000000000"/>
    <w:charset w:val="86"/>
    <w:family w:val="auto"/>
    <w:pitch w:val="default"/>
    <w:sig w:usb0="A00002BF" w:usb1="38CF7CFA" w:usb2="00082016" w:usb3="00000000" w:csb0="00040001" w:csb1="00000000"/>
  </w:font>
  <w:font w:name="WPSEMBED2">
    <w:panose1 w:val="02010609030101010101"/>
    <w:charset w:val="86"/>
    <w:family w:val="auto"/>
    <w:pitch w:val="default"/>
    <w:sig w:usb0="00000001" w:usb1="080E0000" w:usb2="00000000" w:usb3="00000000" w:csb0="00040000" w:csb1="00000000"/>
  </w:font>
  <w:font w:name="WPSEMBED3">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A755479"/>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ECC497D"/>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a05a1983-5766-4da2-b6a0-e53c4e811417</errorID>
      <errorWord>监督所</errorWord>
      <group>L1_Word</group>
      <groupName>字词问题</groupName>
      <ability>L2_Typo</ability>
      <abilityName>字词错误</abilityName>
      <candidateList>
        <item>监督</item>
      </candidateList>
      <explain/>
      <paraID>34C32A9A</paraID>
      <start>32</start>
      <end>35</end>
      <status>ignored</status>
      <modifiedWord/>
      <trackRevisions>false</trackRevisions>
    </reviewItem>
    <reviewItem>
      <errorID>6bf6b899-08a7-4c0a-8991-aa689cc766cd</errorID>
      <errorWord>艾滋病</errorWord>
      <group>L1_Sensitive</group>
      <groupName>敏感问题</groupName>
      <ability>L2_UserSensitive</ability>
      <abilityName>自定义敏感词</abilityName>
      <candidateList/>
      <explain>来自自定义敏感词库。</explain>
      <paraID>34C32A9A</paraID>
      <start>63</start>
      <end>66</end>
      <status>ignored</status>
      <modifiedWord/>
      <trackRevisions>false</trackRevisions>
    </reviewItem>
    <reviewItem>
      <errorID>fc4ad65c-c2b0-414d-99a0-bab60eea82bb</errorID>
      <errorWord>-</errorWord>
      <group>L1_Format</group>
      <groupName>格式问题</groupName>
      <ability>L2_HalfPunc</ability>
      <abilityName>全半角检查</abilityName>
      <candidateList>
        <item>－</item>
      </candidateList>
      <explain>文本全半角错误。</explain>
      <paraID>459B868D</paraID>
      <start>59</start>
      <end>60</end>
      <status>modified</status>
      <modifiedWord>－</modifiedWord>
      <trackRevisions>false</trackRevisions>
    </reviewItem>
    <reviewItem>
      <errorID>872af823-5797-4a24-b3c6-01c0a484dc3a</errorID>
      <errorWord>-</errorWord>
      <group>L1_Format</group>
      <groupName>格式问题</groupName>
      <ability>L2_HalfPunc</ability>
      <abilityName>全半角检查</abilityName>
      <candidateList>
        <item>－</item>
      </candidateList>
      <explain>文本全半角错误。</explain>
      <paraID>459B868D</paraID>
      <start>93</start>
      <end>94</end>
      <status>modified</status>
      <modifiedWord>－</modifiedWord>
      <trackRevisions>false</trackRevisions>
    </reviewItem>
    <reviewItem>
      <errorID>0aca52b2-6980-4eec-9214-2fc8d100d0ba</errorID>
      <errorWord>-</errorWord>
      <group>L1_Format</group>
      <groupName>格式问题</groupName>
      <ability>L2_HalfPunc</ability>
      <abilityName>全半角检查</abilityName>
      <candidateList>
        <item>－</item>
      </candidateList>
      <explain>文本全半角错误。</explain>
      <paraID>5EB876BA</paraID>
      <start>95</start>
      <end>96</end>
      <status>modified</status>
      <modifiedWord>－</modifiedWord>
      <trackRevisions>false</trackRevisions>
    </reviewItem>
    <reviewItem>
      <errorID>7e69469c-c8c1-44c1-a8c8-e5cc257aa1c1</errorID>
      <errorWord>-</errorWord>
      <group>L1_Format</group>
      <groupName>格式问题</groupName>
      <ability>L2_HalfPunc</ability>
      <abilityName>全半角检查</abilityName>
      <candidateList>
        <item>－</item>
      </candidateList>
      <explain>文本全半角错误。</explain>
      <paraID>4FDC833A</paraID>
      <start>105</start>
      <end>106</end>
      <status>modified</status>
      <modifiedWord>－</modifiedWord>
      <trackRevisions>false</trackRevisions>
    </reviewItem>
    <reviewItem>
      <errorID>89bf216e-6baf-4908-98a3-da59477ee09d</errorID>
      <errorWord>2月31日</errorWord>
      <group>L1_Sensitive</group>
      <groupName>敏感问题</groupName>
      <ability>L2_UserSensitive</ability>
      <abilityName>自定义敏感词</abilityName>
      <candidateList/>
      <explain>来自自定义敏感词库。</explain>
      <paraID>213C6541</paraID>
      <start>8</start>
      <end>13</end>
      <status>ignored</status>
      <modifiedWord/>
      <trackRevisions>false</trackRevisions>
    </reviewItem>
    <reviewItem>
      <errorID>d0a1e066-fe09-44bd-9260-8971be88292b</errorID>
      <errorWord>病例</errorWord>
      <group>L1_Word</group>
      <groupName>字词问题</groupName>
      <ability>L2_Typo</ability>
      <abilityName>字词错误</abilityName>
      <candidateList>
        <item>病历</item>
      </candidateList>
      <explain>存在发音相同字词的误用。</explain>
      <paraID>234B0FA6</paraID>
      <start>26</start>
      <end>28</end>
      <status>ignored</status>
      <modifiedWord/>
      <trackRevisions>false</trackRevisions>
    </reviewItem>
    <reviewItem>
      <errorID>fddcb7e0-9ddf-4ee7-85a6-813b62115739</errorID>
      <errorWord>病例</errorWord>
      <group>L1_Word</group>
      <groupName>字词问题</groupName>
      <ability>L2_Typo</ability>
      <abilityName>字词错误</abilityName>
      <candidateList>
        <item>病历</item>
      </candidateList>
      <explain>存在发音相同字词的误用。</explain>
      <paraID>234B0FA6</paraID>
      <start>447</start>
      <end>449</end>
      <status>ignored</status>
      <modifiedWord/>
      <trackRevisions>false</trackRevisions>
    </reviewItem>
    <reviewItem>
      <errorID>e22de43f-b910-4259-a1b1-b93675557523</errorID>
      <errorWord>病例</errorWord>
      <group>L1_Word</group>
      <groupName>字词问题</groupName>
      <ability>L2_Typo</ability>
      <abilityName>字词错误</abilityName>
      <candidateList>
        <item>病历</item>
      </candidateList>
      <explain>存在发音相同字词的误用。</explain>
      <paraID>26242812</paraID>
      <start>3</start>
      <end>5</end>
      <status>ignored</status>
      <modifiedWord/>
      <trackRevisions>false</trackRevisions>
    </reviewItem>
    <reviewItem>
      <errorID>4ac2bda3-e0dc-4a26-b260-9f5bf317a13e</errorID>
      <errorWord>病例</errorWord>
      <group>L1_Word</group>
      <groupName>字词问题</groupName>
      <ability>L2_Typo</ability>
      <abilityName>字词错误</abilityName>
      <candidateList>
        <item>病历</item>
      </candidateList>
      <explain>存在发音相同字词的误用。</explain>
      <paraID>26242812</paraID>
      <start>424</start>
      <end>426</end>
      <status>ignored</status>
      <modifiedWord/>
      <trackRevisions>false</trackRevisions>
    </reviewItem>
    <reviewItem>
      <errorID>11b3e356-fe0a-4f14-8d7b-ac77e7e0e05f</errorID>
      <errorWord>病例</errorWord>
      <group>L1_Word</group>
      <groupName>字词问题</groupName>
      <ability>L2_Typo</ability>
      <abilityName>字词错误</abilityName>
      <candidateList>
        <item>病历</item>
      </candidateList>
      <explain>存在发音相同字词的误用。</explain>
      <paraID>2B5BBF2D</paraID>
      <start>3</start>
      <end>5</end>
      <status>ignored</status>
      <modifiedWord/>
      <trackRevisions>false</trackRevisions>
    </reviewItem>
    <reviewItem>
      <errorID>bc48b277-ae19-41b1-9c11-c4229b6fd840</errorID>
      <errorWord>-</errorWord>
      <group>L1_Format</group>
      <groupName>格式问题</groupName>
      <ability>L2_HalfPunc</ability>
      <abilityName>全半角检查</abilityName>
      <candidateList>
        <item>－</item>
      </candidateList>
      <explain>文本全半角错误。</explain>
      <paraID>52E84E0E</paraID>
      <start>9</start>
      <end>10</end>
      <status>modified</status>
      <modifiedWord>－</modifiedWord>
      <trackRevisions>false</trackRevisions>
    </reviewItem>
    <reviewItem>
      <errorID>eafaa971-b984-4d20-b5f1-da45fb77bb3c</errorID>
      <errorWord>爆发</errorWord>
      <group>L1_Word</group>
      <groupName>字词问题</groupName>
      <ability>L2_Typo</ability>
      <abilityName>字词错误</abilityName>
      <candidateList>
        <item>暴发</item>
      </candidateList>
      <explain>存在发音相同字词的误用。</explain>
      <paraID>157B589E</paraID>
      <start>92</start>
      <end>94</end>
      <status>ignored</status>
      <modifiedWord/>
      <trackRevisions>false</trackRevisions>
    </reviewItem>
    <reviewItem>
      <errorID>15a9968d-8c0b-4e1b-b5d7-1f034ba9e361</errorID>
      <errorWord>包虫病</errorWord>
      <group>L1_Knowledge</group>
      <groupName>知识性问题</groupName>
      <ability>L2_Term</ability>
      <abilityName>专业术语</abilityName>
      <candidateList>
        <item>棘球蚴病</item>
      </candidateList>
      <explain>医学名词[包虫病]为不规范表述或旧称，其规范书面表述为[棘球蚴病]。</explain>
      <paraID>157B589E</paraID>
      <start>152</start>
      <end>155</end>
      <status>ignored</status>
      <modifiedWord/>
      <trackRevisions>false</trackRevisions>
    </reviewItem>
    <reviewItem>
      <errorID>3a31ac6e-0263-40ac-b24c-f240f83e6b67</errorID>
      <errorWord>包虫病</errorWord>
      <group>L1_Knowledge</group>
      <groupName>知识性问题</groupName>
      <ability>L2_Term</ability>
      <abilityName>专业术语</abilityName>
      <candidateList>
        <item>棘球蚴病</item>
      </candidateList>
      <explain>医学名词[包虫病]为不规范表述或旧称，其规范书面表述为[棘球蚴病]。</explain>
      <paraID>7D49A5EA</paraID>
      <start>65</start>
      <end>68</end>
      <status>ignored</status>
      <modifiedWord/>
      <trackRevisions>false</trackRevisions>
    </reviewItem>
    <reviewItem>
      <errorID>5251406f-9317-46b6-bbd5-fde2ad1349a5</errorID>
      <errorWord>爆发</errorWord>
      <group>L1_Word</group>
      <groupName>字词问题</groupName>
      <ability>L2_Typo</ability>
      <abilityName>字词错误</abilityName>
      <candidateList>
        <item>暴发</item>
      </candidateList>
      <explain>存在发音相同字词的误用。</explain>
      <paraID>7D49A5EA</paraID>
      <start>157</start>
      <end>159</end>
      <status>ignored</status>
      <modifiedWord/>
      <trackRevisions>false</trackRevisions>
    </reviewItem>
    <reviewItem>
      <errorID>b7383abf-ad53-4d3c-a506-1951ed95c112</errorID>
      <errorWord>包虫病</errorWord>
      <group>L1_Knowledge</group>
      <groupName>知识性问题</groupName>
      <ability>L2_Term</ability>
      <abilityName>专业术语</abilityName>
      <candidateList>
        <item>棘球蚴病</item>
      </candidateList>
      <explain>医学名词[包虫病]为不规范表述或旧称，其规范书面表述为[棘球蚴病]。</explain>
      <paraID>44F95871</paraID>
      <start>0</start>
      <end>3</end>
      <status>ignored</status>
      <modifiedWord/>
      <trackRevisions>false</trackRevisions>
    </reviewItem>
    <reviewItem>
      <errorID>eec3b948-8d55-4c59-87dc-42a74cdcd880</errorID>
      <errorWord>包虫病</errorWord>
      <group>L1_Knowledge</group>
      <groupName>知识性问题</groupName>
      <ability>L2_Term</ability>
      <abilityName>专业术语</abilityName>
      <candidateList>
        <item>棘球蚴病</item>
      </candidateList>
      <explain>医学名词[包虫病]为不规范表述或旧称，其规范书面表述为[棘球蚴病]。</explain>
      <paraID>1E577A67</paraID>
      <start>0</start>
      <end>3</end>
      <status>ignored</status>
      <modifiedWord/>
      <trackRevisions>false</trackRevisions>
    </reviewItem>
    <reviewItem>
      <errorID>cf9822bb-2296-4f5d-974a-044c3e564930</errorID>
      <errorWord>爆发</errorWord>
      <group>L1_Word</group>
      <groupName>字词问题</groupName>
      <ability>L2_Typo</ability>
      <abilityName>字词错误</abilityName>
      <candidateList>
        <item>暴发</item>
      </candidateList>
      <explain>存在发音相同字词的误用。</explain>
      <paraID>6C2622E5</paraID>
      <start>70</start>
      <end>72</end>
      <status>ignored</status>
      <modifiedWord/>
      <trackRevisions>false</trackRevisions>
    </reviewItem>
    <reviewItem>
      <errorID>8d0ef518-20ee-4d8e-9e55-194022ff2d40</errorID>
      <errorWord>爆发</errorWord>
      <group>L1_Word</group>
      <groupName>字词问题</groupName>
      <ability>L2_Typo</ability>
      <abilityName>字词错误</abilityName>
      <candidateList>
        <item>暴发</item>
      </candidateList>
      <explain>存在发音相同字词的误用。</explain>
      <paraID>1DA69B8A</paraID>
      <start>83</start>
      <end>85</end>
      <status>ignored</status>
      <modifiedWord/>
      <trackRevisions>false</trackRevisions>
    </reviewItem>
    <reviewItem>
      <errorID>b34ac427-1c03-4637-a975-e4914ff6063b</errorID>
      <errorWord>-</errorWord>
      <group>L1_Format</group>
      <groupName>格式问题</groupName>
      <ability>L2_HalfPunc</ability>
      <abilityName>全半角检查</abilityName>
      <candidateList>
        <item>－</item>
      </candidateList>
      <explain>文本全半角错误。</explain>
      <paraID>1C22CB8D</paraID>
      <start>11</start>
      <end>12</end>
      <status>modified</status>
      <modifiedWord>－</modifiedWord>
      <trackRevisions>false</trackRevisions>
    </reviewItem>
    <reviewItem>
      <errorID>b5a3548e-e110-4997-bdaa-3dc93e6f3274</errorID>
      <errorWord>-</errorWord>
      <group>L1_Format</group>
      <groupName>格式问题</groupName>
      <ability>L2_HalfPunc</ability>
      <abilityName>全半角检查</abilityName>
      <candidateList>
        <item>－</item>
      </candidateList>
      <explain>文本全半角错误。</explain>
      <paraID>2D60AC0F</paraID>
      <start>11</start>
      <end>12</end>
      <status>modified</status>
      <modifiedWord>－</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63020f-6c18-425e-8d07-abe0844143ef}">
  <ds:schemaRefs/>
</ds:datastoreItem>
</file>

<file path=docProps/app.xml><?xml version="1.0" encoding="utf-8"?>
<Properties xmlns="http://schemas.openxmlformats.org/officeDocument/2006/extended-properties" xmlns:vt="http://schemas.openxmlformats.org/officeDocument/2006/docPropsVTypes">
  <Template>Normal.dotm</Template>
  <Pages>35</Pages>
  <Words>7223</Words>
  <Characters>8343</Characters>
  <Lines>0</Lines>
  <Paragraphs>0</Paragraphs>
  <TotalTime>27</TotalTime>
  <ScaleCrop>false</ScaleCrop>
  <LinksUpToDate>false</LinksUpToDate>
  <CharactersWithSpaces>8355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2025-10-31T10:46:09Z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