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托里县技工学校2024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61EE9FB">
      <w:r>
        <w:br w:type="page"/>
      </w:r>
    </w:p>
    <w:p w14:paraId="00338B68">
      <w:pPr>
        <w:spacing w:line="640" w:lineRule="exact"/>
        <w:jc w:val="center"/>
        <w:outlineLvl w:val="1"/>
      </w:pPr>
      <w:r>
        <w:rPr>
          <w:rFonts w:ascii="黑体" w:hAnsi="黑体" w:eastAsia="黑体"/>
          <w:sz w:val="32"/>
        </w:rPr>
        <w:t>第一部分 单位概况</w:t>
      </w:r>
    </w:p>
    <w:p w14:paraId="3EA78AB1">
      <w:pPr>
        <w:spacing w:line="640" w:lineRule="exact"/>
        <w:ind w:firstLine="640"/>
        <w:jc w:val="both"/>
        <w:outlineLvl w:val="2"/>
      </w:pPr>
      <w:r>
        <w:rPr>
          <w:rFonts w:ascii="黑体" w:hAnsi="黑体" w:eastAsia="黑体"/>
          <w:sz w:val="32"/>
        </w:rPr>
        <w:t>一、主要职能</w:t>
      </w:r>
    </w:p>
    <w:p w14:paraId="7EB046A9">
      <w:pPr>
        <w:spacing w:line="580" w:lineRule="exact"/>
        <w:ind w:firstLine="640"/>
        <w:jc w:val="both"/>
        <w:rPr>
          <w:rFonts w:hint="eastAsia" w:eastAsia="仿宋_GB2312"/>
          <w:lang w:eastAsia="zh-CN"/>
        </w:rPr>
      </w:pPr>
      <w:r>
        <w:rPr>
          <w:rFonts w:ascii="仿宋_GB2312" w:hAnsi="仿宋_GB2312" w:eastAsia="仿宋_GB2312"/>
          <w:sz w:val="32"/>
        </w:rPr>
        <w:t>托里县技工学校于2021年6月2日正式成立,2023年1月设立独立机构，定为正科级全额事业单位，隶属于托里县人力资源和社会保障局，一年以来紧紧围绕坚决落实以习近平同志为核心的党中央治疆方略，深入贯彻落实习近平总书记视察新疆重要讲话重要指示精神，完整准确贯彻新时代党的治疆方略，牢牢扭住新疆工作总目标，学校坚持与市场需求相结合，专业结构优化，设置合理,覆盖了砌筑工、汽车维</w:t>
      </w:r>
      <w:r>
        <w:rPr>
          <w:rFonts w:hint="eastAsia" w:ascii="仿宋_GB2312" w:hAnsi="仿宋_GB2312" w:eastAsia="仿宋_GB2312"/>
          <w:sz w:val="32"/>
          <w:lang w:eastAsia="zh-CN"/>
        </w:rPr>
        <w:t>修工</w:t>
      </w:r>
      <w:r>
        <w:rPr>
          <w:rFonts w:ascii="仿宋_GB2312" w:hAnsi="仿宋_GB2312" w:eastAsia="仿宋_GB2312"/>
          <w:sz w:val="32"/>
        </w:rPr>
        <w:t>、电焊工、中式烹调师、园艺工、中式面点师、裁剪工、缝纫工、动物疫病防治员、餐厅服务员、创业培</w:t>
      </w:r>
      <w:r>
        <w:rPr>
          <w:rFonts w:hint="eastAsia" w:ascii="仿宋_GB2312" w:hAnsi="仿宋_GB2312" w:eastAsia="仿宋_GB2312"/>
          <w:sz w:val="32"/>
          <w:lang w:eastAsia="zh-CN"/>
        </w:rPr>
        <w:t>训师</w:t>
      </w:r>
      <w:r>
        <w:rPr>
          <w:rFonts w:ascii="仿宋_GB2312" w:hAnsi="仿宋_GB2312" w:eastAsia="仿宋_GB2312"/>
          <w:sz w:val="32"/>
        </w:rPr>
        <w:t>、西式面点师、客房服</w:t>
      </w:r>
      <w:r>
        <w:rPr>
          <w:rFonts w:hint="eastAsia" w:ascii="仿宋_GB2312" w:hAnsi="仿宋_GB2312" w:eastAsia="仿宋_GB2312"/>
          <w:sz w:val="32"/>
          <w:lang w:eastAsia="zh-CN"/>
        </w:rPr>
        <w:t>务员</w:t>
      </w:r>
      <w:r>
        <w:rPr>
          <w:rFonts w:ascii="仿宋_GB2312" w:hAnsi="仿宋_GB2312" w:eastAsia="仿宋_GB2312"/>
          <w:sz w:val="32"/>
        </w:rPr>
        <w:t>、西式烹</w:t>
      </w:r>
      <w:r>
        <w:rPr>
          <w:rFonts w:hint="eastAsia" w:ascii="仿宋_GB2312" w:hAnsi="仿宋_GB2312" w:eastAsia="仿宋_GB2312"/>
          <w:sz w:val="32"/>
          <w:lang w:eastAsia="zh-CN"/>
        </w:rPr>
        <w:t>调师</w:t>
      </w:r>
      <w:r>
        <w:rPr>
          <w:rFonts w:ascii="仿宋_GB2312" w:hAnsi="仿宋_GB2312" w:eastAsia="仿宋_GB2312"/>
          <w:sz w:val="32"/>
        </w:rPr>
        <w:t>、新疆馕师等15个中短期专业，为中华人民共和国成立70周年营造和谐的社会环境。主要职责是</w:t>
      </w:r>
      <w:r>
        <w:rPr>
          <w:rFonts w:hint="eastAsia" w:ascii="仿宋_GB2312" w:hAnsi="仿宋_GB2312" w:eastAsia="仿宋_GB2312"/>
          <w:sz w:val="32"/>
          <w:lang w:eastAsia="zh-CN"/>
        </w:rPr>
        <w:t>：</w:t>
      </w:r>
    </w:p>
    <w:p w14:paraId="49B942CB">
      <w:pPr>
        <w:spacing w:line="580" w:lineRule="exact"/>
        <w:ind w:firstLine="640"/>
        <w:jc w:val="both"/>
      </w:pPr>
      <w:r>
        <w:rPr>
          <w:rFonts w:ascii="仿宋_GB2312" w:hAnsi="仿宋_GB2312" w:eastAsia="仿宋_GB2312"/>
          <w:sz w:val="32"/>
        </w:rPr>
        <w:t>（一）坚持短期与中长期职业培训并举，完成县委，县人民政府安排部署的各项农牧民培训任务。</w:t>
      </w:r>
    </w:p>
    <w:p w14:paraId="682F6107">
      <w:pPr>
        <w:spacing w:line="580" w:lineRule="exact"/>
        <w:ind w:firstLine="640"/>
        <w:jc w:val="both"/>
      </w:pPr>
      <w:r>
        <w:rPr>
          <w:rFonts w:ascii="仿宋_GB2312" w:hAnsi="仿宋_GB2312" w:eastAsia="仿宋_GB2312"/>
          <w:sz w:val="32"/>
        </w:rPr>
        <w:t>（二）加强师资队伍建设，强化“双师型”教师培养，提高专（兼）职教师教育教学水平。</w:t>
      </w:r>
    </w:p>
    <w:p w14:paraId="2F948999">
      <w:pPr>
        <w:spacing w:line="580" w:lineRule="exact"/>
        <w:ind w:firstLine="640"/>
        <w:jc w:val="both"/>
      </w:pPr>
      <w:r>
        <w:rPr>
          <w:rFonts w:ascii="仿宋_GB2312" w:hAnsi="仿宋_GB2312" w:eastAsia="仿宋_GB2312"/>
          <w:sz w:val="32"/>
        </w:rPr>
        <w:t>（三）结合产业规划和市场用工需求，科学设置培训专业（工种），扎实开展农牧民技术，技能培训，不断提高劳动者职业素质和技能水平，</w:t>
      </w:r>
      <w:r>
        <w:rPr>
          <w:rFonts w:hint="eastAsia" w:ascii="仿宋_GB2312" w:hAnsi="仿宋_GB2312" w:eastAsia="仿宋_GB2312"/>
          <w:sz w:val="32"/>
          <w:lang w:eastAsia="zh-CN"/>
        </w:rPr>
        <w:t>拓宽</w:t>
      </w:r>
      <w:r>
        <w:rPr>
          <w:rFonts w:ascii="仿宋_GB2312" w:hAnsi="仿宋_GB2312" w:eastAsia="仿宋_GB2312"/>
          <w:sz w:val="32"/>
        </w:rPr>
        <w:t>就业，创业渠道。</w:t>
      </w:r>
    </w:p>
    <w:p w14:paraId="77E8E569">
      <w:pPr>
        <w:spacing w:line="580" w:lineRule="exact"/>
        <w:ind w:firstLine="640"/>
        <w:jc w:val="both"/>
      </w:pPr>
      <w:r>
        <w:rPr>
          <w:rFonts w:ascii="仿宋_GB2312" w:hAnsi="仿宋_GB2312" w:eastAsia="仿宋_GB2312"/>
          <w:sz w:val="32"/>
        </w:rPr>
        <w:t>（四）搭建大培训格局和平台，通过校校，校企合作，校校联合，部门协作的方式，将各行业，各部门涉及农牧民培训的项目纳入托里县</w:t>
      </w:r>
      <w:r>
        <w:rPr>
          <w:rFonts w:hint="eastAsia" w:ascii="仿宋_GB2312" w:hAnsi="仿宋_GB2312" w:eastAsia="仿宋_GB2312"/>
          <w:sz w:val="32"/>
          <w:lang w:eastAsia="zh-CN"/>
        </w:rPr>
        <w:t>技工学校</w:t>
      </w:r>
      <w:r>
        <w:rPr>
          <w:rFonts w:ascii="仿宋_GB2312" w:hAnsi="仿宋_GB2312" w:eastAsia="仿宋_GB2312"/>
          <w:sz w:val="32"/>
        </w:rPr>
        <w:t>开展培训。</w:t>
      </w:r>
    </w:p>
    <w:p w14:paraId="3C8588EB">
      <w:pPr>
        <w:spacing w:line="580" w:lineRule="exact"/>
        <w:ind w:firstLine="640"/>
        <w:jc w:val="both"/>
      </w:pPr>
      <w:r>
        <w:rPr>
          <w:rFonts w:ascii="仿宋_GB2312" w:hAnsi="仿宋_GB2312" w:eastAsia="仿宋_GB2312"/>
          <w:sz w:val="32"/>
        </w:rPr>
        <w:t>（五）加强</w:t>
      </w:r>
      <w:r>
        <w:rPr>
          <w:rFonts w:hint="eastAsia" w:ascii="仿宋_GB2312" w:hAnsi="仿宋_GB2312" w:eastAsia="仿宋_GB2312"/>
          <w:sz w:val="32"/>
          <w:lang w:eastAsia="zh-CN"/>
        </w:rPr>
        <w:t>学校</w:t>
      </w:r>
      <w:r>
        <w:rPr>
          <w:rFonts w:ascii="仿宋_GB2312" w:hAnsi="仿宋_GB2312" w:eastAsia="仿宋_GB2312"/>
          <w:sz w:val="32"/>
        </w:rPr>
        <w:t>师生，教育教学和就业安置服务管理，确保学校各项工作扎实有序</w:t>
      </w:r>
      <w:r>
        <w:rPr>
          <w:rFonts w:hint="eastAsia" w:ascii="仿宋_GB2312" w:hAnsi="仿宋_GB2312" w:eastAsia="仿宋_GB2312"/>
          <w:sz w:val="32"/>
          <w:lang w:eastAsia="zh-CN"/>
        </w:rPr>
        <w:t>开展</w:t>
      </w:r>
      <w:r>
        <w:rPr>
          <w:rFonts w:ascii="仿宋_GB2312" w:hAnsi="仿宋_GB2312" w:eastAsia="仿宋_GB2312"/>
          <w:sz w:val="32"/>
        </w:rPr>
        <w:t>。</w:t>
      </w:r>
    </w:p>
    <w:p w14:paraId="23604017">
      <w:pPr>
        <w:spacing w:line="580" w:lineRule="exact"/>
        <w:ind w:firstLine="640"/>
        <w:jc w:val="both"/>
      </w:pPr>
      <w:r>
        <w:rPr>
          <w:rFonts w:ascii="仿宋_GB2312" w:hAnsi="仿宋_GB2312" w:eastAsia="仿宋_GB2312"/>
          <w:sz w:val="32"/>
        </w:rPr>
        <w:t>（六）完成县委，县人民政府及上级主管部门交办的其他任务。</w:t>
      </w:r>
    </w:p>
    <w:p w14:paraId="1E42BD46">
      <w:pPr>
        <w:spacing w:line="640" w:lineRule="exact"/>
        <w:ind w:firstLine="640"/>
        <w:jc w:val="both"/>
        <w:outlineLvl w:val="2"/>
      </w:pPr>
      <w:r>
        <w:rPr>
          <w:rFonts w:ascii="黑体" w:hAnsi="黑体" w:eastAsia="黑体"/>
          <w:sz w:val="32"/>
        </w:rPr>
        <w:t>二、机构设置及人员情况</w:t>
      </w:r>
    </w:p>
    <w:p w14:paraId="00BCADCD">
      <w:pPr>
        <w:spacing w:line="580" w:lineRule="exact"/>
        <w:ind w:firstLine="640"/>
        <w:jc w:val="both"/>
      </w:pPr>
      <w:r>
        <w:rPr>
          <w:rFonts w:ascii="仿宋_GB2312" w:hAnsi="仿宋_GB2312" w:eastAsia="仿宋_GB2312"/>
          <w:sz w:val="32"/>
        </w:rPr>
        <w:t>托里县技工学校2024年度，实有人数31人，其中：在职人员28人，增加1人；离休人员0人，增加0人；退休人员3人,增加3人。</w:t>
      </w:r>
    </w:p>
    <w:p w14:paraId="2D59C5FF">
      <w:pPr>
        <w:spacing w:line="580" w:lineRule="exact"/>
        <w:ind w:firstLine="640"/>
        <w:jc w:val="both"/>
      </w:pPr>
      <w:r>
        <w:rPr>
          <w:rFonts w:ascii="仿宋_GB2312" w:hAnsi="仿宋_GB2312" w:eastAsia="仿宋_GB2312"/>
          <w:sz w:val="32"/>
        </w:rPr>
        <w:t>托里县技工学校无下属预算单位，下设6个科室，分别是：办公室、财务室、教务教学科、培训实训科、招生就业科（人力资源市场）、总务科（医务室，心理咨询师）。</w:t>
      </w:r>
    </w:p>
    <w:p w14:paraId="5370486A">
      <w:r>
        <w:br w:type="page"/>
      </w:r>
    </w:p>
    <w:p w14:paraId="3702B5C1">
      <w:pPr>
        <w:spacing w:line="240" w:lineRule="auto"/>
        <w:jc w:val="center"/>
        <w:outlineLvl w:val="1"/>
      </w:pPr>
      <w:r>
        <w:rPr>
          <w:rFonts w:ascii="黑体" w:hAnsi="黑体" w:eastAsia="黑体"/>
          <w:sz w:val="32"/>
        </w:rPr>
        <w:t>第二部分 部门决算情况说明</w:t>
      </w:r>
    </w:p>
    <w:p w14:paraId="5B5BB2FA">
      <w:pPr>
        <w:spacing w:line="640" w:lineRule="exact"/>
        <w:ind w:firstLine="640"/>
        <w:jc w:val="both"/>
        <w:outlineLvl w:val="2"/>
      </w:pPr>
      <w:r>
        <w:rPr>
          <w:rFonts w:ascii="黑体" w:hAnsi="黑体" w:eastAsia="黑体"/>
          <w:sz w:val="32"/>
        </w:rPr>
        <w:t>一、收入支出决算总体情况说明</w:t>
      </w:r>
    </w:p>
    <w:p w14:paraId="38EBC053">
      <w:pPr>
        <w:spacing w:line="580" w:lineRule="exact"/>
        <w:ind w:firstLine="640"/>
        <w:jc w:val="both"/>
      </w:pPr>
      <w:r>
        <w:rPr>
          <w:rFonts w:ascii="仿宋_GB2312" w:hAnsi="仿宋_GB2312" w:eastAsia="仿宋_GB2312"/>
          <w:b/>
          <w:sz w:val="32"/>
        </w:rPr>
        <w:t>2024年度收入总计512.62万元，</w:t>
      </w:r>
      <w:r>
        <w:rPr>
          <w:rFonts w:ascii="仿宋_GB2312" w:hAnsi="仿宋_GB2312" w:eastAsia="仿宋_GB2312"/>
          <w:b w:val="0"/>
          <w:sz w:val="32"/>
        </w:rPr>
        <w:t>其中：本年收入合计487.56万元，使用非财政拨款结余（含专用结余）0.00万元，年初结转和结余25.06万元。</w:t>
      </w:r>
    </w:p>
    <w:p w14:paraId="15C339EE">
      <w:pPr>
        <w:spacing w:line="580" w:lineRule="exact"/>
        <w:ind w:firstLine="640"/>
        <w:jc w:val="both"/>
      </w:pPr>
      <w:r>
        <w:rPr>
          <w:rFonts w:ascii="仿宋_GB2312" w:hAnsi="仿宋_GB2312" w:eastAsia="仿宋_GB2312"/>
          <w:b/>
          <w:sz w:val="32"/>
        </w:rPr>
        <w:t>2024年度支出总计512.62万元，</w:t>
      </w:r>
      <w:r>
        <w:rPr>
          <w:rFonts w:ascii="仿宋_GB2312" w:hAnsi="仿宋_GB2312" w:eastAsia="仿宋_GB2312"/>
          <w:b w:val="0"/>
          <w:sz w:val="32"/>
        </w:rPr>
        <w:t>其中：本年支出合计484.92万元，结余分配0.00万元，年末结转和结余27.70万元。</w:t>
      </w:r>
    </w:p>
    <w:p w14:paraId="4717ED0E">
      <w:pPr>
        <w:spacing w:line="580" w:lineRule="exact"/>
        <w:ind w:firstLine="640"/>
        <w:jc w:val="both"/>
      </w:pPr>
      <w:r>
        <w:rPr>
          <w:rFonts w:ascii="仿宋_GB2312" w:hAnsi="仿宋_GB2312" w:eastAsia="仿宋_GB2312"/>
          <w:b w:val="0"/>
          <w:sz w:val="32"/>
        </w:rPr>
        <w:t>收入支出总体与上年相比，增加221.31万元，增长75.97%，主要原因是：本年增加调入人员，工资基数较高，相关人员经费增加；在职人员工资调增、社保、公积金基数调增，人员经费增加；本年增加2024年单位资金-培训补助资金项目、2024年单位资金-培训食宿费项目。</w:t>
      </w:r>
    </w:p>
    <w:p w14:paraId="1F569B8E">
      <w:pPr>
        <w:spacing w:line="640" w:lineRule="exact"/>
        <w:ind w:firstLine="640"/>
        <w:jc w:val="both"/>
        <w:outlineLvl w:val="2"/>
      </w:pPr>
      <w:r>
        <w:rPr>
          <w:rFonts w:ascii="黑体" w:hAnsi="黑体" w:eastAsia="黑体"/>
          <w:sz w:val="32"/>
        </w:rPr>
        <w:t>二、收入决算情况说明</w:t>
      </w:r>
    </w:p>
    <w:p w14:paraId="655BD6DF">
      <w:pPr>
        <w:spacing w:line="580" w:lineRule="exact"/>
        <w:ind w:firstLine="640"/>
        <w:jc w:val="both"/>
      </w:pPr>
      <w:r>
        <w:rPr>
          <w:rFonts w:ascii="仿宋_GB2312" w:hAnsi="仿宋_GB2312" w:eastAsia="仿宋_GB2312"/>
          <w:b/>
          <w:sz w:val="32"/>
        </w:rPr>
        <w:t>本年收入487.56万元，</w:t>
      </w:r>
      <w:r>
        <w:rPr>
          <w:rFonts w:ascii="仿宋_GB2312" w:hAnsi="仿宋_GB2312" w:eastAsia="仿宋_GB2312"/>
          <w:b w:val="0"/>
          <w:sz w:val="32"/>
        </w:rPr>
        <w:t>其中：财政拨款收入416.69万元，占85.46%；上级补助收入0.00万元，占0.00%；事业收入0.00万元，占0.00%；经营收入0.00万元，占0.00%；附属单位上缴收入0.00万元，占0.00%；其他收入70.88万元，占14.54%。</w:t>
      </w:r>
    </w:p>
    <w:p w14:paraId="6B743F89">
      <w:pPr>
        <w:spacing w:line="640" w:lineRule="exact"/>
        <w:ind w:firstLine="640"/>
        <w:jc w:val="both"/>
        <w:outlineLvl w:val="2"/>
      </w:pPr>
      <w:r>
        <w:rPr>
          <w:rFonts w:ascii="黑体" w:hAnsi="黑体" w:eastAsia="黑体"/>
          <w:sz w:val="32"/>
        </w:rPr>
        <w:t>三、支出决算情况说明</w:t>
      </w:r>
    </w:p>
    <w:p w14:paraId="140820B1">
      <w:pPr>
        <w:spacing w:line="580" w:lineRule="exact"/>
        <w:ind w:firstLine="640"/>
        <w:jc w:val="both"/>
      </w:pPr>
      <w:r>
        <w:rPr>
          <w:rFonts w:ascii="仿宋_GB2312" w:hAnsi="仿宋_GB2312" w:eastAsia="仿宋_GB2312"/>
          <w:b/>
          <w:sz w:val="32"/>
        </w:rPr>
        <w:t>本年支出484.92万元，</w:t>
      </w:r>
      <w:r>
        <w:rPr>
          <w:rFonts w:ascii="仿宋_GB2312" w:hAnsi="仿宋_GB2312" w:eastAsia="仿宋_GB2312"/>
          <w:b w:val="0"/>
          <w:sz w:val="32"/>
        </w:rPr>
        <w:t>其中：基本支出416.69万元，占85.93%；项目支出68.24万元，占14.07%；上缴上级支出0.00万元，占0.00%；经营支出0.00万元，占0.00%；对附属单位补助支出0.00万元，占0.00%。</w:t>
      </w:r>
    </w:p>
    <w:p w14:paraId="0AA5AA11">
      <w:pPr>
        <w:spacing w:line="640" w:lineRule="exact"/>
        <w:ind w:firstLine="640"/>
        <w:jc w:val="both"/>
        <w:outlineLvl w:val="2"/>
      </w:pPr>
      <w:r>
        <w:rPr>
          <w:rFonts w:ascii="黑体" w:hAnsi="黑体" w:eastAsia="黑体"/>
          <w:sz w:val="32"/>
        </w:rPr>
        <w:t>四、财政拨款收入支出决算总体情况说明</w:t>
      </w:r>
    </w:p>
    <w:p w14:paraId="46515809">
      <w:pPr>
        <w:spacing w:line="580" w:lineRule="exact"/>
        <w:ind w:firstLine="640"/>
        <w:jc w:val="both"/>
      </w:pPr>
      <w:r>
        <w:rPr>
          <w:rFonts w:ascii="仿宋_GB2312" w:hAnsi="仿宋_GB2312" w:eastAsia="仿宋_GB2312"/>
          <w:b/>
          <w:sz w:val="32"/>
        </w:rPr>
        <w:t>2024年度财政拨款收入总计416.69万元，</w:t>
      </w:r>
      <w:r>
        <w:rPr>
          <w:rFonts w:ascii="仿宋_GB2312" w:hAnsi="仿宋_GB2312" w:eastAsia="仿宋_GB2312"/>
          <w:b w:val="0"/>
          <w:sz w:val="32"/>
        </w:rPr>
        <w:t>其中：年初财政拨款结转和结余0.00万元，本年财政拨款收入416.69万元。</w:t>
      </w:r>
      <w:r>
        <w:rPr>
          <w:rFonts w:ascii="仿宋_GB2312" w:hAnsi="仿宋_GB2312" w:eastAsia="仿宋_GB2312"/>
          <w:b/>
          <w:sz w:val="32"/>
        </w:rPr>
        <w:t>财政拨款支出总计416.69万元，</w:t>
      </w:r>
      <w:r>
        <w:rPr>
          <w:rFonts w:ascii="仿宋_GB2312" w:hAnsi="仿宋_GB2312" w:eastAsia="仿宋_GB2312"/>
          <w:b w:val="0"/>
          <w:sz w:val="32"/>
        </w:rPr>
        <w:t>其中：年末财政拨款结转和结余0.00万元，本年财政拨款支出416.69万元。</w:t>
      </w:r>
    </w:p>
    <w:p w14:paraId="16D87FE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增加156.16万元，增长59.94%，主要原因是：本年增加调入人员，工资基数较高，相关人员经费增加；在职人员工资调增、社保、公积金基数调增，人员经费增加。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年初预算数364.76万元，决算数416.69万元，预决算差异率14.24%，主要原因是：本年在职人员增加，年中追加人员经费及人员工资、社保、公积金基数调增部分资金，导致预决算存在差异。</w:t>
      </w:r>
    </w:p>
    <w:p w14:paraId="2CF40667">
      <w:pPr>
        <w:spacing w:line="640" w:lineRule="exact"/>
        <w:ind w:firstLine="640"/>
        <w:jc w:val="both"/>
        <w:outlineLvl w:val="2"/>
      </w:pPr>
      <w:r>
        <w:rPr>
          <w:rFonts w:ascii="黑体" w:hAnsi="黑体" w:eastAsia="黑体"/>
          <w:sz w:val="32"/>
        </w:rPr>
        <w:t>五、一般公共预算财政拨款支出决算情况说明</w:t>
      </w:r>
    </w:p>
    <w:p w14:paraId="26C41615">
      <w:pPr>
        <w:spacing w:line="640" w:lineRule="exact"/>
        <w:ind w:firstLine="640"/>
        <w:jc w:val="both"/>
        <w:outlineLvl w:val="3"/>
      </w:pPr>
      <w:r>
        <w:rPr>
          <w:rFonts w:ascii="楷体_GB2312" w:hAnsi="楷体_GB2312" w:eastAsia="楷体_GB2312"/>
          <w:b/>
          <w:sz w:val="32"/>
        </w:rPr>
        <w:t>（一）一般公共预算财政拨款支出决算总体情况</w:t>
      </w:r>
    </w:p>
    <w:p w14:paraId="52542E70">
      <w:pPr>
        <w:spacing w:line="580" w:lineRule="exact"/>
        <w:ind w:firstLine="640"/>
        <w:jc w:val="both"/>
      </w:pPr>
      <w:r>
        <w:rPr>
          <w:rFonts w:ascii="仿宋_GB2312" w:hAnsi="仿宋_GB2312" w:eastAsia="仿宋_GB2312"/>
          <w:b/>
          <w:sz w:val="32"/>
        </w:rPr>
        <w:t>2024年度一般公共预算财政拨款支出416.69万元，</w:t>
      </w:r>
      <w:r>
        <w:rPr>
          <w:rFonts w:ascii="仿宋_GB2312" w:hAnsi="仿宋_GB2312" w:eastAsia="仿宋_GB2312"/>
          <w:b w:val="0"/>
          <w:sz w:val="32"/>
        </w:rPr>
        <w:t>占本年支出合计的85.93%。</w:t>
      </w:r>
      <w:r>
        <w:rPr>
          <w:rFonts w:ascii="仿宋_GB2312" w:hAnsi="仿宋_GB2312" w:eastAsia="仿宋_GB2312"/>
          <w:b/>
          <w:sz w:val="32"/>
        </w:rPr>
        <w:t>与上年相比，</w:t>
      </w:r>
      <w:r>
        <w:rPr>
          <w:rFonts w:ascii="仿宋_GB2312" w:hAnsi="仿宋_GB2312" w:eastAsia="仿宋_GB2312"/>
          <w:b w:val="0"/>
          <w:sz w:val="32"/>
        </w:rPr>
        <w:t>增加156.16万元，增长59.94%，主要原因是：在职人员工资调增、社保、公积金基数调增，人员经费增加；本年增加调入人员，工资基数较高，相关人员经费增加。</w:t>
      </w:r>
      <w:r>
        <w:rPr>
          <w:rFonts w:ascii="仿宋_GB2312" w:hAnsi="仿宋_GB2312" w:eastAsia="仿宋_GB2312"/>
          <w:b/>
          <w:sz w:val="32"/>
        </w:rPr>
        <w:t>与年初预算相比,</w:t>
      </w:r>
      <w:r>
        <w:rPr>
          <w:rFonts w:ascii="仿宋_GB2312" w:hAnsi="仿宋_GB2312" w:eastAsia="仿宋_GB2312"/>
          <w:b w:val="0"/>
          <w:sz w:val="32"/>
        </w:rPr>
        <w:t>年初预算数364.76万元，决算数416.69万元，预决算差异率14.24%，主要原因是：本年在职人员增加，年中追加人员经费及人员工资、社保、公积金基数调增部分资金，导致预决算存在差异。</w:t>
      </w:r>
    </w:p>
    <w:p w14:paraId="3A2A0A51">
      <w:pPr>
        <w:spacing w:line="640" w:lineRule="exact"/>
        <w:ind w:firstLine="640"/>
        <w:jc w:val="both"/>
        <w:outlineLvl w:val="3"/>
      </w:pPr>
      <w:r>
        <w:rPr>
          <w:rFonts w:ascii="楷体_GB2312" w:hAnsi="楷体_GB2312" w:eastAsia="楷体_GB2312"/>
          <w:b/>
          <w:sz w:val="32"/>
        </w:rPr>
        <w:t>（二）一般公共预算财政拨款支出决算结构情况</w:t>
      </w:r>
    </w:p>
    <w:p w14:paraId="387BE4F6">
      <w:pPr>
        <w:spacing w:line="580" w:lineRule="exact"/>
        <w:ind w:firstLine="640"/>
        <w:jc w:val="both"/>
      </w:pPr>
      <w:r>
        <w:rPr>
          <w:rFonts w:ascii="仿宋_GB2312" w:hAnsi="仿宋_GB2312" w:eastAsia="仿宋_GB2312"/>
          <w:b w:val="0"/>
          <w:sz w:val="32"/>
        </w:rPr>
        <w:t>1.教育支出(类)314.11万元,占75.38%。</w:t>
      </w:r>
    </w:p>
    <w:p w14:paraId="7B7EA884">
      <w:pPr>
        <w:spacing w:line="580" w:lineRule="exact"/>
        <w:ind w:firstLine="640"/>
        <w:jc w:val="both"/>
      </w:pPr>
      <w:r>
        <w:rPr>
          <w:rFonts w:ascii="仿宋_GB2312" w:hAnsi="仿宋_GB2312" w:eastAsia="仿宋_GB2312"/>
          <w:b w:val="0"/>
          <w:sz w:val="32"/>
        </w:rPr>
        <w:t>2.社会保障和就业支出(类)42.04万元,占10.09%。</w:t>
      </w:r>
    </w:p>
    <w:p w14:paraId="5D412590">
      <w:pPr>
        <w:spacing w:line="580" w:lineRule="exact"/>
        <w:ind w:firstLine="640"/>
        <w:jc w:val="both"/>
      </w:pPr>
      <w:r>
        <w:rPr>
          <w:rFonts w:ascii="仿宋_GB2312" w:hAnsi="仿宋_GB2312" w:eastAsia="仿宋_GB2312"/>
          <w:b w:val="0"/>
          <w:sz w:val="32"/>
        </w:rPr>
        <w:t>3.卫生健康支出(类)17.44万元,占4.19%。</w:t>
      </w:r>
    </w:p>
    <w:p w14:paraId="0DB65003">
      <w:pPr>
        <w:spacing w:line="580" w:lineRule="exact"/>
        <w:ind w:firstLine="640"/>
        <w:jc w:val="both"/>
      </w:pPr>
      <w:r>
        <w:rPr>
          <w:rFonts w:ascii="仿宋_GB2312" w:hAnsi="仿宋_GB2312" w:eastAsia="仿宋_GB2312"/>
          <w:b w:val="0"/>
          <w:sz w:val="32"/>
        </w:rPr>
        <w:t>4.住房保障支出(类)31.40万元,占7.54%。</w:t>
      </w:r>
    </w:p>
    <w:p w14:paraId="031A7B08">
      <w:pPr>
        <w:spacing w:line="580" w:lineRule="exact"/>
        <w:ind w:firstLine="640"/>
        <w:jc w:val="both"/>
      </w:pPr>
      <w:r>
        <w:rPr>
          <w:rFonts w:ascii="仿宋_GB2312" w:hAnsi="仿宋_GB2312" w:eastAsia="仿宋_GB2312"/>
          <w:b w:val="0"/>
          <w:sz w:val="32"/>
        </w:rPr>
        <w:t>5.其他支出(类)11.70万元,占2.81%。</w:t>
      </w:r>
    </w:p>
    <w:p w14:paraId="2AE6CD65">
      <w:pPr>
        <w:spacing w:line="640" w:lineRule="exact"/>
        <w:ind w:firstLine="640"/>
        <w:jc w:val="both"/>
        <w:outlineLvl w:val="3"/>
      </w:pPr>
      <w:r>
        <w:rPr>
          <w:rFonts w:ascii="楷体_GB2312" w:hAnsi="楷体_GB2312" w:eastAsia="楷体_GB2312"/>
          <w:b/>
          <w:sz w:val="32"/>
        </w:rPr>
        <w:t>（三）一般公共预算财政拨款支出决算具体情况</w:t>
      </w:r>
    </w:p>
    <w:p w14:paraId="57B76E3A">
      <w:pPr>
        <w:spacing w:line="580" w:lineRule="exact"/>
        <w:ind w:firstLine="640"/>
        <w:jc w:val="both"/>
      </w:pPr>
      <w:r>
        <w:rPr>
          <w:rFonts w:ascii="仿宋_GB2312" w:hAnsi="仿宋_GB2312" w:eastAsia="仿宋_GB2312"/>
          <w:b w:val="0"/>
          <w:sz w:val="32"/>
        </w:rPr>
        <w:t>1.教育支出(类)职业教育(款)技校教育(项):支出决算数为314.11万元，比上年决算增加106.04万元，增长50.96%,主要原因是：本年增加调入人员，工资基数较高，相关人员经费增加；在职人员工资调增，相关人员经费增加。</w:t>
      </w:r>
    </w:p>
    <w:p w14:paraId="24CED4D9">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2.社会保障和就业支出(类)行政事业单位养老支出(款)事业单位离退休(项):支出决算数为0.01万元，比上年决算增加0.01万元，增长100.00%,主要原因是：本年增加退休人员，增加退休费。</w:t>
      </w:r>
    </w:p>
    <w:p w14:paraId="4462CD21">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42.03万元，比上年决算增加17.95万元，增长74.54%,主要原因是：本年在职人员增加，在职人员社保基数调增，养老缴费基数上涨，相应支出增加。</w:t>
      </w:r>
    </w:p>
    <w:p w14:paraId="03863284">
      <w:pPr>
        <w:spacing w:line="580" w:lineRule="exact"/>
        <w:ind w:firstLine="640"/>
        <w:jc w:val="both"/>
      </w:pPr>
      <w:r>
        <w:rPr>
          <w:rFonts w:ascii="仿宋_GB2312" w:hAnsi="仿宋_GB2312" w:eastAsia="仿宋_GB2312"/>
          <w:b w:val="0"/>
          <w:sz w:val="32"/>
        </w:rPr>
        <w:t>4.卫生健康支出(类)行政事业单位医疗(款)事业单位医疗(项):支出决算数为17.44万元，比上年决算增加6.30万元，增长56.55%,主要原因是：本年在职人员增加，在职人员医疗基数调增，医疗缴费基数上涨，相应支出增加。</w:t>
      </w:r>
    </w:p>
    <w:p w14:paraId="2DBC7490">
      <w:pPr>
        <w:spacing w:line="580" w:lineRule="exact"/>
        <w:ind w:firstLine="640"/>
        <w:jc w:val="both"/>
      </w:pPr>
      <w:r>
        <w:rPr>
          <w:rFonts w:ascii="仿宋_GB2312" w:hAnsi="仿宋_GB2312" w:eastAsia="仿宋_GB2312"/>
          <w:b w:val="0"/>
          <w:sz w:val="32"/>
        </w:rPr>
        <w:t>5.住房保障支出(类)住房改革支出(款)住房公积金(项):支出决算数为31.40万元，比上年决算增加14.16万元，增长82.13%,主要原因是：本年在职人员增加，在职人员公积金缴费基数上涨，相应支出增加。</w:t>
      </w:r>
    </w:p>
    <w:p w14:paraId="0E309D17">
      <w:pPr>
        <w:spacing w:line="580" w:lineRule="exact"/>
        <w:ind w:firstLine="640"/>
        <w:jc w:val="both"/>
      </w:pPr>
      <w:r>
        <w:rPr>
          <w:rFonts w:ascii="仿宋_GB2312" w:hAnsi="仿宋_GB2312" w:eastAsia="仿宋_GB2312"/>
          <w:b w:val="0"/>
          <w:sz w:val="32"/>
        </w:rPr>
        <w:t>6.其他支出(类)其他支出(款)其他支出(项):支出决算数为11.70万元，比上年决算增加11.70万元，增长100.00%,主要原因是：本年增加在职人员绩效奖金。</w:t>
      </w:r>
    </w:p>
    <w:p w14:paraId="585B673B">
      <w:pPr>
        <w:spacing w:line="640" w:lineRule="exact"/>
        <w:ind w:firstLine="640"/>
        <w:jc w:val="both"/>
        <w:outlineLvl w:val="2"/>
      </w:pPr>
      <w:r>
        <w:rPr>
          <w:rFonts w:ascii="黑体" w:hAnsi="黑体" w:eastAsia="黑体"/>
          <w:sz w:val="32"/>
        </w:rPr>
        <w:t>六、一般公共预算财政拨款基本支出决算情况说明</w:t>
      </w:r>
    </w:p>
    <w:p w14:paraId="1362A11C">
      <w:pPr>
        <w:spacing w:line="580" w:lineRule="exact"/>
        <w:ind w:firstLine="640"/>
        <w:jc w:val="both"/>
      </w:pPr>
      <w:r>
        <w:rPr>
          <w:rFonts w:ascii="仿宋_GB2312" w:hAnsi="仿宋_GB2312" w:eastAsia="仿宋_GB2312"/>
          <w:b w:val="0"/>
          <w:sz w:val="32"/>
        </w:rPr>
        <w:t>2024年度一般公共预算财政拨款基本支出416.69万元，其中：</w:t>
      </w:r>
      <w:r>
        <w:rPr>
          <w:rFonts w:ascii="仿宋_GB2312" w:hAnsi="仿宋_GB2312" w:eastAsia="仿宋_GB2312"/>
          <w:b/>
          <w:sz w:val="32"/>
        </w:rPr>
        <w:t>人员经费384.31万元，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包括：基本工资、津贴补贴、奖金、绩效工资、机关事业单位基本养老保险缴费、职工基本医疗保险缴费、其他社会保障缴费、住房公积金、退休费、奖励金。</w:t>
      </w:r>
    </w:p>
    <w:p w14:paraId="1DBBE444">
      <w:pPr>
        <w:spacing w:line="580" w:lineRule="exact"/>
        <w:ind w:firstLine="640"/>
        <w:jc w:val="both"/>
      </w:pPr>
      <w:r>
        <w:rPr>
          <w:rFonts w:ascii="仿宋_GB2312" w:hAnsi="仿宋_GB2312" w:eastAsia="仿宋_GB2312"/>
          <w:b/>
          <w:sz w:val="32"/>
        </w:rPr>
        <w:t>公用经费32.38万元，</w:t>
      </w:r>
      <w:r>
        <w:rPr>
          <w:rFonts w:ascii="仿宋_GB2312" w:hAnsi="仿宋_GB2312" w:eastAsia="仿宋_GB2312"/>
          <w:b w:val="0"/>
          <w:sz w:val="32"/>
        </w:rPr>
        <w:t>包括：办公费、电费、邮电费、取暖费、差旅费、培训费、工会经费。</w:t>
      </w:r>
    </w:p>
    <w:p w14:paraId="63D9D7E2">
      <w:pPr>
        <w:spacing w:line="640" w:lineRule="exact"/>
        <w:ind w:firstLine="640"/>
        <w:jc w:val="both"/>
        <w:outlineLvl w:val="2"/>
      </w:pPr>
      <w:r>
        <w:rPr>
          <w:rFonts w:ascii="黑体" w:hAnsi="黑体" w:eastAsia="黑体"/>
          <w:sz w:val="32"/>
        </w:rPr>
        <w:t>七、政府性基金预算财政拨款收入支出决算情况说明</w:t>
      </w:r>
    </w:p>
    <w:p w14:paraId="5F14EAA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81958E1">
      <w:pPr>
        <w:spacing w:line="640" w:lineRule="exact"/>
        <w:ind w:firstLine="640"/>
        <w:jc w:val="both"/>
        <w:outlineLvl w:val="2"/>
      </w:pPr>
      <w:r>
        <w:rPr>
          <w:rFonts w:ascii="黑体" w:hAnsi="黑体" w:eastAsia="黑体"/>
          <w:sz w:val="32"/>
        </w:rPr>
        <w:t>八、国有资本经营预算财政拨款收入支出决算情况说明</w:t>
      </w:r>
    </w:p>
    <w:p w14:paraId="0DE9010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1F2F843">
      <w:pPr>
        <w:spacing w:line="640" w:lineRule="exact"/>
        <w:ind w:firstLine="640"/>
        <w:jc w:val="both"/>
        <w:outlineLvl w:val="2"/>
      </w:pPr>
      <w:r>
        <w:rPr>
          <w:rFonts w:ascii="黑体" w:hAnsi="黑体" w:eastAsia="黑体"/>
          <w:sz w:val="32"/>
        </w:rPr>
        <w:t>九、财政拨款“三公”经费支出决算情况说明</w:t>
      </w:r>
    </w:p>
    <w:p w14:paraId="17B92CA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DF47C95">
      <w:pPr>
        <w:spacing w:line="580" w:lineRule="exact"/>
        <w:ind w:firstLine="640"/>
        <w:jc w:val="both"/>
      </w:pPr>
      <w:r>
        <w:rPr>
          <w:rFonts w:ascii="仿宋_GB2312" w:hAnsi="仿宋_GB2312" w:eastAsia="仿宋_GB2312"/>
          <w:b/>
          <w:sz w:val="32"/>
        </w:rPr>
        <w:t>具体情况如下：</w:t>
      </w:r>
    </w:p>
    <w:p w14:paraId="235A5D1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CC790A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w:t>
      </w:r>
      <w:r>
        <w:rPr>
          <w:rFonts w:ascii="仿宋_GB2312" w:hAnsi="仿宋_GB2312" w:eastAsia="仿宋_GB2312"/>
          <w:b w:val="0"/>
          <w:spacing w:val="-6"/>
          <w:sz w:val="32"/>
        </w:rPr>
        <w:t>护费开支内容包括本单位无公务用车运行维护费。公务用车购置数0辆，公务用车保有量0辆。国有资产占用情况中固定资产车辆0辆，与公务用车保有量差异原因是：本单位无固定资产车辆。</w:t>
      </w:r>
    </w:p>
    <w:p w14:paraId="4607726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B22CE5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7EFD442">
      <w:pPr>
        <w:spacing w:line="640" w:lineRule="exact"/>
        <w:ind w:firstLine="640"/>
        <w:jc w:val="both"/>
        <w:outlineLvl w:val="2"/>
      </w:pPr>
      <w:r>
        <w:rPr>
          <w:rFonts w:ascii="黑体" w:hAnsi="黑体" w:eastAsia="黑体"/>
          <w:sz w:val="32"/>
        </w:rPr>
        <w:t>十、其他重要事项的情况说明</w:t>
      </w:r>
    </w:p>
    <w:p w14:paraId="3DFF233E">
      <w:pPr>
        <w:spacing w:line="640" w:lineRule="exact"/>
        <w:ind w:firstLine="640"/>
        <w:jc w:val="both"/>
        <w:outlineLvl w:val="3"/>
      </w:pPr>
      <w:r>
        <w:rPr>
          <w:rFonts w:ascii="楷体_GB2312" w:hAnsi="楷体_GB2312" w:eastAsia="楷体_GB2312"/>
          <w:b/>
          <w:sz w:val="32"/>
        </w:rPr>
        <w:t>（一）机关运行经费及公用经费支出情况</w:t>
      </w:r>
    </w:p>
    <w:p w14:paraId="1A2663EF">
      <w:pPr>
        <w:spacing w:line="580" w:lineRule="exact"/>
        <w:ind w:firstLine="640"/>
        <w:jc w:val="both"/>
      </w:pPr>
      <w:r>
        <w:rPr>
          <w:rFonts w:ascii="仿宋_GB2312" w:hAnsi="仿宋_GB2312" w:eastAsia="仿宋_GB2312"/>
          <w:b w:val="0"/>
          <w:sz w:val="32"/>
        </w:rPr>
        <w:t>2024年度托里县技工学校（事业单位）公用经费支出32.38万元，比上年增加12.27万元，增长61.01%，主要原因是：本年在职人员增加，办公费用</w:t>
      </w:r>
      <w:r>
        <w:rPr>
          <w:rFonts w:hint="eastAsia" w:ascii="仿宋_GB2312" w:hAnsi="仿宋_GB2312" w:eastAsia="仿宋_GB2312"/>
          <w:b w:val="0"/>
          <w:sz w:val="32"/>
          <w:lang w:eastAsia="zh-CN"/>
        </w:rPr>
        <w:t>、</w:t>
      </w:r>
      <w:r>
        <w:rPr>
          <w:rFonts w:ascii="仿宋_GB2312" w:hAnsi="仿宋_GB2312" w:eastAsia="仿宋_GB2312"/>
          <w:b w:val="0"/>
          <w:sz w:val="32"/>
        </w:rPr>
        <w:t>差旅费、工会经费等增加。</w:t>
      </w:r>
    </w:p>
    <w:p w14:paraId="28D5B42A">
      <w:pPr>
        <w:spacing w:line="640" w:lineRule="exact"/>
        <w:ind w:firstLine="640"/>
        <w:jc w:val="both"/>
        <w:outlineLvl w:val="3"/>
      </w:pPr>
      <w:r>
        <w:rPr>
          <w:rFonts w:ascii="楷体_GB2312" w:hAnsi="楷体_GB2312" w:eastAsia="楷体_GB2312"/>
          <w:b/>
          <w:sz w:val="32"/>
        </w:rPr>
        <w:t>（二）政府采购情况</w:t>
      </w:r>
    </w:p>
    <w:p w14:paraId="0E06A3D8">
      <w:pPr>
        <w:spacing w:line="580" w:lineRule="exact"/>
        <w:ind w:firstLine="640"/>
        <w:jc w:val="both"/>
      </w:pPr>
      <w:r>
        <w:rPr>
          <w:rFonts w:ascii="仿宋_GB2312" w:hAnsi="仿宋_GB2312" w:eastAsia="仿宋_GB2312"/>
          <w:b w:val="0"/>
          <w:sz w:val="32"/>
        </w:rPr>
        <w:t>2024年度政府采购支出总额36.12万元，其中：政府采购货物支出15.32万元、政府采购工程支出7.01万元、政府采购服务支出13.79万元。</w:t>
      </w:r>
    </w:p>
    <w:p w14:paraId="6A96CCFC">
      <w:pPr>
        <w:spacing w:line="580" w:lineRule="exact"/>
        <w:ind w:firstLine="640"/>
        <w:jc w:val="both"/>
      </w:pPr>
      <w:r>
        <w:rPr>
          <w:rFonts w:ascii="仿宋_GB2312" w:hAnsi="仿宋_GB2312" w:eastAsia="仿宋_GB2312"/>
          <w:b w:val="0"/>
          <w:sz w:val="32"/>
        </w:rPr>
        <w:t>授予中小企业合同金额36.12万元，占政府采购支出总额的100.00%，其中：授予小微企业合同金额36.12万元，占政府采购支出总额的100.00%。</w:t>
      </w:r>
    </w:p>
    <w:p w14:paraId="3901E730">
      <w:pPr>
        <w:spacing w:line="640" w:lineRule="exact"/>
        <w:ind w:firstLine="640"/>
        <w:jc w:val="both"/>
        <w:outlineLvl w:val="3"/>
      </w:pPr>
      <w:r>
        <w:rPr>
          <w:rFonts w:ascii="楷体_GB2312" w:hAnsi="楷体_GB2312" w:eastAsia="楷体_GB2312"/>
          <w:b/>
          <w:sz w:val="32"/>
        </w:rPr>
        <w:t>（三）国有资产占用情况说明</w:t>
      </w:r>
    </w:p>
    <w:p w14:paraId="6C6C8489">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4D3B5EF">
      <w:pPr>
        <w:spacing w:line="640" w:lineRule="exact"/>
        <w:ind w:firstLine="640"/>
        <w:jc w:val="both"/>
        <w:outlineLvl w:val="2"/>
      </w:pPr>
      <w:r>
        <w:rPr>
          <w:rFonts w:ascii="黑体" w:hAnsi="黑体" w:eastAsia="黑体"/>
          <w:sz w:val="32"/>
        </w:rPr>
        <w:t>十一、预算绩效的情况说明</w:t>
      </w:r>
    </w:p>
    <w:p w14:paraId="64219CC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484.92万元，实际执行总额484.92万元；预算绩效评价项目2个，全年预算数68.29万元，全年执行数68.24万元。预算绩效管理取得的成效：一是2024年度托里县技工学校全年履职尽责，贴合农牧民实际，优化工种设置，为了更好</w:t>
      </w:r>
      <w:r>
        <w:rPr>
          <w:rFonts w:hint="eastAsia" w:ascii="仿宋_GB2312" w:hAnsi="仿宋_GB2312" w:eastAsia="仿宋_GB2312"/>
          <w:b w:val="0"/>
          <w:sz w:val="32"/>
          <w:lang w:eastAsia="zh-CN"/>
        </w:rPr>
        <w:t>地</w:t>
      </w:r>
      <w:r>
        <w:rPr>
          <w:rFonts w:ascii="仿宋_GB2312" w:hAnsi="仿宋_GB2312" w:eastAsia="仿宋_GB2312"/>
          <w:b w:val="0"/>
          <w:sz w:val="32"/>
        </w:rPr>
        <w:t>服务各族农牧民群众。强化就业推荐，做实就业服务，学校紧紧围绕“培训一人，就业一人；就业一人，培训一人”的工作目标，送“培”下乡，进行“订单式”培训。二是规范培训工作流程，完善档案管理</w:t>
      </w:r>
      <w:r>
        <w:rPr>
          <w:rFonts w:hint="eastAsia" w:ascii="仿宋_GB2312" w:hAnsi="仿宋_GB2312" w:eastAsia="仿宋_GB2312"/>
          <w:b w:val="0"/>
          <w:sz w:val="32"/>
          <w:lang w:eastAsia="zh-CN"/>
        </w:rPr>
        <w:t>，对</w:t>
      </w:r>
      <w:r>
        <w:rPr>
          <w:rFonts w:ascii="仿宋_GB2312" w:hAnsi="仿宋_GB2312" w:eastAsia="仿宋_GB2312"/>
          <w:b w:val="0"/>
          <w:sz w:val="32"/>
        </w:rPr>
        <w:t>技能培训进行全过程监督指导，档案收集与整理分工更加明确，资金申请与档案的整理归档也实行专人专责。学校坚持“以学员为中心、以就业为导向、以技能为核心、以育人为根本”的办学理念，立足于县域，面向农村劳动力开展集中式、专业化、系统化培训</w:t>
      </w:r>
      <w:r>
        <w:rPr>
          <w:rFonts w:hint="eastAsia" w:ascii="仿宋_GB2312" w:hAnsi="仿宋_GB2312" w:eastAsia="仿宋_GB2312"/>
          <w:b w:val="0"/>
          <w:sz w:val="32"/>
          <w:lang w:eastAsia="zh-CN"/>
        </w:rPr>
        <w:t>，针</w:t>
      </w:r>
      <w:r>
        <w:rPr>
          <w:rFonts w:ascii="仿宋_GB2312" w:hAnsi="仿宋_GB2312" w:eastAsia="仿宋_GB2312"/>
          <w:b w:val="0"/>
          <w:sz w:val="32"/>
        </w:rPr>
        <w:t>对技能偏低、就业困难、有就业培训需求的城乡劳动力，结合个人培训意愿、就业意向和市场用工需求，将培训设备、师资下沉到乡村，送技能到户，针对农牧民群众需求开展“点餐式”“订单式”等培训模式，全面推行培训实名制管理，切实提高培训质量。发现的问题及原因：一是预算绩效管理工作时间紧、任务重、专业性强，</w:t>
      </w:r>
      <w:r>
        <w:rPr>
          <w:rFonts w:hint="eastAsia" w:ascii="仿宋_GB2312" w:hAnsi="仿宋_GB2312" w:eastAsia="仿宋_GB2312"/>
          <w:b w:val="0"/>
          <w:sz w:val="32"/>
          <w:lang w:eastAsia="zh-CN"/>
        </w:rPr>
        <w:t>本单位</w:t>
      </w:r>
      <w:r>
        <w:rPr>
          <w:rFonts w:ascii="仿宋_GB2312" w:hAnsi="仿宋_GB2312" w:eastAsia="仿宋_GB2312"/>
          <w:b w:val="0"/>
          <w:sz w:val="32"/>
        </w:rPr>
        <w:t>的预算绩效存在一些不足之处需要完善。二是经费预算编制精准度有待提高。由于预算执行中的不确定性，实际经费核算的科目、支出内容与预算会出现一定偏差。三是财务人员业务素质有待进一步提高。由于缺乏系统学习，财务人员对预算绩效管理认识不到位、理解不充分，对预算绩效管理业务不了解、不熟悉，对工作重点把握不到位，由此造成绩效评价工作还未摆脱财务考评或验收的影响。下一步改进措施：一是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二是提高资金的使用效益。本单位将以工作实际需求为依据，预算编制与工作实际相结合，按照规定的开支范围与开支标准，科学合理预测各项内容并按经济用途逐级细化分类，提高预算编制的科学性和准确性，优化支出结构，减少支出的随意性和盲目性，最大限度地将有限资源配置到效益最佳的部门并发挥最大效益。具体附整体支出绩效自评表，项目支出绩效自评表和评价报告。</w:t>
      </w:r>
    </w:p>
    <w:p w14:paraId="4E8FC6FD">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C0B1F9D">
        <w:tblPrEx>
          <w:tblCellMar>
            <w:top w:w="0" w:type="dxa"/>
            <w:left w:w="108" w:type="dxa"/>
            <w:bottom w:w="0" w:type="dxa"/>
            <w:right w:w="108" w:type="dxa"/>
          </w:tblCellMar>
        </w:tblPrEx>
        <w:tc>
          <w:tcPr>
            <w:tcW w:w="8840" w:type="dxa"/>
            <w:gridSpan w:val="8"/>
            <w:vAlign w:val="center"/>
          </w:tcPr>
          <w:p w14:paraId="1B88BEF0">
            <w:pPr>
              <w:jc w:val="center"/>
            </w:pPr>
            <w:r>
              <w:rPr>
                <w:rFonts w:ascii="宋体" w:hAnsi="宋体" w:eastAsia="宋体"/>
                <w:sz w:val="24"/>
              </w:rPr>
              <w:t>单位整体支出绩效自评表</w:t>
            </w:r>
          </w:p>
        </w:tc>
      </w:tr>
      <w:tr w14:paraId="7FA71FD9">
        <w:tblPrEx>
          <w:tblCellMar>
            <w:top w:w="0" w:type="dxa"/>
            <w:left w:w="108" w:type="dxa"/>
            <w:bottom w:w="0" w:type="dxa"/>
            <w:right w:w="108" w:type="dxa"/>
          </w:tblCellMar>
        </w:tblPrEx>
        <w:tc>
          <w:tcPr>
            <w:tcW w:w="8840" w:type="dxa"/>
            <w:gridSpan w:val="8"/>
            <w:vAlign w:val="center"/>
          </w:tcPr>
          <w:p w14:paraId="65778789">
            <w:pPr>
              <w:jc w:val="center"/>
            </w:pPr>
            <w:r>
              <w:rPr>
                <w:rFonts w:ascii="宋体" w:hAnsi="宋体" w:eastAsia="宋体"/>
                <w:sz w:val="24"/>
              </w:rPr>
              <w:t>（2024年度）</w:t>
            </w:r>
          </w:p>
        </w:tc>
      </w:tr>
      <w:tr w14:paraId="7231747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0B11B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578ACB">
            <w:pPr>
              <w:jc w:val="center"/>
            </w:pPr>
            <w:r>
              <w:rPr>
                <w:rFonts w:ascii="宋体" w:hAnsi="宋体" w:eastAsia="宋体"/>
                <w:sz w:val="16"/>
              </w:rPr>
              <w:t>托里县技工学校</w:t>
            </w:r>
          </w:p>
        </w:tc>
      </w:tr>
      <w:tr w14:paraId="64F7B3C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631A5C">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48DC8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7468E4">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EAA635">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934AFB">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5062F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02CD0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4E628A">
            <w:pPr>
              <w:jc w:val="center"/>
            </w:pPr>
            <w:r>
              <w:rPr>
                <w:rFonts w:ascii="宋体" w:hAnsi="宋体" w:eastAsia="宋体"/>
                <w:sz w:val="16"/>
              </w:rPr>
              <w:t>得分</w:t>
            </w:r>
          </w:p>
        </w:tc>
      </w:tr>
      <w:tr w14:paraId="400E38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C3C1D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84D86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8C4DA3">
            <w:pPr>
              <w:jc w:val="center"/>
            </w:pPr>
            <w:r>
              <w:rPr>
                <w:rFonts w:ascii="宋体" w:hAnsi="宋体" w:eastAsia="宋体"/>
                <w:sz w:val="16"/>
              </w:rPr>
              <w:t>425.76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0530ED">
            <w:pPr>
              <w:jc w:val="center"/>
            </w:pPr>
            <w:r>
              <w:rPr>
                <w:rFonts w:ascii="宋体" w:hAnsi="宋体" w:eastAsia="宋体"/>
                <w:sz w:val="16"/>
              </w:rPr>
              <w:t>484.92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8903B0">
            <w:pPr>
              <w:jc w:val="center"/>
            </w:pPr>
            <w:r>
              <w:rPr>
                <w:rFonts w:ascii="宋体" w:hAnsi="宋体" w:eastAsia="宋体"/>
                <w:sz w:val="16"/>
              </w:rPr>
              <w:t>484.92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7384B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2A9FEA">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BC7410">
            <w:pPr>
              <w:jc w:val="center"/>
              <w:rPr>
                <w:rFonts w:hint="default" w:eastAsia="宋体"/>
                <w:lang w:val="en-US" w:eastAsia="zh-CN"/>
              </w:rPr>
            </w:pPr>
            <w:r>
              <w:rPr>
                <w:rFonts w:hint="eastAsia" w:ascii="宋体" w:hAnsi="宋体"/>
                <w:sz w:val="16"/>
                <w:lang w:val="en-US" w:eastAsia="zh-CN"/>
              </w:rPr>
              <w:t>10</w:t>
            </w:r>
          </w:p>
        </w:tc>
      </w:tr>
      <w:tr w14:paraId="1745649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B0371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4F1E5">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97387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BE0DB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5B412F">
            <w:pPr>
              <w:jc w:val="center"/>
            </w:pPr>
            <w:r>
              <w:rPr>
                <w:rFonts w:ascii="宋体" w:hAnsi="宋体" w:eastAsia="宋体"/>
                <w:sz w:val="16"/>
              </w:rPr>
              <w:t>0.00</w:t>
            </w:r>
            <w:bookmarkStart w:id="0" w:name="_GoBack"/>
            <w:bookmarkEnd w:id="0"/>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859EE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83D84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6B103B">
            <w:pPr>
              <w:jc w:val="center"/>
            </w:pPr>
            <w:r>
              <w:rPr>
                <w:rFonts w:ascii="宋体" w:hAnsi="宋体" w:eastAsia="宋体"/>
                <w:sz w:val="16"/>
              </w:rPr>
              <w:t>-</w:t>
            </w:r>
          </w:p>
        </w:tc>
      </w:tr>
      <w:tr w14:paraId="25FE2EC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1E229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4AFEBA">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F5AB8D">
            <w:pPr>
              <w:jc w:val="center"/>
            </w:pPr>
            <w:r>
              <w:rPr>
                <w:rFonts w:ascii="宋体" w:hAnsi="宋体" w:eastAsia="宋体"/>
                <w:sz w:val="16"/>
              </w:rPr>
              <w:t>364.76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312197">
            <w:pPr>
              <w:jc w:val="center"/>
            </w:pPr>
            <w:r>
              <w:rPr>
                <w:rFonts w:ascii="宋体" w:hAnsi="宋体" w:eastAsia="宋体"/>
                <w:sz w:val="16"/>
              </w:rPr>
              <w:t>416.68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8D5201">
            <w:pPr>
              <w:jc w:val="center"/>
            </w:pPr>
            <w:r>
              <w:rPr>
                <w:rFonts w:ascii="宋体" w:hAnsi="宋体" w:eastAsia="宋体"/>
                <w:sz w:val="16"/>
              </w:rPr>
              <w:t>416.68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59948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78F80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15B64A">
            <w:pPr>
              <w:jc w:val="center"/>
            </w:pPr>
            <w:r>
              <w:rPr>
                <w:rFonts w:ascii="宋体" w:hAnsi="宋体" w:eastAsia="宋体"/>
                <w:sz w:val="16"/>
              </w:rPr>
              <w:t>-</w:t>
            </w:r>
          </w:p>
        </w:tc>
      </w:tr>
      <w:tr w14:paraId="00317C9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18E81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28A370">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8CB624">
            <w:pPr>
              <w:jc w:val="center"/>
            </w:pPr>
            <w:r>
              <w:rPr>
                <w:rFonts w:ascii="宋体" w:hAnsi="宋体" w:eastAsia="宋体"/>
                <w:sz w:val="16"/>
              </w:rPr>
              <w:t>61.00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481B3F">
            <w:pPr>
              <w:jc w:val="center"/>
            </w:pPr>
            <w:r>
              <w:rPr>
                <w:rFonts w:ascii="宋体" w:hAnsi="宋体" w:eastAsia="宋体"/>
                <w:sz w:val="16"/>
              </w:rPr>
              <w:t>68.24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5C4770">
            <w:pPr>
              <w:jc w:val="center"/>
            </w:pPr>
            <w:r>
              <w:rPr>
                <w:rFonts w:ascii="宋体" w:hAnsi="宋体" w:eastAsia="宋体"/>
                <w:sz w:val="16"/>
              </w:rPr>
              <w:t>68.24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E9DA2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FEBB5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90B58D">
            <w:pPr>
              <w:jc w:val="center"/>
            </w:pPr>
            <w:r>
              <w:rPr>
                <w:rFonts w:ascii="宋体" w:hAnsi="宋体" w:eastAsia="宋体"/>
                <w:sz w:val="16"/>
              </w:rPr>
              <w:t>-</w:t>
            </w:r>
          </w:p>
        </w:tc>
      </w:tr>
      <w:tr w14:paraId="487B40A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AD8E8">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04F31BD">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32E184D">
            <w:pPr>
              <w:jc w:val="center"/>
            </w:pPr>
            <w:r>
              <w:rPr>
                <w:rFonts w:ascii="宋体" w:hAnsi="宋体" w:eastAsia="宋体"/>
                <w:sz w:val="16"/>
              </w:rPr>
              <w:t>实际完成情况</w:t>
            </w:r>
          </w:p>
        </w:tc>
      </w:tr>
      <w:tr w14:paraId="7E8581F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E3085A"/>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73A6400">
            <w:pPr>
              <w:jc w:val="both"/>
            </w:pPr>
            <w:r>
              <w:rPr>
                <w:rFonts w:ascii="宋体" w:hAnsi="宋体" w:eastAsia="宋体"/>
                <w:sz w:val="16"/>
              </w:rPr>
              <w:br w:type="textWrapping"/>
            </w:r>
            <w:r>
              <w:rPr>
                <w:rFonts w:ascii="宋体" w:hAnsi="宋体" w:eastAsia="宋体"/>
                <w:sz w:val="16"/>
              </w:rPr>
              <w:t>1、保障单位13人的工资、社保及公积金等的正常发放，促进托里县技工事业的发展；2、保障6个职能科室的正常运转，提高托里县技工学校，技术运转效能。3、用于保障单位5471.24平方米办公室，新教室及哈图镇技能培训中心5983.64㎡的冬季供暖和正常运转。4、加强内部管理，积极组织职工进行理论知识和业务知识学习，保障办公室工作正常开展。5、按照国家部署，组织开展就业教育培训、技术高素质教育、农业教育与技能培训，组织开展农村人才技术培训、实用人才培训、高素质农民培训。6、按上级要求组织技术系统干部进行教育远程培训。7、加强督促检查，疏通关键</w:t>
            </w:r>
            <w:r>
              <w:rPr>
                <w:rFonts w:hint="eastAsia" w:ascii="宋体" w:hAnsi="宋体"/>
                <w:sz w:val="16"/>
                <w:lang w:eastAsia="zh-CN"/>
              </w:rPr>
              <w:t>节点</w:t>
            </w:r>
            <w:r>
              <w:rPr>
                <w:rFonts w:ascii="宋体" w:hAnsi="宋体" w:eastAsia="宋体"/>
                <w:sz w:val="16"/>
              </w:rPr>
              <w:t xml:space="preserve">，全力推进重点工作任务落实。8、通过上级领导下，做好安全生产工作，定期进行安全隐患排查，确保各项工作能够顺利正常进行。 </w:t>
            </w:r>
            <w:r>
              <w:rPr>
                <w:rFonts w:ascii="宋体" w:hAnsi="宋体" w:eastAsia="宋体"/>
                <w:sz w:val="16"/>
              </w:rPr>
              <w:br w:type="textWrapping"/>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2BFCD19">
            <w:pPr>
              <w:jc w:val="both"/>
            </w:pPr>
            <w:r>
              <w:rPr>
                <w:rFonts w:ascii="宋体" w:hAnsi="宋体" w:eastAsia="宋体"/>
                <w:sz w:val="16"/>
              </w:rPr>
              <w:br w:type="textWrapping"/>
            </w:r>
            <w:r>
              <w:rPr>
                <w:rFonts w:ascii="宋体" w:hAnsi="宋体" w:eastAsia="宋体"/>
                <w:sz w:val="16"/>
              </w:rPr>
              <w:t>2023年度托里县技工学校全年履职尽责，贴合农牧民实际，优化工种设置，为了更好</w:t>
            </w:r>
            <w:r>
              <w:rPr>
                <w:rFonts w:hint="eastAsia" w:ascii="宋体" w:hAnsi="宋体"/>
                <w:sz w:val="16"/>
                <w:lang w:eastAsia="zh-CN"/>
              </w:rPr>
              <w:t>地</w:t>
            </w:r>
            <w:r>
              <w:rPr>
                <w:rFonts w:ascii="宋体" w:hAnsi="宋体" w:eastAsia="宋体"/>
                <w:sz w:val="16"/>
              </w:rPr>
              <w:t>服务各族农牧民群众。强化就业推荐，做实就业服务，学校紧紧围绕“培训一人，就业一人；就业一人，培训一人”的工作目标，送“培”下乡，进行“订单式”培训。规范培训工作流程，完善档案管理</w:t>
            </w:r>
            <w:r>
              <w:rPr>
                <w:rFonts w:hint="eastAsia" w:ascii="宋体" w:hAnsi="宋体"/>
                <w:sz w:val="16"/>
                <w:lang w:eastAsia="zh-CN"/>
              </w:rPr>
              <w:t>，对</w:t>
            </w:r>
            <w:r>
              <w:rPr>
                <w:rFonts w:ascii="宋体" w:hAnsi="宋体" w:eastAsia="宋体"/>
                <w:sz w:val="16"/>
              </w:rPr>
              <w:t>技能培训进行全过程监督指导，档案收集与整理分工更加明确，资金申请与档案的整理归档也实行专人专责。 学校坚持“以学员为中心、以就业为导向、以技能为核心、以育人为根本”的办学理念，立足于县域，面向农村劳动力开展集中式、专业化、系统化培训</w:t>
            </w:r>
            <w:r>
              <w:rPr>
                <w:rFonts w:hint="eastAsia" w:ascii="宋体" w:hAnsi="宋体"/>
                <w:sz w:val="16"/>
                <w:lang w:eastAsia="zh-CN"/>
              </w:rPr>
              <w:t>，针</w:t>
            </w:r>
            <w:r>
              <w:rPr>
                <w:rFonts w:ascii="宋体" w:hAnsi="宋体" w:eastAsia="宋体"/>
                <w:sz w:val="16"/>
              </w:rPr>
              <w:t>对技能偏低、就业困难、有就业培训需求的城乡劳动力，结合个人培训意愿、就业意向和市场用工需求，将培训设备、师资下沉到乡村，送技能到户，针对农牧民群众需求开展“点餐式”“订单式”等培训模式，全面推行培训实名制管理，切实提高培训质量。</w:t>
            </w:r>
          </w:p>
        </w:tc>
      </w:tr>
      <w:tr w14:paraId="2D130F9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D13DAC">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2995F1">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F248B9">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95393B">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1EFA54">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2735A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59619B">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96D691">
            <w:pPr>
              <w:jc w:val="center"/>
            </w:pPr>
            <w:r>
              <w:rPr>
                <w:rFonts w:ascii="宋体" w:hAnsi="宋体" w:eastAsia="宋体"/>
                <w:sz w:val="16"/>
              </w:rPr>
              <w:t>得分</w:t>
            </w:r>
          </w:p>
        </w:tc>
      </w:tr>
      <w:tr w14:paraId="3E0351A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1C9838">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8C1A6D">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A80BD6">
            <w:pPr>
              <w:jc w:val="center"/>
            </w:pPr>
            <w:r>
              <w:rPr>
                <w:rFonts w:ascii="宋体" w:hAnsi="宋体" w:eastAsia="宋体"/>
                <w:sz w:val="16"/>
              </w:rPr>
              <w:t>开展职业技能培训期数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821C03">
            <w:pPr>
              <w:jc w:val="center"/>
            </w:pPr>
            <w:r>
              <w:rPr>
                <w:rFonts w:ascii="宋体" w:hAnsi="宋体" w:eastAsia="宋体"/>
                <w:sz w:val="16"/>
              </w:rPr>
              <w:t>&gt;=60期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3F4564">
            <w:pPr>
              <w:jc w:val="center"/>
            </w:pPr>
            <w:r>
              <w:rPr>
                <w:rFonts w:ascii="宋体" w:hAnsi="宋体" w:eastAsia="宋体"/>
                <w:sz w:val="16"/>
              </w:rPr>
              <w:t>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E12BBB">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E7BBCF">
            <w:pPr>
              <w:jc w:val="center"/>
            </w:pPr>
            <w:r>
              <w:rPr>
                <w:rFonts w:ascii="宋体" w:hAnsi="宋体" w:eastAsia="宋体"/>
                <w:sz w:val="16"/>
              </w:rPr>
              <w:t>38期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A7E021">
            <w:pPr>
              <w:jc w:val="center"/>
            </w:pPr>
            <w:r>
              <w:rPr>
                <w:rFonts w:ascii="宋体" w:hAnsi="宋体" w:eastAsia="宋体"/>
                <w:sz w:val="16"/>
              </w:rPr>
              <w:t>12.67</w:t>
            </w:r>
          </w:p>
        </w:tc>
      </w:tr>
      <w:tr w14:paraId="320E720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BD484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71BCA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89AABA">
            <w:pPr>
              <w:jc w:val="center"/>
            </w:pPr>
            <w:r>
              <w:rPr>
                <w:rFonts w:ascii="宋体" w:hAnsi="宋体" w:eastAsia="宋体"/>
                <w:sz w:val="16"/>
              </w:rPr>
              <w:t>完成农村劳动者、城镇登记失业人员技能培训人数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230788">
            <w:pPr>
              <w:jc w:val="center"/>
            </w:pPr>
            <w:r>
              <w:rPr>
                <w:rFonts w:ascii="宋体" w:hAnsi="宋体" w:eastAsia="宋体"/>
                <w:sz w:val="16"/>
              </w:rPr>
              <w:t>&gt;=3898人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85E6E4">
            <w:pPr>
              <w:jc w:val="center"/>
            </w:pPr>
            <w:r>
              <w:rPr>
                <w:rFonts w:ascii="宋体" w:hAnsi="宋体" w:eastAsia="宋体"/>
                <w:sz w:val="16"/>
              </w:rPr>
              <w:t>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672102">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A14E89">
            <w:pPr>
              <w:jc w:val="center"/>
            </w:pPr>
            <w:r>
              <w:rPr>
                <w:rFonts w:ascii="宋体" w:hAnsi="宋体" w:eastAsia="宋体"/>
                <w:sz w:val="16"/>
              </w:rPr>
              <w:t>1462人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14A36E">
            <w:pPr>
              <w:jc w:val="center"/>
            </w:pPr>
            <w:r>
              <w:rPr>
                <w:rFonts w:ascii="宋体" w:hAnsi="宋体" w:eastAsia="宋体"/>
                <w:sz w:val="16"/>
              </w:rPr>
              <w:t>7.5</w:t>
            </w:r>
          </w:p>
        </w:tc>
      </w:tr>
      <w:tr w14:paraId="74376F0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02A7C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50326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D22F1">
            <w:pPr>
              <w:jc w:val="center"/>
            </w:pPr>
            <w:r>
              <w:rPr>
                <w:rFonts w:ascii="宋体" w:hAnsi="宋体" w:eastAsia="宋体"/>
                <w:sz w:val="16"/>
              </w:rPr>
              <w:t>完成稳岗留工基本素质培训人数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A9B644">
            <w:pPr>
              <w:jc w:val="center"/>
            </w:pPr>
            <w:r>
              <w:rPr>
                <w:rFonts w:ascii="宋体" w:hAnsi="宋体" w:eastAsia="宋体"/>
                <w:sz w:val="16"/>
              </w:rPr>
              <w:t>&gt;=102人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DDA400">
            <w:pPr>
              <w:jc w:val="center"/>
            </w:pPr>
            <w:r>
              <w:rPr>
                <w:rFonts w:ascii="宋体" w:hAnsi="宋体" w:eastAsia="宋体"/>
                <w:sz w:val="16"/>
              </w:rPr>
              <w:t>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11FB5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77D554">
            <w:pPr>
              <w:jc w:val="center"/>
            </w:pPr>
            <w:r>
              <w:rPr>
                <w:rFonts w:ascii="宋体" w:hAnsi="宋体" w:eastAsia="宋体"/>
                <w:sz w:val="16"/>
              </w:rPr>
              <w:t>102人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90EBC">
            <w:pPr>
              <w:jc w:val="center"/>
            </w:pPr>
            <w:r>
              <w:rPr>
                <w:rFonts w:ascii="宋体" w:hAnsi="宋体" w:eastAsia="宋体"/>
                <w:sz w:val="16"/>
              </w:rPr>
              <w:t>15</w:t>
            </w:r>
          </w:p>
        </w:tc>
      </w:tr>
      <w:tr w14:paraId="1B374F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071A8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EEB25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AF1BFE">
            <w:pPr>
              <w:jc w:val="center"/>
            </w:pPr>
            <w:r>
              <w:rPr>
                <w:rFonts w:ascii="宋体" w:hAnsi="宋体" w:eastAsia="宋体"/>
                <w:sz w:val="16"/>
              </w:rPr>
              <w:t>在职职工理论知识和业务知识学习次数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DA06CF">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95E05D">
            <w:pPr>
              <w:jc w:val="center"/>
            </w:pPr>
            <w:r>
              <w:rPr>
                <w:rFonts w:ascii="宋体" w:hAnsi="宋体" w:eastAsia="宋体"/>
                <w:sz w:val="16"/>
              </w:rPr>
              <w:t>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EA97F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C0F478">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1E10D0">
            <w:pPr>
              <w:jc w:val="center"/>
            </w:pPr>
            <w:r>
              <w:rPr>
                <w:rFonts w:ascii="宋体" w:hAnsi="宋体" w:eastAsia="宋体"/>
                <w:sz w:val="16"/>
              </w:rPr>
              <w:t>15</w:t>
            </w:r>
          </w:p>
        </w:tc>
      </w:tr>
      <w:tr w14:paraId="0E7FFD2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6C0DB5">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689884">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131DB4">
            <w:pPr>
              <w:jc w:val="center"/>
            </w:pPr>
            <w:r>
              <w:rPr>
                <w:rFonts w:ascii="宋体" w:hAnsi="宋体" w:eastAsia="宋体"/>
                <w:sz w:val="16"/>
              </w:rPr>
              <w:t>农牧民就业人数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73682">
            <w:pPr>
              <w:jc w:val="center"/>
            </w:pPr>
            <w:r>
              <w:rPr>
                <w:rFonts w:ascii="宋体" w:hAnsi="宋体" w:eastAsia="宋体"/>
                <w:sz w:val="16"/>
              </w:rPr>
              <w:t>&gt;=2100人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3F5BBE">
            <w:pPr>
              <w:jc w:val="center"/>
            </w:pPr>
            <w:r>
              <w:rPr>
                <w:rFonts w:ascii="宋体" w:hAnsi="宋体" w:eastAsia="宋体"/>
                <w:sz w:val="16"/>
              </w:rPr>
              <w:t>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29066E">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5F160A">
            <w:pPr>
              <w:jc w:val="center"/>
            </w:pPr>
            <w:r>
              <w:rPr>
                <w:rFonts w:ascii="宋体" w:hAnsi="宋体" w:eastAsia="宋体"/>
                <w:sz w:val="16"/>
              </w:rPr>
              <w:t>1417人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35CCE2">
            <w:pPr>
              <w:jc w:val="center"/>
            </w:pPr>
            <w:r>
              <w:rPr>
                <w:rFonts w:ascii="宋体" w:hAnsi="宋体" w:eastAsia="宋体"/>
                <w:sz w:val="16"/>
              </w:rPr>
              <w:t>13.5</w:t>
            </w:r>
          </w:p>
        </w:tc>
      </w:tr>
    </w:tbl>
    <w:p w14:paraId="3F24F6C0">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4"/>
        <w:gridCol w:w="614"/>
        <w:gridCol w:w="631"/>
        <w:gridCol w:w="614"/>
        <w:gridCol w:w="614"/>
        <w:gridCol w:w="620"/>
        <w:gridCol w:w="614"/>
        <w:gridCol w:w="620"/>
        <w:gridCol w:w="696"/>
        <w:gridCol w:w="776"/>
        <w:gridCol w:w="631"/>
        <w:gridCol w:w="777"/>
      </w:tblGrid>
      <w:tr w14:paraId="57875401">
        <w:tblPrEx>
          <w:tblCellMar>
            <w:top w:w="0" w:type="dxa"/>
            <w:left w:w="108" w:type="dxa"/>
            <w:bottom w:w="0" w:type="dxa"/>
            <w:right w:w="108" w:type="dxa"/>
          </w:tblCellMar>
        </w:tblPrEx>
        <w:tc>
          <w:tcPr>
            <w:tcW w:w="8848" w:type="dxa"/>
            <w:gridSpan w:val="14"/>
            <w:vAlign w:val="center"/>
          </w:tcPr>
          <w:p w14:paraId="2AFFEC16">
            <w:pPr>
              <w:jc w:val="center"/>
            </w:pPr>
            <w:r>
              <w:rPr>
                <w:rFonts w:ascii="宋体" w:hAnsi="宋体" w:eastAsia="宋体"/>
                <w:sz w:val="24"/>
              </w:rPr>
              <w:t>项目支出绩效自评表</w:t>
            </w:r>
          </w:p>
        </w:tc>
      </w:tr>
      <w:tr w14:paraId="0DB8D595">
        <w:tblPrEx>
          <w:tblCellMar>
            <w:top w:w="0" w:type="dxa"/>
            <w:left w:w="108" w:type="dxa"/>
            <w:bottom w:w="0" w:type="dxa"/>
            <w:right w:w="108" w:type="dxa"/>
          </w:tblCellMar>
        </w:tblPrEx>
        <w:tc>
          <w:tcPr>
            <w:tcW w:w="8848" w:type="dxa"/>
            <w:gridSpan w:val="14"/>
            <w:vAlign w:val="center"/>
          </w:tcPr>
          <w:p w14:paraId="18F7724D">
            <w:pPr>
              <w:jc w:val="center"/>
            </w:pPr>
            <w:r>
              <w:rPr>
                <w:rFonts w:ascii="宋体" w:hAnsi="宋体" w:eastAsia="宋体"/>
                <w:sz w:val="24"/>
              </w:rPr>
              <w:t>(2024年度)</w:t>
            </w:r>
          </w:p>
        </w:tc>
      </w:tr>
      <w:tr w14:paraId="4A053F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1127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E5F16A">
            <w:pPr>
              <w:jc w:val="center"/>
            </w:pPr>
            <w:r>
              <w:rPr>
                <w:rFonts w:ascii="宋体" w:hAnsi="宋体" w:eastAsia="宋体"/>
                <w:sz w:val="16"/>
              </w:rPr>
              <w:t>2024年单位资金-培训补助资金</w:t>
            </w:r>
          </w:p>
        </w:tc>
      </w:tr>
      <w:tr w14:paraId="431820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BB71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A91C4F">
            <w:pPr>
              <w:jc w:val="center"/>
            </w:pPr>
            <w:r>
              <w:rPr>
                <w:rFonts w:ascii="宋体" w:hAnsi="宋体" w:eastAsia="宋体"/>
                <w:sz w:val="16"/>
              </w:rPr>
              <w:t>托里县技工学校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3B1D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642DB8">
            <w:pPr>
              <w:jc w:val="center"/>
            </w:pPr>
            <w:r>
              <w:rPr>
                <w:rFonts w:ascii="宋体" w:hAnsi="宋体" w:eastAsia="宋体"/>
                <w:sz w:val="16"/>
              </w:rPr>
              <w:t>托里县技工学校</w:t>
            </w:r>
          </w:p>
        </w:tc>
      </w:tr>
      <w:tr w14:paraId="2B0DE4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68CE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A5A3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FA66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8178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9C51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FBAA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48C3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F693E">
            <w:pPr>
              <w:jc w:val="center"/>
            </w:pPr>
            <w:r>
              <w:rPr>
                <w:rFonts w:ascii="宋体" w:hAnsi="宋体" w:eastAsia="宋体"/>
                <w:sz w:val="16"/>
              </w:rPr>
              <w:t>得分</w:t>
            </w:r>
          </w:p>
        </w:tc>
      </w:tr>
      <w:tr w14:paraId="57532B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390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3015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EFC40">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D1912">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AC4AD">
            <w:pPr>
              <w:jc w:val="center"/>
            </w:pPr>
            <w:r>
              <w:rPr>
                <w:rFonts w:ascii="宋体" w:hAnsi="宋体" w:eastAsia="宋体"/>
                <w:sz w:val="16"/>
              </w:rPr>
              <w:t>54.95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CB6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2D853">
            <w:pPr>
              <w:jc w:val="center"/>
            </w:pPr>
            <w:r>
              <w:rPr>
                <w:rFonts w:ascii="宋体" w:hAnsi="宋体" w:eastAsia="宋体"/>
                <w:sz w:val="16"/>
              </w:rPr>
              <w:t>99.91%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6C6A9">
            <w:pPr>
              <w:jc w:val="center"/>
            </w:pPr>
            <w:r>
              <w:rPr>
                <w:rFonts w:ascii="宋体" w:hAnsi="宋体" w:eastAsia="宋体"/>
                <w:sz w:val="16"/>
              </w:rPr>
              <w:t>9.99</w:t>
            </w:r>
          </w:p>
        </w:tc>
      </w:tr>
      <w:tr w14:paraId="609E04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548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686F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4FC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09A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2C4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0E6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D40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BA8FC">
            <w:pPr>
              <w:jc w:val="center"/>
            </w:pPr>
            <w:r>
              <w:rPr>
                <w:rFonts w:ascii="宋体" w:hAnsi="宋体" w:eastAsia="宋体"/>
                <w:sz w:val="16"/>
              </w:rPr>
              <w:t>—</w:t>
            </w:r>
          </w:p>
        </w:tc>
      </w:tr>
      <w:tr w14:paraId="00963B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ED5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96DE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18EB2">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39E17">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C3857">
            <w:pPr>
              <w:jc w:val="center"/>
            </w:pPr>
            <w:r>
              <w:rPr>
                <w:rFonts w:ascii="宋体" w:hAnsi="宋体" w:eastAsia="宋体"/>
                <w:sz w:val="16"/>
              </w:rPr>
              <w:t>54.95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425F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3BF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A3A5F">
            <w:pPr>
              <w:jc w:val="center"/>
            </w:pPr>
            <w:r>
              <w:rPr>
                <w:rFonts w:ascii="宋体" w:hAnsi="宋体" w:eastAsia="宋体"/>
                <w:sz w:val="16"/>
              </w:rPr>
              <w:t>—</w:t>
            </w:r>
          </w:p>
        </w:tc>
      </w:tr>
      <w:tr w14:paraId="28489B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D30FA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69823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5B99F1">
            <w:pPr>
              <w:jc w:val="center"/>
            </w:pPr>
            <w:r>
              <w:rPr>
                <w:rFonts w:ascii="宋体" w:hAnsi="宋体" w:eastAsia="宋体"/>
                <w:sz w:val="16"/>
              </w:rPr>
              <w:t>实际完成情况</w:t>
            </w:r>
          </w:p>
        </w:tc>
      </w:tr>
      <w:tr w14:paraId="4A60D7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2705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6DCF65">
            <w:pPr>
              <w:jc w:val="both"/>
            </w:pPr>
            <w:r>
              <w:rPr>
                <w:rFonts w:ascii="宋体" w:hAnsi="宋体" w:eastAsia="宋体"/>
                <w:sz w:val="16"/>
              </w:rPr>
              <w:t>项目资金55万元，主要用于享受职业培训补贴人员数量440</w:t>
            </w:r>
            <w:r>
              <w:rPr>
                <w:rFonts w:hint="eastAsia" w:ascii="宋体" w:hAnsi="宋体"/>
                <w:sz w:val="16"/>
                <w:lang w:eastAsia="zh-CN"/>
              </w:rPr>
              <w:t>人</w:t>
            </w:r>
            <w:r>
              <w:rPr>
                <w:rFonts w:ascii="宋体" w:hAnsi="宋体" w:eastAsia="宋体"/>
                <w:sz w:val="16"/>
              </w:rPr>
              <w:t>、为农牧民就业困难人员等重点群体，提供职业技能培训补贴，为全面落实积极的就业创业政策、实现新增就业、帮助困难人员就业提供了坚实的制度和资金保障，有力促进我县经济发展和社会稳定。受益农牧民满意度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DDCF47">
            <w:pPr>
              <w:jc w:val="both"/>
            </w:pPr>
            <w:r>
              <w:rPr>
                <w:rFonts w:ascii="宋体" w:hAnsi="宋体" w:eastAsia="宋体"/>
                <w:sz w:val="16"/>
              </w:rPr>
              <w:t>项目资金55万元，主要用于享受职业培训补贴人员数量671人，培训相关费用支付如：师资费、培训证书费、合格证、图书购买、平台费、宣传费、材料耗材费等。为农牧民就业困难人员等重点群体，提供职业技能培训补贴，为全面落实积极的就业创业政策、实现新增就业人数265人、帮助困难人员就业提供了坚实的制度和资金保障，有力促进我县经济发展和社会稳定。受益农牧民满意度90%。</w:t>
            </w:r>
          </w:p>
        </w:tc>
      </w:tr>
      <w:tr w14:paraId="2FC12C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C1F4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2539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721A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BD36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BBC6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E0B3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BFF3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B2AD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CF6E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0557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2A80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DDF1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A46D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87898">
            <w:pPr>
              <w:jc w:val="center"/>
            </w:pPr>
            <w:r>
              <w:rPr>
                <w:rFonts w:ascii="宋体" w:hAnsi="宋体" w:eastAsia="宋体"/>
                <w:sz w:val="16"/>
              </w:rPr>
              <w:t>偏差原因分析及改进措施</w:t>
            </w:r>
          </w:p>
        </w:tc>
      </w:tr>
      <w:tr w14:paraId="6EAC66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C6BEE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B852D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74F5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B423F">
            <w:pPr>
              <w:jc w:val="center"/>
            </w:pPr>
            <w:r>
              <w:rPr>
                <w:rFonts w:ascii="宋体" w:hAnsi="宋体" w:eastAsia="宋体"/>
                <w:sz w:val="16"/>
              </w:rPr>
              <w:t>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382BA">
            <w:pPr>
              <w:jc w:val="center"/>
            </w:pPr>
            <w:r>
              <w:rPr>
                <w:rFonts w:ascii="宋体" w:hAnsi="宋体" w:eastAsia="宋体"/>
                <w:sz w:val="16"/>
              </w:rPr>
              <w:t>&gt;=440人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4DA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F4EA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649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2E5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19D39">
            <w:pPr>
              <w:jc w:val="center"/>
            </w:pPr>
            <w:r>
              <w:rPr>
                <w:rFonts w:ascii="宋体" w:hAnsi="宋体" w:eastAsia="宋体"/>
                <w:sz w:val="16"/>
              </w:rPr>
              <w:t>正式材料,工作资料,说明材料,原始凭证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2E187">
            <w:pPr>
              <w:jc w:val="center"/>
            </w:pPr>
            <w:r>
              <w:rPr>
                <w:rFonts w:ascii="宋体" w:hAnsi="宋体" w:eastAsia="宋体"/>
                <w:sz w:val="16"/>
              </w:rPr>
              <w:t>=671人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31EE8">
            <w:pPr>
              <w:jc w:val="center"/>
            </w:pPr>
            <w:r>
              <w:rPr>
                <w:rFonts w:ascii="宋体" w:hAnsi="宋体" w:eastAsia="宋体"/>
                <w:sz w:val="16"/>
              </w:rPr>
              <w:t>152.5%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14F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2BC2A">
            <w:pPr>
              <w:jc w:val="center"/>
            </w:pPr>
            <w:r>
              <w:rPr>
                <w:rFonts w:ascii="宋体" w:hAnsi="宋体" w:eastAsia="宋体"/>
                <w:sz w:val="16"/>
              </w:rPr>
              <w:t>2024年实际人数为447人，完成率为101.59%</w:t>
            </w:r>
          </w:p>
        </w:tc>
      </w:tr>
      <w:tr w14:paraId="25D85F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B51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E3B2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3A67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4B9B4">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81C0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A43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88B3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1D1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9A3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F38DA">
            <w:pPr>
              <w:jc w:val="center"/>
            </w:pPr>
            <w:r>
              <w:rPr>
                <w:rFonts w:ascii="宋体" w:hAnsi="宋体" w:eastAsia="宋体"/>
                <w:sz w:val="16"/>
              </w:rPr>
              <w:t>正式材料,工作资料,说明材料,原始凭证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BE8D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274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AB1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57CF4">
            <w:pPr>
              <w:jc w:val="center"/>
            </w:pPr>
          </w:p>
        </w:tc>
      </w:tr>
      <w:tr w14:paraId="71CEF2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0F8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C844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F6F53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7DCA8">
            <w:pPr>
              <w:jc w:val="center"/>
            </w:pPr>
            <w:r>
              <w:rPr>
                <w:rFonts w:ascii="宋体" w:hAnsi="宋体" w:eastAsia="宋体"/>
                <w:sz w:val="16"/>
              </w:rPr>
              <w:t>培训及时率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80AD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50D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2D25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5B4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B21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0538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3DA6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B42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69B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9DADB">
            <w:pPr>
              <w:jc w:val="center"/>
            </w:pPr>
          </w:p>
        </w:tc>
      </w:tr>
      <w:tr w14:paraId="47EB86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26B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BF9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12C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CC48F">
            <w:pPr>
              <w:jc w:val="center"/>
            </w:pPr>
            <w:r>
              <w:rPr>
                <w:rFonts w:ascii="宋体" w:hAnsi="宋体" w:eastAsia="宋体"/>
                <w:sz w:val="16"/>
              </w:rPr>
              <w:t>培训完成时间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74ADD">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287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5A73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EDA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46D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C40AD">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3EF27">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C38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038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AAB6A">
            <w:pPr>
              <w:jc w:val="center"/>
            </w:pPr>
          </w:p>
        </w:tc>
      </w:tr>
      <w:tr w14:paraId="1107DF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3A5B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D4FD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DEF66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9E895">
            <w:pPr>
              <w:jc w:val="center"/>
            </w:pPr>
            <w:r>
              <w:rPr>
                <w:rFonts w:ascii="宋体" w:hAnsi="宋体" w:eastAsia="宋体"/>
                <w:sz w:val="16"/>
              </w:rPr>
              <w:t>培训补助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3854F">
            <w:pPr>
              <w:jc w:val="center"/>
            </w:pPr>
            <w:r>
              <w:rPr>
                <w:rFonts w:ascii="宋体" w:hAnsi="宋体" w:eastAsia="宋体"/>
                <w:sz w:val="16"/>
              </w:rPr>
              <w:t>&lt;=49万元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14A9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3347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2607E">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C91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8C65B">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D0B99">
            <w:pPr>
              <w:jc w:val="center"/>
            </w:pPr>
            <w:r>
              <w:rPr>
                <w:rFonts w:ascii="宋体" w:hAnsi="宋体" w:eastAsia="宋体"/>
                <w:sz w:val="16"/>
              </w:rPr>
              <w:t>=48.61万元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00D38">
            <w:pPr>
              <w:jc w:val="center"/>
            </w:pPr>
            <w:r>
              <w:rPr>
                <w:rFonts w:ascii="宋体" w:hAnsi="宋体" w:eastAsia="宋体"/>
                <w:sz w:val="16"/>
              </w:rPr>
              <w:t>99.18%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CA265">
            <w:pPr>
              <w:jc w:val="center"/>
            </w:pPr>
            <w:r>
              <w:rPr>
                <w:rFonts w:ascii="宋体" w:hAnsi="宋体" w:eastAsia="宋体"/>
                <w:sz w:val="16"/>
              </w:rPr>
              <w:t>13.89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56FA2">
            <w:pPr>
              <w:jc w:val="center"/>
            </w:pPr>
            <w:r>
              <w:rPr>
                <w:rFonts w:ascii="宋体" w:hAnsi="宋体" w:eastAsia="宋体"/>
                <w:sz w:val="16"/>
              </w:rPr>
              <w:t>2024年实际支付培训补助相关费用48.95万元，完成率为99.9%</w:t>
            </w:r>
          </w:p>
        </w:tc>
      </w:tr>
      <w:tr w14:paraId="1F67DF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89C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647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76B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51A89">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BA280">
            <w:pPr>
              <w:jc w:val="center"/>
            </w:pPr>
            <w:r>
              <w:rPr>
                <w:rFonts w:ascii="宋体" w:hAnsi="宋体" w:eastAsia="宋体"/>
                <w:sz w:val="16"/>
              </w:rPr>
              <w:t>&lt;=6万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4DFD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2842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94C1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847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CBB8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B0C83">
            <w:pPr>
              <w:jc w:val="center"/>
            </w:pPr>
            <w:r>
              <w:rPr>
                <w:rFonts w:ascii="宋体" w:hAnsi="宋体" w:eastAsia="宋体"/>
                <w:sz w:val="16"/>
              </w:rPr>
              <w:t>=6.34</w:t>
            </w:r>
            <w:r>
              <w:rPr>
                <w:rFonts w:hint="eastAsia" w:ascii="宋体" w:hAnsi="宋体"/>
                <w:sz w:val="16"/>
                <w:lang w:eastAsia="zh-CN"/>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BF992">
            <w:pPr>
              <w:jc w:val="center"/>
            </w:pPr>
            <w:r>
              <w:rPr>
                <w:rFonts w:ascii="宋体" w:hAnsi="宋体" w:eastAsia="宋体"/>
                <w:sz w:val="16"/>
              </w:rPr>
              <w:t>105.67%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2887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7C8D8">
            <w:pPr>
              <w:jc w:val="center"/>
            </w:pPr>
          </w:p>
        </w:tc>
      </w:tr>
      <w:tr w14:paraId="1E00F6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14D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268EF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E795C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0980E">
            <w:pPr>
              <w:jc w:val="center"/>
            </w:pPr>
            <w:r>
              <w:rPr>
                <w:rFonts w:ascii="宋体" w:hAnsi="宋体" w:eastAsia="宋体"/>
                <w:sz w:val="16"/>
              </w:rPr>
              <w:t>增长就业人数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CC7B5">
            <w:pPr>
              <w:jc w:val="center"/>
            </w:pPr>
            <w:r>
              <w:rPr>
                <w:rFonts w:ascii="宋体" w:hAnsi="宋体" w:eastAsia="宋体"/>
                <w:sz w:val="16"/>
              </w:rPr>
              <w:t>&gt;=352人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940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8CF2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6E5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C469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75CDA">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7C26C">
            <w:pPr>
              <w:jc w:val="center"/>
            </w:pPr>
            <w:r>
              <w:rPr>
                <w:rFonts w:ascii="宋体" w:hAnsi="宋体" w:eastAsia="宋体"/>
                <w:sz w:val="16"/>
              </w:rPr>
              <w:t>=265人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6A929">
            <w:pPr>
              <w:jc w:val="center"/>
            </w:pPr>
            <w:r>
              <w:rPr>
                <w:rFonts w:ascii="宋体" w:hAnsi="宋体" w:eastAsia="宋体"/>
                <w:sz w:val="16"/>
              </w:rPr>
              <w:t>75.28%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DE147">
            <w:pPr>
              <w:jc w:val="center"/>
            </w:pPr>
            <w:r>
              <w:rPr>
                <w:rFonts w:ascii="宋体" w:hAnsi="宋体" w:eastAsia="宋体"/>
                <w:sz w:val="16"/>
              </w:rPr>
              <w:t>7.53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759BA">
            <w:pPr>
              <w:jc w:val="center"/>
            </w:pPr>
            <w:r>
              <w:rPr>
                <w:rFonts w:ascii="宋体" w:hAnsi="宋体" w:eastAsia="宋体"/>
                <w:sz w:val="16"/>
              </w:rPr>
              <w:t>2024年实际</w:t>
            </w:r>
            <w:r>
              <w:rPr>
                <w:rFonts w:hint="eastAsia" w:ascii="宋体" w:hAnsi="宋体"/>
                <w:sz w:val="16"/>
                <w:lang w:eastAsia="zh-CN"/>
              </w:rPr>
              <w:t>增加</w:t>
            </w:r>
            <w:r>
              <w:rPr>
                <w:rFonts w:ascii="宋体" w:hAnsi="宋体" w:eastAsia="宋体"/>
                <w:sz w:val="16"/>
              </w:rPr>
              <w:t>就业人数265人，完成率为80.97%</w:t>
            </w:r>
          </w:p>
        </w:tc>
      </w:tr>
      <w:tr w14:paraId="5C026E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29D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336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BA0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C9673">
            <w:pPr>
              <w:jc w:val="center"/>
            </w:pPr>
            <w:r>
              <w:rPr>
                <w:rFonts w:ascii="宋体" w:hAnsi="宋体" w:eastAsia="宋体"/>
                <w:sz w:val="16"/>
              </w:rPr>
              <w:t>提高农牧民职业技能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68BF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D36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75EC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FBF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0502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65B34">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B4FC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CA2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249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96F79">
            <w:pPr>
              <w:jc w:val="center"/>
            </w:pPr>
          </w:p>
        </w:tc>
      </w:tr>
      <w:tr w14:paraId="660B32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48A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F03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92D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CED49">
            <w:pPr>
              <w:jc w:val="center"/>
            </w:pPr>
            <w:r>
              <w:rPr>
                <w:rFonts w:ascii="宋体" w:hAnsi="宋体" w:eastAsia="宋体"/>
                <w:sz w:val="16"/>
              </w:rPr>
              <w:t>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12DC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EFA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6471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506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DF7F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187AA">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D7A5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622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38F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8487F">
            <w:pPr>
              <w:jc w:val="center"/>
            </w:pPr>
          </w:p>
        </w:tc>
      </w:tr>
      <w:tr w14:paraId="46A1C77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D5AD6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DCBB6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9FDD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8353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7DF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3A4F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705F4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102B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9F1A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19600">
            <w:pPr>
              <w:jc w:val="center"/>
            </w:pPr>
            <w:r>
              <w:rPr>
                <w:rFonts w:ascii="宋体" w:hAnsi="宋体" w:eastAsia="宋体"/>
                <w:sz w:val="16"/>
              </w:rPr>
              <w:t>97.41分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C518A1"/>
        </w:tc>
      </w:tr>
    </w:tbl>
    <w:p w14:paraId="51EAC600">
      <w:r>
        <w:br w:type="page"/>
      </w:r>
    </w:p>
    <w:tbl>
      <w:tblPr>
        <w:tblStyle w:val="9"/>
        <w:tblW w:w="0" w:type="auto"/>
        <w:tblInd w:w="0" w:type="dxa"/>
        <w:tblLayout w:type="fixed"/>
        <w:tblCellMar>
          <w:top w:w="0" w:type="dxa"/>
          <w:left w:w="108" w:type="dxa"/>
          <w:bottom w:w="0" w:type="dxa"/>
          <w:right w:w="108" w:type="dxa"/>
        </w:tblCellMar>
      </w:tblPr>
      <w:tblGrid>
        <w:gridCol w:w="628"/>
        <w:gridCol w:w="624"/>
        <w:gridCol w:w="625"/>
        <w:gridCol w:w="625"/>
        <w:gridCol w:w="776"/>
        <w:gridCol w:w="625"/>
        <w:gridCol w:w="625"/>
        <w:gridCol w:w="627"/>
        <w:gridCol w:w="625"/>
        <w:gridCol w:w="627"/>
        <w:gridCol w:w="163"/>
        <w:gridCol w:w="533"/>
        <w:gridCol w:w="629"/>
        <w:gridCol w:w="696"/>
        <w:gridCol w:w="632"/>
      </w:tblGrid>
      <w:tr w14:paraId="57C07240">
        <w:tblPrEx>
          <w:tblCellMar>
            <w:top w:w="0" w:type="dxa"/>
            <w:left w:w="108" w:type="dxa"/>
            <w:bottom w:w="0" w:type="dxa"/>
            <w:right w:w="108" w:type="dxa"/>
          </w:tblCellMar>
        </w:tblPrEx>
        <w:tc>
          <w:tcPr>
            <w:tcW w:w="9060" w:type="dxa"/>
            <w:gridSpan w:val="15"/>
            <w:vAlign w:val="center"/>
          </w:tcPr>
          <w:p w14:paraId="0EB36E0C">
            <w:pPr>
              <w:jc w:val="center"/>
            </w:pPr>
            <w:r>
              <w:rPr>
                <w:rFonts w:ascii="宋体" w:hAnsi="宋体" w:eastAsia="宋体"/>
                <w:sz w:val="24"/>
              </w:rPr>
              <w:t>项目支出绩效自评表</w:t>
            </w:r>
          </w:p>
        </w:tc>
      </w:tr>
      <w:tr w14:paraId="677A077A">
        <w:tblPrEx>
          <w:tblCellMar>
            <w:top w:w="0" w:type="dxa"/>
            <w:left w:w="108" w:type="dxa"/>
            <w:bottom w:w="0" w:type="dxa"/>
            <w:right w:w="108" w:type="dxa"/>
          </w:tblCellMar>
        </w:tblPrEx>
        <w:tc>
          <w:tcPr>
            <w:tcW w:w="9060" w:type="dxa"/>
            <w:gridSpan w:val="15"/>
            <w:vAlign w:val="center"/>
          </w:tcPr>
          <w:p w14:paraId="11C5D979">
            <w:pPr>
              <w:jc w:val="center"/>
            </w:pPr>
            <w:r>
              <w:rPr>
                <w:rFonts w:ascii="宋体" w:hAnsi="宋体" w:eastAsia="宋体"/>
                <w:sz w:val="24"/>
              </w:rPr>
              <w:t>(2024年度)</w:t>
            </w:r>
          </w:p>
        </w:tc>
      </w:tr>
      <w:tr w14:paraId="260B85FD">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557119D">
            <w:pPr>
              <w:jc w:val="center"/>
            </w:pPr>
            <w:r>
              <w:rPr>
                <w:rFonts w:ascii="宋体" w:hAnsi="宋体" w:eastAsia="宋体"/>
                <w:sz w:val="16"/>
              </w:rPr>
              <w:t>项目名称</w:t>
            </w:r>
          </w:p>
        </w:tc>
        <w:tc>
          <w:tcPr>
            <w:tcW w:w="8432"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57E4E20">
            <w:pPr>
              <w:jc w:val="center"/>
            </w:pPr>
            <w:r>
              <w:rPr>
                <w:rFonts w:ascii="宋体" w:hAnsi="宋体" w:eastAsia="宋体"/>
                <w:sz w:val="16"/>
              </w:rPr>
              <w:t>2024年单位资金-培训食宿费</w:t>
            </w:r>
          </w:p>
        </w:tc>
      </w:tr>
      <w:tr w14:paraId="174B069F">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4DE4AF99">
            <w:pPr>
              <w:jc w:val="center"/>
            </w:pPr>
            <w:r>
              <w:rPr>
                <w:rFonts w:ascii="宋体" w:hAnsi="宋体" w:eastAsia="宋体"/>
                <w:sz w:val="16"/>
              </w:rPr>
              <w:t>主管部门</w:t>
            </w:r>
          </w:p>
        </w:tc>
        <w:tc>
          <w:tcPr>
            <w:tcW w:w="452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047D1E">
            <w:pPr>
              <w:jc w:val="center"/>
            </w:pPr>
            <w:r>
              <w:rPr>
                <w:rFonts w:ascii="宋体" w:hAnsi="宋体" w:eastAsia="宋体"/>
                <w:sz w:val="16"/>
              </w:rPr>
              <w:t>托里县技工学校</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630961C">
            <w:pPr>
              <w:jc w:val="center"/>
            </w:pPr>
            <w:r>
              <w:rPr>
                <w:rFonts w:ascii="宋体" w:hAnsi="宋体" w:eastAsia="宋体"/>
                <w:sz w:val="16"/>
              </w:rPr>
              <w:t>实施单位</w:t>
            </w:r>
          </w:p>
        </w:tc>
        <w:tc>
          <w:tcPr>
            <w:tcW w:w="328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323F92">
            <w:pPr>
              <w:jc w:val="center"/>
            </w:pPr>
            <w:r>
              <w:rPr>
                <w:rFonts w:ascii="宋体" w:hAnsi="宋体" w:eastAsia="宋体"/>
                <w:sz w:val="16"/>
              </w:rPr>
              <w:t>托里县技工学校</w:t>
            </w:r>
          </w:p>
        </w:tc>
      </w:tr>
      <w:tr w14:paraId="21A31064">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F6B46A">
            <w:pPr>
              <w:jc w:val="center"/>
            </w:pPr>
            <w:r>
              <w:rPr>
                <w:rFonts w:ascii="宋体" w:hAnsi="宋体" w:eastAsia="宋体"/>
                <w:sz w:val="16"/>
              </w:rPr>
              <w:t>项目资金 （万元）</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BC2D3">
            <w:pPr>
              <w:jc w:val="center"/>
            </w:pP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B8534">
            <w:pPr>
              <w:jc w:val="center"/>
            </w:pPr>
            <w:r>
              <w:rPr>
                <w:rFonts w:ascii="宋体" w:hAnsi="宋体" w:eastAsia="宋体"/>
                <w:sz w:val="16"/>
              </w:rPr>
              <w:t>年初预算数</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96FC2">
            <w:pPr>
              <w:jc w:val="center"/>
            </w:pPr>
            <w:r>
              <w:rPr>
                <w:rFonts w:ascii="宋体" w:hAnsi="宋体" w:eastAsia="宋体"/>
                <w:sz w:val="16"/>
              </w:rPr>
              <w:t>全年预算数</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A94A1">
            <w:pPr>
              <w:jc w:val="center"/>
            </w:pPr>
            <w:r>
              <w:rPr>
                <w:rFonts w:ascii="宋体" w:hAnsi="宋体" w:eastAsia="宋体"/>
                <w:sz w:val="16"/>
              </w:rPr>
              <w:t>全年执行数</w:t>
            </w:r>
          </w:p>
        </w:tc>
        <w:tc>
          <w:tcPr>
            <w:tcW w:w="132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0A2D52">
            <w:pPr>
              <w:jc w:val="center"/>
            </w:pPr>
            <w:r>
              <w:rPr>
                <w:rFonts w:ascii="宋体" w:hAnsi="宋体" w:eastAsia="宋体"/>
                <w:sz w:val="16"/>
              </w:rPr>
              <w:t>分值</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7323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3D4ED">
            <w:pPr>
              <w:jc w:val="center"/>
            </w:pPr>
            <w:r>
              <w:rPr>
                <w:rFonts w:ascii="宋体" w:hAnsi="宋体" w:eastAsia="宋体"/>
                <w:sz w:val="16"/>
              </w:rPr>
              <w:t>得分</w:t>
            </w:r>
          </w:p>
        </w:tc>
      </w:tr>
      <w:tr w14:paraId="7C129A90">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F3B5508"/>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B90CB">
            <w:pPr>
              <w:jc w:val="center"/>
            </w:pPr>
            <w:r>
              <w:rPr>
                <w:rFonts w:ascii="宋体" w:hAnsi="宋体" w:eastAsia="宋体"/>
                <w:sz w:val="16"/>
              </w:rPr>
              <w:t>年度资金总额</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8C38C">
            <w:pPr>
              <w:jc w:val="center"/>
            </w:pPr>
            <w:r>
              <w:rPr>
                <w:rFonts w:ascii="宋体" w:hAnsi="宋体" w:eastAsia="宋体"/>
                <w:sz w:val="16"/>
              </w:rPr>
              <w:t>13.29</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2BE0D">
            <w:pPr>
              <w:jc w:val="center"/>
            </w:pPr>
            <w:r>
              <w:rPr>
                <w:rFonts w:ascii="宋体" w:hAnsi="宋体" w:eastAsia="宋体"/>
                <w:sz w:val="16"/>
              </w:rPr>
              <w:t>13.29</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3C283">
            <w:pPr>
              <w:jc w:val="center"/>
            </w:pPr>
            <w:r>
              <w:rPr>
                <w:rFonts w:ascii="宋体" w:hAnsi="宋体" w:eastAsia="宋体"/>
                <w:sz w:val="16"/>
              </w:rPr>
              <w:t>13.29</w:t>
            </w:r>
          </w:p>
        </w:tc>
        <w:tc>
          <w:tcPr>
            <w:tcW w:w="132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565F90">
            <w:pPr>
              <w:jc w:val="center"/>
            </w:pPr>
            <w:r>
              <w:rPr>
                <w:rFonts w:ascii="宋体" w:hAnsi="宋体" w:eastAsia="宋体"/>
                <w:sz w:val="16"/>
              </w:rPr>
              <w:t>10</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3296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8EF34">
            <w:pPr>
              <w:jc w:val="center"/>
            </w:pPr>
            <w:r>
              <w:rPr>
                <w:rFonts w:ascii="宋体" w:hAnsi="宋体" w:eastAsia="宋体"/>
                <w:sz w:val="16"/>
              </w:rPr>
              <w:t>10.00</w:t>
            </w:r>
          </w:p>
        </w:tc>
      </w:tr>
      <w:tr w14:paraId="6C0F99AE">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7AD4692F"/>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32D3B">
            <w:pPr>
              <w:jc w:val="center"/>
            </w:pPr>
            <w:r>
              <w:rPr>
                <w:rFonts w:ascii="宋体" w:hAnsi="宋体" w:eastAsia="宋体"/>
                <w:sz w:val="16"/>
              </w:rPr>
              <w:t>其中：当年财政拨款</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29F03">
            <w:pPr>
              <w:jc w:val="center"/>
            </w:pPr>
            <w:r>
              <w:rPr>
                <w:rFonts w:ascii="宋体" w:hAnsi="宋体" w:eastAsia="宋体"/>
                <w:sz w:val="16"/>
              </w:rPr>
              <w:t>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A29A1">
            <w:pPr>
              <w:jc w:val="center"/>
            </w:pPr>
            <w:r>
              <w:rPr>
                <w:rFonts w:ascii="宋体" w:hAnsi="宋体" w:eastAsia="宋体"/>
                <w:sz w:val="16"/>
              </w:rPr>
              <w:t>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6CB19">
            <w:pPr>
              <w:jc w:val="center"/>
            </w:pPr>
            <w:r>
              <w:rPr>
                <w:rFonts w:ascii="宋体" w:hAnsi="宋体" w:eastAsia="宋体"/>
                <w:sz w:val="16"/>
              </w:rPr>
              <w:t>0.00</w:t>
            </w:r>
          </w:p>
        </w:tc>
        <w:tc>
          <w:tcPr>
            <w:tcW w:w="132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5ABEF6">
            <w:pPr>
              <w:jc w:val="center"/>
            </w:pPr>
            <w:r>
              <w:rPr>
                <w:rFonts w:ascii="宋体" w:hAnsi="宋体" w:eastAsia="宋体"/>
                <w:sz w:val="16"/>
              </w:rPr>
              <w:t>—</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3D8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EB481">
            <w:pPr>
              <w:jc w:val="center"/>
            </w:pPr>
            <w:r>
              <w:rPr>
                <w:rFonts w:ascii="宋体" w:hAnsi="宋体" w:eastAsia="宋体"/>
                <w:sz w:val="16"/>
              </w:rPr>
              <w:t>—</w:t>
            </w:r>
          </w:p>
        </w:tc>
      </w:tr>
      <w:tr w14:paraId="43E8715E">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4454C4C1"/>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0BDEF">
            <w:pPr>
              <w:jc w:val="center"/>
            </w:pPr>
            <w:r>
              <w:rPr>
                <w:rFonts w:ascii="宋体" w:hAnsi="宋体" w:eastAsia="宋体"/>
                <w:sz w:val="16"/>
              </w:rPr>
              <w:t xml:space="preserve">  其他资金</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EE6FD">
            <w:pPr>
              <w:jc w:val="center"/>
            </w:pPr>
            <w:r>
              <w:rPr>
                <w:rFonts w:ascii="宋体" w:hAnsi="宋体" w:eastAsia="宋体"/>
                <w:sz w:val="16"/>
              </w:rPr>
              <w:t>13.29</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3DAA3">
            <w:pPr>
              <w:jc w:val="center"/>
            </w:pPr>
            <w:r>
              <w:rPr>
                <w:rFonts w:ascii="宋体" w:hAnsi="宋体" w:eastAsia="宋体"/>
                <w:sz w:val="16"/>
              </w:rPr>
              <w:t>13.29</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B4207">
            <w:pPr>
              <w:jc w:val="center"/>
            </w:pPr>
            <w:r>
              <w:rPr>
                <w:rFonts w:ascii="宋体" w:hAnsi="宋体" w:eastAsia="宋体"/>
                <w:sz w:val="16"/>
              </w:rPr>
              <w:t>13.29</w:t>
            </w:r>
          </w:p>
        </w:tc>
        <w:tc>
          <w:tcPr>
            <w:tcW w:w="132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7A4EBA">
            <w:pPr>
              <w:jc w:val="center"/>
            </w:pPr>
            <w:r>
              <w:rPr>
                <w:rFonts w:ascii="宋体" w:hAnsi="宋体" w:eastAsia="宋体"/>
                <w:sz w:val="16"/>
              </w:rPr>
              <w:t>—</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CD4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7B086">
            <w:pPr>
              <w:jc w:val="center"/>
            </w:pPr>
            <w:r>
              <w:rPr>
                <w:rFonts w:ascii="宋体" w:hAnsi="宋体" w:eastAsia="宋体"/>
                <w:sz w:val="16"/>
              </w:rPr>
              <w:t>—</w:t>
            </w:r>
          </w:p>
        </w:tc>
      </w:tr>
      <w:tr w14:paraId="32ACF7CF">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F3011D">
            <w:pPr>
              <w:jc w:val="center"/>
            </w:pPr>
            <w:r>
              <w:rPr>
                <w:rFonts w:ascii="宋体" w:hAnsi="宋体" w:eastAsia="宋体"/>
                <w:sz w:val="16"/>
              </w:rPr>
              <w:t>年度总体目标</w:t>
            </w:r>
          </w:p>
        </w:tc>
        <w:tc>
          <w:tcPr>
            <w:tcW w:w="452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39D9B7">
            <w:pPr>
              <w:jc w:val="center"/>
            </w:pPr>
            <w:r>
              <w:rPr>
                <w:rFonts w:ascii="宋体" w:hAnsi="宋体" w:eastAsia="宋体"/>
                <w:sz w:val="16"/>
              </w:rPr>
              <w:t>预期目标</w:t>
            </w:r>
          </w:p>
        </w:tc>
        <w:tc>
          <w:tcPr>
            <w:tcW w:w="390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3C0F98">
            <w:pPr>
              <w:jc w:val="center"/>
            </w:pPr>
            <w:r>
              <w:rPr>
                <w:rFonts w:ascii="宋体" w:hAnsi="宋体" w:eastAsia="宋体"/>
                <w:sz w:val="16"/>
              </w:rPr>
              <w:t>实际完成情况</w:t>
            </w:r>
          </w:p>
        </w:tc>
      </w:tr>
      <w:tr w14:paraId="3FF6DE54">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253A1E45"/>
        </w:tc>
        <w:tc>
          <w:tcPr>
            <w:tcW w:w="452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CB126C">
            <w:pPr>
              <w:jc w:val="both"/>
            </w:pPr>
            <w:r>
              <w:rPr>
                <w:rFonts w:ascii="宋体" w:hAnsi="宋体" w:eastAsia="宋体"/>
                <w:sz w:val="16"/>
              </w:rPr>
              <w:t>项目资金6.72万元，为培养104人优秀干部，为提升党员政治素养和履职能力，提高农村党员干部掌握和使用国家通用语言文字能力水平等培训班，通过围绕坚定信仰、增强党性、提高素质为重点，</w:t>
            </w:r>
            <w:r>
              <w:rPr>
                <w:rFonts w:hint="eastAsia" w:ascii="宋体" w:hAnsi="宋体"/>
                <w:sz w:val="16"/>
                <w:lang w:eastAsia="zh-CN"/>
              </w:rPr>
              <w:t>提高</w:t>
            </w:r>
            <w:r>
              <w:rPr>
                <w:rFonts w:ascii="宋体" w:hAnsi="宋体" w:eastAsia="宋体"/>
                <w:sz w:val="16"/>
              </w:rPr>
              <w:t>干部服务效率。提高96名农业从业人员生产经营管理能力，打造一支技能服务型高素质农民队伍，为现代化农业发展提供强有力的人力资源保障和人才支撑，培训过程中服务群众满意度达到90%以上。</w:t>
            </w:r>
          </w:p>
        </w:tc>
        <w:tc>
          <w:tcPr>
            <w:tcW w:w="390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FE7FE5">
            <w:pPr>
              <w:jc w:val="both"/>
            </w:pPr>
            <w:r>
              <w:rPr>
                <w:rFonts w:ascii="宋体" w:hAnsi="宋体" w:eastAsia="宋体"/>
                <w:sz w:val="16"/>
              </w:rPr>
              <w:t>目标项目资金13.29万元，完成行业部门培训伙食支付相关工作，为培养497名优秀干部，开展为期44天培训，提升党员政治素养和履职能力，提高农村党员干部掌握和使用国家通用语言文字能力水平等培训班，通过围绕坚定信仰、增强党性、提高素质为重点，</w:t>
            </w:r>
            <w:r>
              <w:rPr>
                <w:rFonts w:hint="eastAsia" w:ascii="宋体" w:hAnsi="宋体"/>
                <w:sz w:val="16"/>
                <w:lang w:eastAsia="zh-CN"/>
              </w:rPr>
              <w:t>提高</w:t>
            </w:r>
            <w:r>
              <w:rPr>
                <w:rFonts w:ascii="宋体" w:hAnsi="宋体" w:eastAsia="宋体"/>
                <w:sz w:val="16"/>
              </w:rPr>
              <w:t>干部服务效率，培训过程中服务群众满意度达到90%以上。</w:t>
            </w:r>
          </w:p>
        </w:tc>
      </w:tr>
      <w:tr w14:paraId="0D44A62F">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tcPr>
          <w:p w14:paraId="2731FED6"/>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B3D0436">
            <w:pPr>
              <w:jc w:val="center"/>
            </w:pPr>
            <w:r>
              <w:rPr>
                <w:rFonts w:ascii="宋体" w:hAnsi="宋体" w:eastAsia="宋体"/>
                <w:sz w:val="16"/>
              </w:rPr>
              <w:t>一级指标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54AE014">
            <w:pPr>
              <w:jc w:val="center"/>
            </w:pPr>
            <w:r>
              <w:rPr>
                <w:rFonts w:ascii="宋体" w:hAnsi="宋体" w:eastAsia="宋体"/>
                <w:sz w:val="16"/>
              </w:rPr>
              <w:t>二级指标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A4C76B7">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E1B82A6">
            <w:pPr>
              <w:jc w:val="center"/>
            </w:pPr>
            <w:r>
              <w:rPr>
                <w:rFonts w:ascii="宋体" w:hAnsi="宋体" w:eastAsia="宋体"/>
                <w:sz w:val="16"/>
              </w:rPr>
              <w:t>指标值</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D0D88B3">
            <w:pPr>
              <w:jc w:val="center"/>
            </w:pPr>
            <w:r>
              <w:rPr>
                <w:rFonts w:ascii="宋体" w:hAnsi="宋体" w:eastAsia="宋体"/>
                <w:sz w:val="16"/>
              </w:rPr>
              <w:t>指标值设定依据</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9B5D7CA">
            <w:pPr>
              <w:jc w:val="center"/>
            </w:pPr>
            <w:r>
              <w:rPr>
                <w:rFonts w:ascii="宋体" w:hAnsi="宋体" w:eastAsia="宋体"/>
                <w:sz w:val="16"/>
              </w:rPr>
              <w:t>上年完成情况</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29EC49A">
            <w:pPr>
              <w:jc w:val="center"/>
            </w:pPr>
            <w:r>
              <w:rPr>
                <w:rFonts w:ascii="宋体" w:hAnsi="宋体" w:eastAsia="宋体"/>
                <w:sz w:val="16"/>
              </w:rPr>
              <w:t>指标分值权重</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007C066">
            <w:pPr>
              <w:jc w:val="center"/>
            </w:pPr>
            <w:r>
              <w:rPr>
                <w:rFonts w:ascii="宋体" w:hAnsi="宋体" w:eastAsia="宋体"/>
                <w:sz w:val="16"/>
              </w:rPr>
              <w:t>指标赋分规则</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16C90783">
            <w:pPr>
              <w:jc w:val="center"/>
            </w:pPr>
            <w:r>
              <w:rPr>
                <w:rFonts w:ascii="宋体" w:hAnsi="宋体" w:eastAsia="宋体"/>
                <w:sz w:val="16"/>
              </w:rPr>
              <w:t>佐证资料</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FB29E">
            <w:pPr>
              <w:jc w:val="center"/>
            </w:pPr>
            <w:r>
              <w:rPr>
                <w:rFonts w:ascii="宋体" w:hAnsi="宋体" w:eastAsia="宋体"/>
                <w:sz w:val="16"/>
              </w:rPr>
              <w:t>指标实际完成值</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440BDF7">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F5A4E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9FDF5">
            <w:pPr>
              <w:jc w:val="center"/>
            </w:pPr>
            <w:r>
              <w:rPr>
                <w:rFonts w:ascii="宋体" w:hAnsi="宋体" w:eastAsia="宋体"/>
                <w:sz w:val="16"/>
              </w:rPr>
              <w:t>偏差原因分析及改进措施</w:t>
            </w:r>
          </w:p>
        </w:tc>
      </w:tr>
      <w:tr w14:paraId="2F3EE0CD">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30BB6D">
            <w:pPr>
              <w:jc w:val="center"/>
            </w:pPr>
            <w:r>
              <w:rPr>
                <w:rFonts w:ascii="宋体" w:hAnsi="宋体" w:eastAsia="宋体"/>
                <w:sz w:val="16"/>
              </w:rPr>
              <w:t>年度绩效指标完成情况</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F325EA">
            <w:pPr>
              <w:jc w:val="center"/>
            </w:pPr>
            <w:r>
              <w:rPr>
                <w:rFonts w:ascii="宋体" w:hAnsi="宋体" w:eastAsia="宋体"/>
                <w:sz w:val="16"/>
              </w:rPr>
              <w:t>产出指标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6A0871">
            <w:pPr>
              <w:jc w:val="center"/>
            </w:pPr>
            <w:r>
              <w:rPr>
                <w:rFonts w:ascii="宋体" w:hAnsi="宋体" w:eastAsia="宋体"/>
                <w:sz w:val="16"/>
              </w:rPr>
              <w:t>数量指标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F117AB8">
            <w:pPr>
              <w:jc w:val="center"/>
            </w:pPr>
            <w:r>
              <w:rPr>
                <w:rFonts w:ascii="宋体" w:hAnsi="宋体" w:eastAsia="宋体"/>
                <w:sz w:val="16"/>
              </w:rPr>
              <w:t>培训人数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E14EA22">
            <w:pPr>
              <w:jc w:val="center"/>
            </w:pPr>
            <w:r>
              <w:rPr>
                <w:rFonts w:ascii="宋体" w:hAnsi="宋体" w:eastAsia="宋体"/>
                <w:sz w:val="16"/>
              </w:rPr>
              <w:t>&gt;=497人</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B1D0436">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51FFA00">
            <w:pPr>
              <w:jc w:val="center"/>
            </w:pPr>
            <w:r>
              <w:rPr>
                <w:rFonts w:ascii="宋体" w:hAnsi="宋体" w:eastAsia="宋体"/>
                <w:sz w:val="16"/>
              </w:rPr>
              <w:t>上年无此值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EB0E144">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DD6203B">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C35441B">
            <w:pPr>
              <w:jc w:val="center"/>
            </w:pPr>
            <w:r>
              <w:rPr>
                <w:rFonts w:ascii="宋体" w:hAnsi="宋体" w:eastAsia="宋体"/>
                <w:sz w:val="16"/>
              </w:rPr>
              <w:t>原始凭证,正式材料,工作资料,说明材料</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2114F">
            <w:pPr>
              <w:jc w:val="center"/>
            </w:pPr>
            <w:r>
              <w:rPr>
                <w:rFonts w:ascii="宋体" w:hAnsi="宋体" w:eastAsia="宋体"/>
                <w:sz w:val="16"/>
              </w:rPr>
              <w:t>=497人</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05E033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8C432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5BC99">
            <w:pPr>
              <w:jc w:val="center"/>
            </w:pPr>
          </w:p>
        </w:tc>
      </w:tr>
      <w:tr w14:paraId="0F4F4403">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6C2E8E71"/>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DB0278B"/>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14A14E4"/>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11945D0">
            <w:pPr>
              <w:jc w:val="center"/>
            </w:pPr>
            <w:r>
              <w:rPr>
                <w:rFonts w:ascii="宋体" w:hAnsi="宋体" w:eastAsia="宋体"/>
                <w:sz w:val="16"/>
              </w:rPr>
              <w:t>培训天数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DD072A3">
            <w:pPr>
              <w:jc w:val="center"/>
            </w:pPr>
            <w:r>
              <w:rPr>
                <w:rFonts w:ascii="宋体" w:hAnsi="宋体" w:eastAsia="宋体"/>
                <w:sz w:val="16"/>
              </w:rPr>
              <w:t>&gt;=44天</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5D4918C">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EA0B17B">
            <w:pPr>
              <w:jc w:val="center"/>
            </w:pPr>
            <w:r>
              <w:rPr>
                <w:rFonts w:ascii="宋体" w:hAnsi="宋体" w:eastAsia="宋体"/>
                <w:sz w:val="16"/>
              </w:rPr>
              <w:t>上年无此值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779F8F9">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6F0419A">
            <w:pPr>
              <w:jc w:val="center"/>
            </w:pPr>
            <w:r>
              <w:rPr>
                <w:rFonts w:ascii="宋体" w:hAnsi="宋体" w:eastAsia="宋体"/>
                <w:sz w:val="16"/>
              </w:rPr>
              <w:t>按照完成比例赋分</w:t>
            </w:r>
          </w:p>
        </w:tc>
        <w:tc>
          <w:tcPr>
            <w:tcW w:w="7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F313D">
            <w:pPr>
              <w:jc w:val="center"/>
            </w:pPr>
            <w:r>
              <w:rPr>
                <w:rFonts w:ascii="宋体" w:hAnsi="宋体" w:eastAsia="宋体"/>
                <w:sz w:val="16"/>
              </w:rPr>
              <w:t>正式材料,原始凭证,说明材料,工作资料</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14:paraId="5BD64FDE">
            <w:pPr>
              <w:jc w:val="center"/>
            </w:pPr>
            <w:r>
              <w:rPr>
                <w:rFonts w:ascii="宋体" w:hAnsi="宋体" w:eastAsia="宋体"/>
                <w:sz w:val="16"/>
              </w:rPr>
              <w:t>=44天</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F74392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68877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1BE4A">
            <w:pPr>
              <w:jc w:val="center"/>
            </w:pPr>
          </w:p>
        </w:tc>
      </w:tr>
      <w:tr w14:paraId="5D17B92D">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4E1CA2D3"/>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11E95706"/>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4AD2492">
            <w:pPr>
              <w:jc w:val="center"/>
            </w:pPr>
            <w:r>
              <w:rPr>
                <w:rFonts w:ascii="宋体" w:hAnsi="宋体" w:eastAsia="宋体"/>
                <w:sz w:val="16"/>
              </w:rPr>
              <w:t>质量指标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CEB8FD6">
            <w:pPr>
              <w:jc w:val="center"/>
            </w:pPr>
            <w:r>
              <w:rPr>
                <w:rFonts w:ascii="宋体" w:hAnsi="宋体" w:eastAsia="宋体"/>
                <w:sz w:val="16"/>
              </w:rPr>
              <w:t>培训达标率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E80DB26">
            <w:pPr>
              <w:jc w:val="center"/>
            </w:pPr>
            <w:r>
              <w:rPr>
                <w:rFonts w:ascii="宋体" w:hAnsi="宋体" w:eastAsia="宋体"/>
                <w:sz w:val="16"/>
              </w:rPr>
              <w:t>&gt;=90%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4142CE0">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A515B11">
            <w:pPr>
              <w:jc w:val="center"/>
            </w:pPr>
            <w:r>
              <w:rPr>
                <w:rFonts w:ascii="宋体" w:hAnsi="宋体" w:eastAsia="宋体"/>
                <w:sz w:val="16"/>
              </w:rPr>
              <w:t>上年无此值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022B8CF6">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16CAE71">
            <w:pPr>
              <w:jc w:val="center"/>
            </w:pPr>
            <w:r>
              <w:rPr>
                <w:rFonts w:ascii="宋体" w:hAnsi="宋体" w:eastAsia="宋体"/>
                <w:sz w:val="16"/>
              </w:rPr>
              <w:t>按照完成比例赋分</w:t>
            </w:r>
          </w:p>
        </w:tc>
        <w:tc>
          <w:tcPr>
            <w:tcW w:w="7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A7564">
            <w:pPr>
              <w:jc w:val="center"/>
            </w:pPr>
            <w:r>
              <w:rPr>
                <w:rFonts w:ascii="宋体" w:hAnsi="宋体" w:eastAsia="宋体"/>
                <w:sz w:val="16"/>
              </w:rPr>
              <w:t>正式材料,工作资料,原始凭证,说明材料</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14:paraId="3395A8F3">
            <w:pPr>
              <w:jc w:val="center"/>
            </w:pPr>
            <w:r>
              <w:rPr>
                <w:rFonts w:ascii="宋体" w:hAnsi="宋体" w:eastAsia="宋体"/>
                <w:sz w:val="16"/>
              </w:rPr>
              <w:t>=90%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FDCF33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C0F50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24D8C">
            <w:pPr>
              <w:jc w:val="center"/>
            </w:pPr>
          </w:p>
        </w:tc>
      </w:tr>
      <w:tr w14:paraId="783F2CB3">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3CAD246"/>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180D1F79"/>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CA67747">
            <w:pPr>
              <w:jc w:val="center"/>
            </w:pPr>
            <w:r>
              <w:rPr>
                <w:rFonts w:ascii="宋体" w:hAnsi="宋体" w:eastAsia="宋体"/>
                <w:sz w:val="16"/>
              </w:rPr>
              <w:t>时效指标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3D0910E">
            <w:pPr>
              <w:jc w:val="center"/>
            </w:pPr>
            <w:r>
              <w:rPr>
                <w:rFonts w:ascii="宋体" w:hAnsi="宋体" w:eastAsia="宋体"/>
                <w:sz w:val="16"/>
              </w:rPr>
              <w:t>培训完成时间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D907A6E">
            <w:pPr>
              <w:jc w:val="center"/>
            </w:pPr>
            <w:r>
              <w:rPr>
                <w:rFonts w:ascii="宋体" w:hAnsi="宋体" w:eastAsia="宋体"/>
                <w:sz w:val="16"/>
              </w:rPr>
              <w:t>2024年12月25日</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E72FAB2">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698C822">
            <w:pPr>
              <w:jc w:val="center"/>
            </w:pPr>
            <w:r>
              <w:rPr>
                <w:rFonts w:ascii="宋体" w:hAnsi="宋体" w:eastAsia="宋体"/>
                <w:sz w:val="16"/>
              </w:rPr>
              <w:t>上年无此值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F12C112">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4D60E55">
            <w:pPr>
              <w:jc w:val="center"/>
            </w:pPr>
            <w:r>
              <w:rPr>
                <w:rFonts w:ascii="宋体" w:hAnsi="宋体" w:eastAsia="宋体"/>
                <w:sz w:val="16"/>
              </w:rPr>
              <w:t>按照完成比例赋分</w:t>
            </w:r>
          </w:p>
        </w:tc>
        <w:tc>
          <w:tcPr>
            <w:tcW w:w="7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BE268">
            <w:pPr>
              <w:jc w:val="center"/>
            </w:pPr>
            <w:r>
              <w:rPr>
                <w:rFonts w:ascii="宋体" w:hAnsi="宋体" w:eastAsia="宋体"/>
                <w:sz w:val="16"/>
              </w:rPr>
              <w:t>正式材料,工作资料,原始凭证,说明材料</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14:paraId="03675845">
            <w:pPr>
              <w:jc w:val="center"/>
            </w:pPr>
            <w:r>
              <w:rPr>
                <w:rFonts w:ascii="宋体" w:hAnsi="宋体" w:eastAsia="宋体"/>
                <w:sz w:val="16"/>
              </w:rPr>
              <w:t>=2024年12月25日</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DBD0E38">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D7D59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B53CB">
            <w:pPr>
              <w:jc w:val="center"/>
            </w:pPr>
          </w:p>
        </w:tc>
      </w:tr>
      <w:tr w14:paraId="699B3054">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367CE616"/>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CF16720">
            <w:pPr>
              <w:jc w:val="center"/>
            </w:pPr>
            <w:r>
              <w:rPr>
                <w:rFonts w:ascii="宋体" w:hAnsi="宋体" w:eastAsia="宋体"/>
                <w:sz w:val="16"/>
              </w:rPr>
              <w:t>成本指标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0253F38">
            <w:pPr>
              <w:jc w:val="center"/>
            </w:pPr>
            <w:r>
              <w:rPr>
                <w:rFonts w:ascii="宋体" w:hAnsi="宋体" w:eastAsia="宋体"/>
                <w:sz w:val="16"/>
              </w:rPr>
              <w:t>经济成本指标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53CB0B7">
            <w:pPr>
              <w:jc w:val="center"/>
            </w:pPr>
            <w:r>
              <w:rPr>
                <w:rFonts w:ascii="宋体" w:hAnsi="宋体" w:eastAsia="宋体"/>
                <w:sz w:val="16"/>
              </w:rPr>
              <w:t>食宿费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15D4F11">
            <w:pPr>
              <w:jc w:val="center"/>
            </w:pPr>
            <w:r>
              <w:rPr>
                <w:rFonts w:ascii="宋体" w:hAnsi="宋体" w:eastAsia="宋体"/>
                <w:sz w:val="16"/>
              </w:rPr>
              <w:t>&lt;=13.29万元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22A83B2">
            <w:pPr>
              <w:jc w:val="center"/>
            </w:pPr>
            <w:r>
              <w:rPr>
                <w:rFonts w:ascii="宋体" w:hAnsi="宋体" w:eastAsia="宋体"/>
                <w:sz w:val="16"/>
              </w:rPr>
              <w:t>预算支出标准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5E8434A">
            <w:pPr>
              <w:jc w:val="center"/>
            </w:pPr>
            <w:r>
              <w:rPr>
                <w:rFonts w:ascii="宋体" w:hAnsi="宋体" w:eastAsia="宋体"/>
                <w:sz w:val="16"/>
              </w:rPr>
              <w:t>上年无此值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CFDDB02">
            <w:pPr>
              <w:jc w:val="center"/>
            </w:pPr>
            <w:r>
              <w:rPr>
                <w:rFonts w:ascii="宋体" w:hAnsi="宋体" w:eastAsia="宋体"/>
                <w:sz w:val="16"/>
              </w:rPr>
              <w:t>20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7C98562">
            <w:pPr>
              <w:jc w:val="center"/>
            </w:pPr>
            <w:r>
              <w:rPr>
                <w:rFonts w:ascii="宋体" w:hAnsi="宋体" w:eastAsia="宋体"/>
                <w:sz w:val="16"/>
              </w:rPr>
              <w:t>按照完成比例赋分</w:t>
            </w:r>
          </w:p>
        </w:tc>
        <w:tc>
          <w:tcPr>
            <w:tcW w:w="7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3A95C">
            <w:pPr>
              <w:jc w:val="center"/>
            </w:pPr>
            <w:r>
              <w:rPr>
                <w:rFonts w:ascii="宋体" w:hAnsi="宋体" w:eastAsia="宋体"/>
                <w:sz w:val="16"/>
              </w:rPr>
              <w:t>正式材料,工作资料,原始凭证,说明材料</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14:paraId="19633FBD">
            <w:pPr>
              <w:jc w:val="center"/>
            </w:pPr>
            <w:r>
              <w:rPr>
                <w:rFonts w:ascii="宋体" w:hAnsi="宋体" w:eastAsia="宋体"/>
                <w:sz w:val="16"/>
              </w:rPr>
              <w:t>=13.29万元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FA0B73F">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96E036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A93CF">
            <w:pPr>
              <w:jc w:val="center"/>
            </w:pPr>
          </w:p>
        </w:tc>
      </w:tr>
      <w:tr w14:paraId="14CED873">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416C6D64"/>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7C536E8">
            <w:pPr>
              <w:jc w:val="center"/>
            </w:pPr>
            <w:r>
              <w:rPr>
                <w:rFonts w:ascii="宋体" w:hAnsi="宋体" w:eastAsia="宋体"/>
                <w:sz w:val="16"/>
              </w:rPr>
              <w:t>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D68C7DB">
            <w:pPr>
              <w:jc w:val="center"/>
            </w:pPr>
            <w:r>
              <w:rPr>
                <w:rFonts w:ascii="宋体" w:hAnsi="宋体" w:eastAsia="宋体"/>
                <w:sz w:val="16"/>
              </w:rPr>
              <w:t>社会效益指标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033E9EB">
            <w:pPr>
              <w:jc w:val="center"/>
            </w:pPr>
            <w:r>
              <w:rPr>
                <w:rFonts w:ascii="宋体" w:hAnsi="宋体" w:eastAsia="宋体"/>
                <w:sz w:val="16"/>
              </w:rPr>
              <w:t>培养优秀干部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D6B3618">
            <w:pPr>
              <w:jc w:val="center"/>
            </w:pPr>
            <w:r>
              <w:rPr>
                <w:rFonts w:ascii="宋体" w:hAnsi="宋体" w:eastAsia="宋体"/>
                <w:sz w:val="16"/>
              </w:rPr>
              <w:t>持续培养</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4F5F59D">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50120A2">
            <w:pPr>
              <w:jc w:val="center"/>
            </w:pPr>
            <w:r>
              <w:rPr>
                <w:rFonts w:ascii="宋体" w:hAnsi="宋体" w:eastAsia="宋体"/>
                <w:sz w:val="16"/>
              </w:rPr>
              <w:t>上年无此值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485AA91">
            <w:pPr>
              <w:jc w:val="center"/>
            </w:pPr>
            <w:r>
              <w:rPr>
                <w:rFonts w:ascii="宋体" w:hAnsi="宋体" w:eastAsia="宋体"/>
                <w:sz w:val="16"/>
              </w:rPr>
              <w:t>20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1022C0E">
            <w:pPr>
              <w:jc w:val="center"/>
            </w:pPr>
            <w:r>
              <w:rPr>
                <w:rFonts w:ascii="宋体" w:hAnsi="宋体" w:eastAsia="宋体"/>
                <w:sz w:val="16"/>
              </w:rPr>
              <w:t>按评判等级赋分</w:t>
            </w:r>
          </w:p>
        </w:tc>
        <w:tc>
          <w:tcPr>
            <w:tcW w:w="7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AB5F6">
            <w:pPr>
              <w:jc w:val="center"/>
            </w:pPr>
            <w:r>
              <w:rPr>
                <w:rFonts w:ascii="宋体" w:hAnsi="宋体" w:eastAsia="宋体"/>
                <w:sz w:val="16"/>
              </w:rPr>
              <w:t>工作资料,原始凭证,说明材料</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14:paraId="2F964DF1">
            <w:pPr>
              <w:jc w:val="center"/>
            </w:pPr>
            <w:r>
              <w:rPr>
                <w:rFonts w:ascii="宋体" w:hAnsi="宋体" w:eastAsia="宋体"/>
                <w:sz w:val="16"/>
              </w:rPr>
              <w:t>持续培养</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287BBFF">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748005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B8651">
            <w:pPr>
              <w:jc w:val="center"/>
            </w:pPr>
          </w:p>
        </w:tc>
      </w:tr>
      <w:tr w14:paraId="589BC361">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40493B65"/>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0DB2800">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E60C49C">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019AE68">
            <w:pPr>
              <w:jc w:val="center"/>
            </w:pPr>
            <w:r>
              <w:rPr>
                <w:rFonts w:ascii="宋体" w:hAnsi="宋体" w:eastAsia="宋体"/>
                <w:sz w:val="16"/>
              </w:rPr>
              <w:t>服务群众满意度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46FA726">
            <w:pPr>
              <w:jc w:val="center"/>
            </w:pPr>
            <w:r>
              <w:rPr>
                <w:rFonts w:ascii="宋体" w:hAnsi="宋体" w:eastAsia="宋体"/>
                <w:sz w:val="16"/>
              </w:rPr>
              <w:t>&gt;=90%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03785D7">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CC4C3C8">
            <w:pPr>
              <w:jc w:val="center"/>
            </w:pPr>
            <w:r>
              <w:rPr>
                <w:rFonts w:ascii="宋体" w:hAnsi="宋体" w:eastAsia="宋体"/>
                <w:sz w:val="16"/>
              </w:rPr>
              <w:t>上年无此值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B7689BF">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E1392C5">
            <w:pPr>
              <w:jc w:val="center"/>
            </w:pPr>
            <w:r>
              <w:rPr>
                <w:rFonts w:ascii="宋体" w:hAnsi="宋体" w:eastAsia="宋体"/>
                <w:sz w:val="16"/>
              </w:rPr>
              <w:t>满意度赋分</w:t>
            </w:r>
          </w:p>
        </w:tc>
        <w:tc>
          <w:tcPr>
            <w:tcW w:w="7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27332">
            <w:pPr>
              <w:jc w:val="center"/>
            </w:pPr>
            <w:r>
              <w:rPr>
                <w:rFonts w:ascii="宋体" w:hAnsi="宋体" w:eastAsia="宋体"/>
                <w:sz w:val="16"/>
              </w:rPr>
              <w:t>原始凭证,工作资料,说明材料</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14:paraId="296E19D1">
            <w:pPr>
              <w:jc w:val="center"/>
            </w:pPr>
            <w:r>
              <w:rPr>
                <w:rFonts w:ascii="宋体" w:hAnsi="宋体" w:eastAsia="宋体"/>
                <w:sz w:val="16"/>
              </w:rPr>
              <w:t>=90%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CC74A7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7D881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C48B6">
            <w:pPr>
              <w:jc w:val="center"/>
            </w:pPr>
          </w:p>
        </w:tc>
      </w:tr>
      <w:tr w14:paraId="14A5D881">
        <w:tblPrEx>
          <w:tblCellMar>
            <w:top w:w="0" w:type="dxa"/>
            <w:left w:w="108" w:type="dxa"/>
            <w:bottom w:w="0" w:type="dxa"/>
            <w:right w:w="108" w:type="dxa"/>
          </w:tblCellMar>
        </w:tblPrEx>
        <w:tc>
          <w:tcPr>
            <w:tcW w:w="250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99D1A6">
            <w:pPr>
              <w:jc w:val="center"/>
            </w:pPr>
            <w:r>
              <w:rPr>
                <w:rFonts w:ascii="宋体" w:hAnsi="宋体" w:eastAsia="宋体"/>
                <w:sz w:val="16"/>
              </w:rPr>
              <w:t>总分</w:t>
            </w:r>
          </w:p>
        </w:tc>
        <w:tc>
          <w:tcPr>
            <w:tcW w:w="776" w:type="dxa"/>
            <w:tcBorders>
              <w:top w:val="single" w:color="auto" w:sz="10" w:space="0"/>
              <w:left w:val="single" w:color="auto" w:sz="10" w:space="0"/>
              <w:bottom w:val="single" w:color="auto" w:sz="10" w:space="0"/>
              <w:right w:val="single" w:color="auto" w:sz="10" w:space="0"/>
              <w:insideV w:val="single" w:sz="10" w:space="0"/>
            </w:tcBorders>
          </w:tcPr>
          <w:p w14:paraId="45D478E3"/>
        </w:tc>
        <w:tc>
          <w:tcPr>
            <w:tcW w:w="625" w:type="dxa"/>
            <w:tcBorders>
              <w:top w:val="single" w:color="auto" w:sz="10" w:space="0"/>
              <w:left w:val="single" w:color="auto" w:sz="10" w:space="0"/>
              <w:bottom w:val="single" w:color="auto" w:sz="10" w:space="0"/>
              <w:right w:val="single" w:color="auto" w:sz="10" w:space="0"/>
              <w:insideV w:val="single" w:sz="10" w:space="0"/>
            </w:tcBorders>
          </w:tcPr>
          <w:p w14:paraId="1BA309CF"/>
        </w:tc>
        <w:tc>
          <w:tcPr>
            <w:tcW w:w="625" w:type="dxa"/>
            <w:tcBorders>
              <w:top w:val="single" w:color="auto" w:sz="10" w:space="0"/>
              <w:left w:val="single" w:color="auto" w:sz="10" w:space="0"/>
              <w:bottom w:val="single" w:color="auto" w:sz="10" w:space="0"/>
              <w:right w:val="single" w:color="auto" w:sz="10" w:space="0"/>
              <w:insideV w:val="single" w:sz="10" w:space="0"/>
            </w:tcBorders>
          </w:tcPr>
          <w:p w14:paraId="631A26AD"/>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2AADAF7">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tcPr>
          <w:p w14:paraId="0C6D41E2"/>
        </w:tc>
        <w:tc>
          <w:tcPr>
            <w:tcW w:w="790" w:type="dxa"/>
            <w:gridSpan w:val="2"/>
            <w:tcBorders>
              <w:top w:val="single" w:color="auto" w:sz="10" w:space="0"/>
              <w:left w:val="single" w:color="auto" w:sz="10" w:space="0"/>
              <w:bottom w:val="single" w:color="auto" w:sz="10" w:space="0"/>
              <w:right w:val="single" w:color="auto" w:sz="10" w:space="0"/>
              <w:insideV w:val="single" w:sz="10" w:space="0"/>
            </w:tcBorders>
          </w:tcPr>
          <w:p w14:paraId="1BDF46B4"/>
        </w:tc>
        <w:tc>
          <w:tcPr>
            <w:tcW w:w="533" w:type="dxa"/>
            <w:tcBorders>
              <w:top w:val="single" w:color="auto" w:sz="10" w:space="0"/>
              <w:left w:val="single" w:color="auto" w:sz="10" w:space="0"/>
              <w:bottom w:val="single" w:color="auto" w:sz="10" w:space="0"/>
              <w:right w:val="single" w:color="auto" w:sz="10" w:space="0"/>
              <w:insideV w:val="single" w:sz="10" w:space="0"/>
            </w:tcBorders>
          </w:tcPr>
          <w:p w14:paraId="07FFC5F8"/>
        </w:tc>
        <w:tc>
          <w:tcPr>
            <w:tcW w:w="629" w:type="dxa"/>
            <w:tcBorders>
              <w:top w:val="single" w:color="auto" w:sz="10" w:space="0"/>
              <w:left w:val="single" w:color="auto" w:sz="10" w:space="0"/>
              <w:bottom w:val="single" w:color="auto" w:sz="10" w:space="0"/>
              <w:right w:val="single" w:color="auto" w:sz="10" w:space="0"/>
              <w:insideV w:val="single" w:sz="10" w:space="0"/>
            </w:tcBorders>
          </w:tcPr>
          <w:p w14:paraId="7C26EB33"/>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BE0D0F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7F222E"/>
        </w:tc>
      </w:tr>
    </w:tbl>
    <w:p w14:paraId="39535000">
      <w:r>
        <w:br w:type="page"/>
      </w:r>
    </w:p>
    <w:p w14:paraId="0D1ABC94">
      <w:pPr>
        <w:spacing w:line="640" w:lineRule="exact"/>
        <w:ind w:firstLine="640"/>
        <w:jc w:val="both"/>
        <w:outlineLvl w:val="2"/>
      </w:pPr>
      <w:r>
        <w:rPr>
          <w:rFonts w:ascii="黑体" w:hAnsi="黑体" w:eastAsia="黑体"/>
          <w:sz w:val="32"/>
        </w:rPr>
        <w:t>十二、其他需说明的事项</w:t>
      </w:r>
    </w:p>
    <w:p w14:paraId="3FB0CD3C">
      <w:pPr>
        <w:spacing w:line="580" w:lineRule="exact"/>
        <w:ind w:firstLine="640"/>
        <w:jc w:val="both"/>
      </w:pPr>
      <w:r>
        <w:rPr>
          <w:rFonts w:ascii="仿宋_GB2312" w:hAnsi="仿宋_GB2312" w:eastAsia="仿宋_GB2312"/>
          <w:b w:val="0"/>
          <w:sz w:val="32"/>
        </w:rPr>
        <w:t>本单位无其他需说明事项。</w:t>
      </w:r>
    </w:p>
    <w:p w14:paraId="1F5156B9">
      <w:r>
        <w:br w:type="page"/>
      </w:r>
    </w:p>
    <w:p w14:paraId="2EBE85B6">
      <w:pPr>
        <w:spacing w:line="240" w:lineRule="auto"/>
        <w:jc w:val="center"/>
        <w:outlineLvl w:val="1"/>
      </w:pPr>
      <w:r>
        <w:rPr>
          <w:rFonts w:ascii="黑体" w:hAnsi="黑体" w:eastAsia="黑体"/>
          <w:sz w:val="32"/>
        </w:rPr>
        <w:t>第三部分 专业名词解释</w:t>
      </w:r>
    </w:p>
    <w:p w14:paraId="47C35C5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A57992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83FC87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7D5748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B9DC40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0752E1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45786C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4939E9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20DE61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55C7B1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2AD7B6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075000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D72AB1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3A330C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9632A9F">
      <w:r>
        <w:br w:type="page"/>
      </w:r>
    </w:p>
    <w:p w14:paraId="1781D97B">
      <w:pPr>
        <w:spacing w:line="240" w:lineRule="auto"/>
        <w:jc w:val="center"/>
        <w:outlineLvl w:val="1"/>
      </w:pPr>
      <w:r>
        <w:rPr>
          <w:rFonts w:ascii="黑体" w:hAnsi="黑体" w:eastAsia="黑体"/>
          <w:sz w:val="32"/>
        </w:rPr>
        <w:t>第四部分 部门决算报表（见附表）</w:t>
      </w:r>
    </w:p>
    <w:p w14:paraId="57B77FA4">
      <w:pPr>
        <w:spacing w:line="240" w:lineRule="auto"/>
        <w:ind w:firstLine="640"/>
        <w:jc w:val="both"/>
      </w:pPr>
      <w:r>
        <w:rPr>
          <w:rFonts w:ascii="仿宋_GB2312" w:hAnsi="仿宋_GB2312" w:eastAsia="仿宋_GB2312"/>
          <w:b w:val="0"/>
          <w:sz w:val="32"/>
        </w:rPr>
        <w:t>一、《收入支出决算总表》</w:t>
      </w:r>
    </w:p>
    <w:p w14:paraId="3DE50BF9">
      <w:pPr>
        <w:spacing w:line="240" w:lineRule="auto"/>
        <w:ind w:firstLine="640"/>
        <w:jc w:val="both"/>
      </w:pPr>
      <w:r>
        <w:rPr>
          <w:rFonts w:ascii="仿宋_GB2312" w:hAnsi="仿宋_GB2312" w:eastAsia="仿宋_GB2312"/>
          <w:b w:val="0"/>
          <w:sz w:val="32"/>
        </w:rPr>
        <w:t>二、《收入决算表》</w:t>
      </w:r>
    </w:p>
    <w:p w14:paraId="4366A097">
      <w:pPr>
        <w:spacing w:line="240" w:lineRule="auto"/>
        <w:ind w:firstLine="640"/>
        <w:jc w:val="both"/>
      </w:pPr>
      <w:r>
        <w:rPr>
          <w:rFonts w:ascii="仿宋_GB2312" w:hAnsi="仿宋_GB2312" w:eastAsia="仿宋_GB2312"/>
          <w:b w:val="0"/>
          <w:sz w:val="32"/>
        </w:rPr>
        <w:t>三、《支出决算表》</w:t>
      </w:r>
    </w:p>
    <w:p w14:paraId="32840FB4">
      <w:pPr>
        <w:spacing w:line="240" w:lineRule="auto"/>
        <w:ind w:firstLine="640"/>
        <w:jc w:val="both"/>
      </w:pPr>
      <w:r>
        <w:rPr>
          <w:rFonts w:ascii="仿宋_GB2312" w:hAnsi="仿宋_GB2312" w:eastAsia="仿宋_GB2312"/>
          <w:b w:val="0"/>
          <w:sz w:val="32"/>
        </w:rPr>
        <w:t>四、《财政拨款收入支出决算总表》</w:t>
      </w:r>
    </w:p>
    <w:p w14:paraId="703F56DE">
      <w:pPr>
        <w:spacing w:line="240" w:lineRule="auto"/>
        <w:ind w:firstLine="640"/>
        <w:jc w:val="both"/>
      </w:pPr>
      <w:r>
        <w:rPr>
          <w:rFonts w:ascii="仿宋_GB2312" w:hAnsi="仿宋_GB2312" w:eastAsia="仿宋_GB2312"/>
          <w:b w:val="0"/>
          <w:sz w:val="32"/>
        </w:rPr>
        <w:t>五、《一般公共预算财政拨款支出决算表》</w:t>
      </w:r>
    </w:p>
    <w:p w14:paraId="2AB5529E">
      <w:pPr>
        <w:spacing w:line="240" w:lineRule="auto"/>
        <w:ind w:firstLine="640"/>
        <w:jc w:val="both"/>
      </w:pPr>
      <w:r>
        <w:rPr>
          <w:rFonts w:ascii="仿宋_GB2312" w:hAnsi="仿宋_GB2312" w:eastAsia="仿宋_GB2312"/>
          <w:b w:val="0"/>
          <w:sz w:val="32"/>
        </w:rPr>
        <w:t>六、《一般公共预算财政拨款基本支出决算表》</w:t>
      </w:r>
    </w:p>
    <w:p w14:paraId="73B798F9">
      <w:pPr>
        <w:spacing w:line="240" w:lineRule="auto"/>
        <w:ind w:firstLine="640"/>
        <w:jc w:val="both"/>
      </w:pPr>
      <w:r>
        <w:rPr>
          <w:rFonts w:ascii="仿宋_GB2312" w:hAnsi="仿宋_GB2312" w:eastAsia="仿宋_GB2312"/>
          <w:b w:val="0"/>
          <w:sz w:val="32"/>
        </w:rPr>
        <w:t>七、《政府性基金预算财政拨款收入支出决算表》</w:t>
      </w:r>
    </w:p>
    <w:p w14:paraId="77D49275">
      <w:pPr>
        <w:spacing w:line="240" w:lineRule="auto"/>
        <w:ind w:firstLine="640"/>
        <w:jc w:val="both"/>
      </w:pPr>
      <w:r>
        <w:rPr>
          <w:rFonts w:ascii="仿宋_GB2312" w:hAnsi="仿宋_GB2312" w:eastAsia="仿宋_GB2312"/>
          <w:b w:val="0"/>
          <w:sz w:val="32"/>
        </w:rPr>
        <w:t>八、《国有资本经营预算财政拨款收入支出决算表》</w:t>
      </w:r>
    </w:p>
    <w:p w14:paraId="600B1532">
      <w:pPr>
        <w:spacing w:line="240" w:lineRule="auto"/>
        <w:ind w:firstLine="640"/>
        <w:jc w:val="both"/>
      </w:pPr>
      <w:r>
        <w:rPr>
          <w:rFonts w:ascii="仿宋_GB2312" w:hAnsi="仿宋_GB2312" w:eastAsia="仿宋_GB2312"/>
          <w:b w:val="0"/>
          <w:sz w:val="32"/>
        </w:rPr>
        <w:t>九、《财政拨款“三公”经费支出决算表》</w:t>
      </w:r>
    </w:p>
    <w:p w14:paraId="45CFA3A5">
      <w:pPr>
        <w:spacing w:line="240" w:lineRule="auto"/>
        <w:ind w:firstLine="640"/>
        <w:jc w:val="both"/>
      </w:pPr>
    </w:p>
    <w:p w14:paraId="0AD8306E">
      <w:pPr>
        <w:spacing w:line="240" w:lineRule="auto"/>
        <w:ind w:firstLine="640"/>
        <w:jc w:val="both"/>
      </w:pPr>
    </w:p>
    <w:p w14:paraId="0A6EE892">
      <w:pPr>
        <w:spacing w:line="240" w:lineRule="auto"/>
        <w:ind w:firstLine="640"/>
        <w:jc w:val="both"/>
      </w:pPr>
    </w:p>
    <w:p w14:paraId="006E447B">
      <w:pPr>
        <w:spacing w:line="240" w:lineRule="auto"/>
        <w:ind w:firstLine="640"/>
        <w:jc w:val="both"/>
      </w:pPr>
    </w:p>
    <w:p w14:paraId="15975BB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83F4652-84C5-4047-880B-5BD358C3970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7F4B148-5B87-47E4-8B1A-86A03A94DA58}"/>
  </w:font>
  <w:font w:name="仿宋_GB2312">
    <w:panose1 w:val="02010609030101010101"/>
    <w:charset w:val="86"/>
    <w:family w:val="modern"/>
    <w:pitch w:val="default"/>
    <w:sig w:usb0="00000001" w:usb1="080E0000" w:usb2="00000000" w:usb3="00000000" w:csb0="00040000" w:csb1="00000000"/>
    <w:embedRegular r:id="rId3" w:fontKey="{B15A2EB7-35F1-46E2-815B-08D2D03C707A}"/>
  </w:font>
  <w:font w:name="楷体_GB2312">
    <w:panose1 w:val="02010609030101010101"/>
    <w:charset w:val="86"/>
    <w:family w:val="auto"/>
    <w:pitch w:val="default"/>
    <w:sig w:usb0="00000001" w:usb1="080E0000" w:usb2="00000000" w:usb3="00000000" w:csb0="00040000" w:csb1="00000000"/>
    <w:embedRegular r:id="rId4" w:fontKey="{22E8E324-54B8-4E93-AFFB-0FF1255B6BE6}"/>
  </w:font>
  <w:font w:name="WPSEMBED31">
    <w:panose1 w:val="02010609030101010101"/>
    <w:charset w:val="86"/>
    <w:family w:val="auto"/>
    <w:pitch w:val="default"/>
    <w:sig w:usb0="00000001" w:usb1="080E0000" w:usb2="00000000" w:usb3="00000000" w:csb0="00040000" w:csb1="00000000"/>
  </w:font>
  <w:font w:name="WPSEMBED3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99362C"/>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3734A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455A01"/>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5384</Words>
  <Characters>6054</Characters>
  <Lines>0</Lines>
  <Paragraphs>0</Paragraphs>
  <TotalTime>8</TotalTime>
  <ScaleCrop>false</ScaleCrop>
  <LinksUpToDate>false</LinksUpToDate>
  <CharactersWithSpaces>6062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2025-10-31T09:52:39Z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