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托里县卫生健康委员会2024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63811664">
      <w:r>
        <w:br w:type="page"/>
      </w:r>
    </w:p>
    <w:p w14:paraId="3422D0B6">
      <w:pPr>
        <w:spacing w:line="640" w:lineRule="exact"/>
        <w:jc w:val="center"/>
        <w:outlineLvl w:val="1"/>
      </w:pPr>
      <w:r>
        <w:rPr>
          <w:rFonts w:ascii="黑体" w:hAnsi="黑体" w:eastAsia="黑体"/>
          <w:sz w:val="32"/>
        </w:rPr>
        <w:t>第一部分 单位概况</w:t>
      </w:r>
    </w:p>
    <w:p w14:paraId="5FF2D4CA">
      <w:pPr>
        <w:spacing w:line="640" w:lineRule="exact"/>
        <w:ind w:firstLine="640"/>
        <w:jc w:val="both"/>
        <w:outlineLvl w:val="2"/>
      </w:pPr>
      <w:r>
        <w:rPr>
          <w:rFonts w:ascii="黑体" w:hAnsi="黑体" w:eastAsia="黑体"/>
          <w:sz w:val="32"/>
        </w:rPr>
        <w:t>一、主要职能</w:t>
      </w:r>
    </w:p>
    <w:p w14:paraId="55CA988B">
      <w:pPr>
        <w:spacing w:line="580" w:lineRule="exact"/>
        <w:ind w:firstLine="640"/>
        <w:jc w:val="both"/>
      </w:pPr>
      <w:r>
        <w:rPr>
          <w:rFonts w:ascii="仿宋_GB2312" w:hAnsi="仿宋_GB2312" w:eastAsia="仿宋_GB2312"/>
          <w:sz w:val="32"/>
        </w:rPr>
        <w:t>（一）贯彻落实国家有关国民健康的政策、卫生健康事业发展和中医药事业发展的法律法规、政策、规划和标准。拟订全县卫生健康事业发展相关政策、规划并组织实施，统筹规划卫生健康资源配置,指导区域卫生健康规划的编制和实施。制定并组织实施推进卫生健康基本公共服务均等化、普惠化、便捷化和公共资源向基层延伸等政策措施，完善基层运行新机制和乡村医生管理制度。</w:t>
      </w:r>
    </w:p>
    <w:p w14:paraId="1262D9DE">
      <w:pPr>
        <w:spacing w:line="580" w:lineRule="exact"/>
        <w:ind w:firstLine="640"/>
        <w:jc w:val="both"/>
      </w:pPr>
      <w:r>
        <w:rPr>
          <w:rFonts w:ascii="仿宋_GB2312" w:hAnsi="仿宋_GB2312" w:eastAsia="仿宋_GB2312"/>
          <w:sz w:val="32"/>
        </w:rPr>
        <w:t>（二）落实公立医院党建工作责任。指导协调全县卫生健康行业党的建设工作，统筹推进全县公立医院、基层医疗卫生机构、计生服务机构、民营医疗机构等党的建设工作。建立公立医院党建目标责任制和党建工作质量评价考核制度。</w:t>
      </w:r>
    </w:p>
    <w:p w14:paraId="360A30D7">
      <w:pPr>
        <w:spacing w:line="580" w:lineRule="exact"/>
        <w:ind w:firstLine="640"/>
        <w:jc w:val="both"/>
      </w:pPr>
      <w:r>
        <w:rPr>
          <w:rFonts w:ascii="仿宋_GB2312" w:hAnsi="仿宋_GB2312" w:eastAsia="仿宋_GB2312"/>
          <w:sz w:val="32"/>
        </w:rPr>
        <w:t>（三）协调推进全县深化医药卫生体制改革,研究提出深化全县医药卫生体制改革政策、措施的建议。组织深化全市公立医院综合改革,推进管办分离,健全现代医院管理制度,制定并组织实施推动卫生健康公共服务提供主体多元化、提供方式多样化的政策措施,提出医疗服务和药品价格政策的建议。</w:t>
      </w:r>
    </w:p>
    <w:p w14:paraId="735C46F0">
      <w:pPr>
        <w:spacing w:line="580" w:lineRule="exact"/>
        <w:ind w:firstLine="640"/>
        <w:jc w:val="both"/>
      </w:pPr>
      <w:r>
        <w:rPr>
          <w:rFonts w:ascii="仿宋_GB2312" w:hAnsi="仿宋_GB2312" w:eastAsia="仿宋_GB2312"/>
          <w:sz w:val="32"/>
        </w:rPr>
        <w:t>（四）贯彻执行国家免疫规划，制定并组织落实疾病预防控制规划以及严重危害人民健康公共卫生问题的干预措施。完善疾病预防控制体系。</w:t>
      </w:r>
    </w:p>
    <w:p w14:paraId="74FE3B15">
      <w:pPr>
        <w:spacing w:line="580" w:lineRule="exact"/>
        <w:ind w:firstLine="640"/>
        <w:jc w:val="both"/>
      </w:pPr>
      <w:r>
        <w:rPr>
          <w:rFonts w:ascii="仿宋_GB2312" w:hAnsi="仿宋_GB2312" w:eastAsia="仿宋_GB2312"/>
          <w:sz w:val="32"/>
        </w:rPr>
        <w:t>（五）负责卫生应急工作。指导卫生应急体系和能力建设。组织和指导突发公共卫生事件的预防控制、应急处置和各类突发公共事件的医疗卫生救援。根据授权发布突发公共卫生事件应急处置信息。</w:t>
      </w:r>
    </w:p>
    <w:p w14:paraId="11A2B38F">
      <w:pPr>
        <w:spacing w:line="580" w:lineRule="exact"/>
        <w:ind w:firstLine="640"/>
        <w:jc w:val="both"/>
      </w:pPr>
      <w:r>
        <w:rPr>
          <w:rFonts w:ascii="仿宋_GB2312" w:hAnsi="仿宋_GB2312" w:eastAsia="仿宋_GB2312"/>
          <w:sz w:val="32"/>
        </w:rPr>
        <w:t>（六）组织拟订并协调落实应对人口老龄化政策措施,负责推进老年健康服务体系建设和医养结合工作。</w:t>
      </w:r>
    </w:p>
    <w:p w14:paraId="625E6688">
      <w:pPr>
        <w:spacing w:line="580" w:lineRule="exact"/>
        <w:ind w:firstLine="640"/>
        <w:jc w:val="both"/>
      </w:pPr>
      <w:r>
        <w:rPr>
          <w:rFonts w:ascii="仿宋_GB2312" w:hAnsi="仿宋_GB2312" w:eastAsia="仿宋_GB2312"/>
          <w:sz w:val="32"/>
        </w:rPr>
        <w:t>（七）贯彻落实国家药物政策和国家基本药物制度,组织拟订全县药物使用的相关政策措施，开展药品使用监测、临床综合评价和短缺药品预警,提出我县基本药物价格政策的建议。</w:t>
      </w:r>
    </w:p>
    <w:p w14:paraId="340D87B7">
      <w:pPr>
        <w:spacing w:line="580" w:lineRule="exact"/>
        <w:ind w:firstLine="640"/>
        <w:jc w:val="both"/>
      </w:pPr>
      <w:r>
        <w:rPr>
          <w:rFonts w:ascii="仿宋_GB2312" w:hAnsi="仿宋_GB2312" w:eastAsia="仿宋_GB2312"/>
          <w:sz w:val="32"/>
        </w:rPr>
        <w:t>（八）负责卫生健康系统安全管理工作，负责职责范围内的生态环境保护工作，承担职业健康管理职责。负责职责范围内的职业卫生、放射卫生、环境卫生、学校卫生、公共场所卫生、饮用水卫生等公共卫生的监督管理,负责传染病防治监督,健全卫生健康综合监督体系。</w:t>
      </w:r>
    </w:p>
    <w:p w14:paraId="4E837B61">
      <w:pPr>
        <w:spacing w:line="580" w:lineRule="exact"/>
        <w:ind w:firstLine="640"/>
        <w:jc w:val="both"/>
      </w:pPr>
      <w:r>
        <w:rPr>
          <w:rFonts w:ascii="仿宋_GB2312" w:hAnsi="仿宋_GB2312" w:eastAsia="仿宋_GB2312"/>
          <w:sz w:val="32"/>
        </w:rPr>
        <w:t>（九）制定医疗机构、医疗服务行业管理办法并监督实施,建立医疗服务评价和监督管理体系。制定并组织实施医疗服务规范、标准和卫生健康专业技术人员执业规则、服务规范。协调医疗投诉、纠纷的处置。</w:t>
      </w:r>
    </w:p>
    <w:p w14:paraId="3A86AF61">
      <w:pPr>
        <w:spacing w:line="580" w:lineRule="exact"/>
        <w:ind w:firstLine="640"/>
        <w:jc w:val="both"/>
      </w:pPr>
      <w:r>
        <w:rPr>
          <w:rFonts w:ascii="仿宋_GB2312" w:hAnsi="仿宋_GB2312" w:eastAsia="仿宋_GB2312"/>
          <w:sz w:val="32"/>
        </w:rPr>
        <w:t>（十）负责</w:t>
      </w:r>
      <w:r>
        <w:rPr>
          <w:rFonts w:hint="eastAsia" w:ascii="仿宋_GB2312" w:hAnsi="仿宋_GB2312" w:eastAsia="仿宋_GB2312"/>
          <w:sz w:val="32"/>
          <w:lang w:val="en-US" w:eastAsia="zh-CN"/>
        </w:rPr>
        <w:t>计生</w:t>
      </w:r>
      <w:r>
        <w:rPr>
          <w:rFonts w:ascii="仿宋_GB2312" w:hAnsi="仿宋_GB2312" w:eastAsia="仿宋_GB2312"/>
          <w:sz w:val="32"/>
        </w:rPr>
        <w:t>管理和服务工作,开展全县人口监测预警,研究提出全县人口与家庭发展相关政策建议。</w:t>
      </w:r>
    </w:p>
    <w:p w14:paraId="116FBD01">
      <w:pPr>
        <w:spacing w:line="580" w:lineRule="exact"/>
        <w:ind w:firstLine="640"/>
        <w:jc w:val="both"/>
      </w:pPr>
      <w:r>
        <w:rPr>
          <w:rFonts w:ascii="仿宋_GB2312" w:hAnsi="仿宋_GB2312" w:eastAsia="仿宋_GB2312"/>
          <w:sz w:val="32"/>
        </w:rPr>
        <w:t>（十一）指导全县卫生健康工作,指导全县卫生健康人才队伍建设，指导基层医疗卫生、妇幼健康服务体系和全科医生队伍建设。推进卫生健康科技创新发展。</w:t>
      </w:r>
    </w:p>
    <w:p w14:paraId="0E1290BA">
      <w:pPr>
        <w:spacing w:line="580" w:lineRule="exact"/>
        <w:ind w:firstLine="640"/>
        <w:jc w:val="both"/>
      </w:pPr>
      <w:r>
        <w:rPr>
          <w:rFonts w:ascii="仿宋_GB2312" w:hAnsi="仿宋_GB2312" w:eastAsia="仿宋_GB2312"/>
          <w:sz w:val="32"/>
        </w:rPr>
        <w:t>（十二）负责全县重要会议与重大活动的医疗卫生保障工作。</w:t>
      </w:r>
    </w:p>
    <w:p w14:paraId="41E76219">
      <w:pPr>
        <w:spacing w:line="580" w:lineRule="exact"/>
        <w:ind w:firstLine="640"/>
        <w:jc w:val="both"/>
      </w:pPr>
      <w:r>
        <w:rPr>
          <w:rFonts w:ascii="仿宋_GB2312" w:hAnsi="仿宋_GB2312" w:eastAsia="仿宋_GB2312"/>
          <w:sz w:val="32"/>
        </w:rPr>
        <w:t>（十三）制定全县中医药中长期发展规划和中医药养生保健规划，并组织实施。</w:t>
      </w:r>
    </w:p>
    <w:p w14:paraId="43056486">
      <w:pPr>
        <w:spacing w:line="580" w:lineRule="exact"/>
        <w:ind w:firstLine="640"/>
        <w:jc w:val="both"/>
      </w:pPr>
      <w:r>
        <w:rPr>
          <w:rFonts w:ascii="仿宋_GB2312" w:hAnsi="仿宋_GB2312" w:eastAsia="仿宋_GB2312"/>
          <w:sz w:val="32"/>
        </w:rPr>
        <w:t>（十四）承担县老龄工作委员会日常工作。指导县</w:t>
      </w:r>
      <w:r>
        <w:rPr>
          <w:rFonts w:hint="eastAsia" w:ascii="仿宋_GB2312" w:hAnsi="仿宋_GB2312" w:eastAsia="仿宋_GB2312"/>
          <w:sz w:val="32"/>
          <w:lang w:val="en-US" w:eastAsia="zh-CN"/>
        </w:rPr>
        <w:t>计生</w:t>
      </w:r>
      <w:r>
        <w:rPr>
          <w:rFonts w:ascii="仿宋_GB2312" w:hAnsi="仿宋_GB2312" w:eastAsia="仿宋_GB2312"/>
          <w:sz w:val="32"/>
        </w:rPr>
        <w:t>协会的业务工作。</w:t>
      </w:r>
    </w:p>
    <w:p w14:paraId="21024DC0">
      <w:pPr>
        <w:spacing w:line="580" w:lineRule="exact"/>
        <w:ind w:firstLine="640"/>
        <w:jc w:val="both"/>
      </w:pPr>
      <w:r>
        <w:rPr>
          <w:rFonts w:ascii="仿宋_GB2312" w:hAnsi="仿宋_GB2312" w:eastAsia="仿宋_GB2312"/>
          <w:sz w:val="32"/>
        </w:rPr>
        <w:t>（十五）完成县委、县政府交办的其他任务。</w:t>
      </w:r>
    </w:p>
    <w:p w14:paraId="6E281996">
      <w:pPr>
        <w:spacing w:line="580" w:lineRule="exact"/>
        <w:ind w:firstLine="640"/>
        <w:jc w:val="both"/>
      </w:pPr>
      <w:r>
        <w:rPr>
          <w:rFonts w:ascii="仿宋_GB2312" w:hAnsi="仿宋_GB2312" w:eastAsia="仿宋_GB2312"/>
          <w:sz w:val="32"/>
        </w:rPr>
        <w:t>（十六）职能转变。县卫生健康委员会应当牢固树立大卫生、大健康理念，推动实施健康中国战略，推进健康樟树建设，以改革创新为动力,以促健康、转模式、强基层、重保障为着力点，把以治病为中心转变到以人民健康为中心，为人民群众提供全方位全周期健康服务。一是更加注重预防为主和健康促进，加强预防控制重大疾病工作，积极应对人口老龄化，健全健康服务体系。二是更加注重工作重心下移和资源下沉，推进卫生健康公共资源向基层</w:t>
      </w:r>
      <w:r>
        <w:rPr>
          <w:rFonts w:hint="eastAsia" w:ascii="仿宋_GB2312" w:hAnsi="仿宋_GB2312" w:eastAsia="仿宋_GB2312"/>
          <w:sz w:val="32"/>
          <w:lang w:eastAsia="zh-CN"/>
        </w:rPr>
        <w:t>延伸</w:t>
      </w:r>
      <w:r>
        <w:rPr>
          <w:rFonts w:ascii="仿宋_GB2312" w:hAnsi="仿宋_GB2312" w:eastAsia="仿宋_GB2312"/>
          <w:sz w:val="32"/>
        </w:rPr>
        <w:t>、向农村</w:t>
      </w:r>
      <w:r>
        <w:rPr>
          <w:rFonts w:hint="eastAsia" w:ascii="仿宋_GB2312" w:hAnsi="仿宋_GB2312" w:eastAsia="仿宋_GB2312"/>
          <w:sz w:val="32"/>
          <w:lang w:eastAsia="zh-CN"/>
        </w:rPr>
        <w:t>覆盖</w:t>
      </w:r>
      <w:r>
        <w:rPr>
          <w:rFonts w:ascii="仿宋_GB2312" w:hAnsi="仿宋_GB2312" w:eastAsia="仿宋_GB2312"/>
          <w:sz w:val="32"/>
        </w:rPr>
        <w:t>、向艰苦地区和生活</w:t>
      </w:r>
      <w:r>
        <w:rPr>
          <w:rFonts w:hint="eastAsia" w:ascii="仿宋_GB2312" w:hAnsi="仿宋_GB2312" w:eastAsia="仿宋_GB2312"/>
          <w:sz w:val="32"/>
          <w:lang w:eastAsia="zh-CN"/>
        </w:rPr>
        <w:t>困难群众</w:t>
      </w:r>
      <w:r>
        <w:rPr>
          <w:rFonts w:ascii="仿宋_GB2312" w:hAnsi="仿宋_GB2312" w:eastAsia="仿宋_GB2312"/>
          <w:sz w:val="32"/>
        </w:rPr>
        <w:t>倾斜。三是更加注重提高服务质量和水平，推进卫生健康基本公共服务均等化、</w:t>
      </w:r>
      <w:r>
        <w:rPr>
          <w:rFonts w:hint="eastAsia" w:ascii="仿宋_GB2312" w:hAnsi="仿宋_GB2312" w:eastAsia="仿宋_GB2312"/>
          <w:sz w:val="32"/>
          <w:lang w:eastAsia="zh-CN"/>
        </w:rPr>
        <w:t>普惠</w:t>
      </w:r>
      <w:r>
        <w:rPr>
          <w:rFonts w:ascii="仿宋_GB2312" w:hAnsi="仿宋_GB2312" w:eastAsia="仿宋_GB2312"/>
          <w:sz w:val="32"/>
        </w:rPr>
        <w:t>化、便捷化。四是协调推进深化医药卫生体制改革，加大公立医院改革</w:t>
      </w:r>
      <w:r>
        <w:rPr>
          <w:rFonts w:hint="eastAsia" w:ascii="仿宋_GB2312" w:hAnsi="仿宋_GB2312" w:eastAsia="仿宋_GB2312"/>
          <w:sz w:val="32"/>
          <w:lang w:eastAsia="zh-CN"/>
        </w:rPr>
        <w:t>力度</w:t>
      </w:r>
      <w:r>
        <w:rPr>
          <w:rFonts w:ascii="仿宋_GB2312" w:hAnsi="仿宋_GB2312" w:eastAsia="仿宋_GB2312"/>
          <w:sz w:val="32"/>
        </w:rPr>
        <w:t>，推进管办分离，推动卫生健康公共服务提供主体多元化、提供方式多样化。</w:t>
      </w:r>
    </w:p>
    <w:p w14:paraId="18826D50">
      <w:pPr>
        <w:spacing w:line="640" w:lineRule="exact"/>
        <w:ind w:firstLine="640"/>
        <w:jc w:val="both"/>
        <w:outlineLvl w:val="2"/>
      </w:pPr>
      <w:r>
        <w:rPr>
          <w:rFonts w:ascii="黑体" w:hAnsi="黑体" w:eastAsia="黑体"/>
          <w:sz w:val="32"/>
        </w:rPr>
        <w:t>二、机构设置及人员情况</w:t>
      </w:r>
    </w:p>
    <w:p w14:paraId="3CF7C65D">
      <w:pPr>
        <w:spacing w:line="580" w:lineRule="exact"/>
        <w:ind w:firstLine="640"/>
        <w:jc w:val="both"/>
      </w:pPr>
      <w:r>
        <w:rPr>
          <w:rFonts w:ascii="仿宋_GB2312" w:hAnsi="仿宋_GB2312" w:eastAsia="仿宋_GB2312"/>
          <w:sz w:val="32"/>
        </w:rPr>
        <w:t>托里县卫生健康委员会2024年度，实有人数52人，其中：在职人员23人，增加2人；离休人员0人，增加0人；退休人员29人,增加0人。</w:t>
      </w:r>
    </w:p>
    <w:p w14:paraId="524FC264">
      <w:pPr>
        <w:spacing w:line="580" w:lineRule="exact"/>
        <w:ind w:firstLine="640"/>
        <w:jc w:val="both"/>
      </w:pPr>
      <w:r>
        <w:rPr>
          <w:rFonts w:ascii="仿宋_GB2312" w:hAnsi="仿宋_GB2312" w:eastAsia="仿宋_GB2312"/>
          <w:sz w:val="32"/>
        </w:rPr>
        <w:t>托里县卫生健康委员会无下属预算单位，下设7个科室，分别是：财务科、基本公卫科、农村卫生科、医政医管科、办公室、计划生育科、党风廉政科。</w:t>
      </w:r>
    </w:p>
    <w:p w14:paraId="30942306">
      <w:r>
        <w:br w:type="page"/>
      </w:r>
    </w:p>
    <w:p w14:paraId="22D1C036">
      <w:pPr>
        <w:spacing w:line="240" w:lineRule="auto"/>
        <w:jc w:val="center"/>
        <w:outlineLvl w:val="1"/>
      </w:pPr>
      <w:r>
        <w:rPr>
          <w:rFonts w:ascii="黑体" w:hAnsi="黑体" w:eastAsia="黑体"/>
          <w:sz w:val="32"/>
        </w:rPr>
        <w:t>第二部分 部门决算情况说明</w:t>
      </w:r>
    </w:p>
    <w:p w14:paraId="71E3152B">
      <w:pPr>
        <w:spacing w:line="640" w:lineRule="exact"/>
        <w:ind w:firstLine="640"/>
        <w:jc w:val="both"/>
        <w:outlineLvl w:val="2"/>
      </w:pPr>
      <w:r>
        <w:rPr>
          <w:rFonts w:ascii="黑体" w:hAnsi="黑体" w:eastAsia="黑体"/>
          <w:sz w:val="32"/>
        </w:rPr>
        <w:t>一、收入支出决算总体情况说明</w:t>
      </w:r>
    </w:p>
    <w:p w14:paraId="2D6EC862">
      <w:pPr>
        <w:spacing w:line="580" w:lineRule="exact"/>
        <w:ind w:firstLine="640"/>
        <w:jc w:val="both"/>
      </w:pPr>
      <w:r>
        <w:rPr>
          <w:rFonts w:ascii="仿宋_GB2312" w:hAnsi="仿宋_GB2312" w:eastAsia="仿宋_GB2312"/>
          <w:b/>
          <w:sz w:val="32"/>
        </w:rPr>
        <w:t>2024年度收入总计4,758.71万元，</w:t>
      </w:r>
      <w:r>
        <w:rPr>
          <w:rFonts w:ascii="仿宋_GB2312" w:hAnsi="仿宋_GB2312" w:eastAsia="仿宋_GB2312"/>
          <w:b w:val="0"/>
          <w:sz w:val="32"/>
        </w:rPr>
        <w:t>其中：本年收入合计4,753.43万元，使用非财政拨款结余（含专用结余）0.00万元，年初结转和结余5.29万元。</w:t>
      </w:r>
    </w:p>
    <w:p w14:paraId="5D27B06D">
      <w:pPr>
        <w:spacing w:line="580" w:lineRule="exact"/>
        <w:ind w:firstLine="640"/>
        <w:jc w:val="both"/>
      </w:pPr>
      <w:r>
        <w:rPr>
          <w:rFonts w:ascii="仿宋_GB2312" w:hAnsi="仿宋_GB2312" w:eastAsia="仿宋_GB2312"/>
          <w:b/>
          <w:sz w:val="32"/>
        </w:rPr>
        <w:t>2024年度支出总计4,758.71万元，</w:t>
      </w:r>
      <w:r>
        <w:rPr>
          <w:rFonts w:ascii="仿宋_GB2312" w:hAnsi="仿宋_GB2312" w:eastAsia="仿宋_GB2312"/>
          <w:b w:val="0"/>
          <w:sz w:val="32"/>
        </w:rPr>
        <w:t>其中：本年支出合计4,111.17万元，结余分配0.00万元，年末结转和结余647.55万元。</w:t>
      </w:r>
    </w:p>
    <w:p w14:paraId="0F63A313">
      <w:pPr>
        <w:spacing w:line="580" w:lineRule="exact"/>
        <w:ind w:firstLine="640"/>
        <w:jc w:val="both"/>
      </w:pPr>
      <w:r>
        <w:rPr>
          <w:rFonts w:ascii="仿宋_GB2312" w:hAnsi="仿宋_GB2312" w:eastAsia="仿宋_GB2312"/>
          <w:b w:val="0"/>
          <w:sz w:val="32"/>
        </w:rPr>
        <w:t>收入支出总体与上年相比，增加293.01万元，增长6.56%，主要原因是：本年增加托里</w:t>
      </w:r>
      <w:r>
        <w:rPr>
          <w:rFonts w:hint="eastAsia" w:ascii="仿宋_GB2312" w:hAnsi="仿宋_GB2312" w:eastAsia="仿宋_GB2312"/>
          <w:b w:val="0"/>
          <w:sz w:val="32"/>
          <w:lang w:eastAsia="zh-CN"/>
        </w:rPr>
        <w:t>县委组织部</w:t>
      </w:r>
      <w:r>
        <w:rPr>
          <w:rFonts w:ascii="仿宋_GB2312" w:hAnsi="仿宋_GB2312" w:eastAsia="仿宋_GB2312"/>
          <w:b w:val="0"/>
          <w:sz w:val="32"/>
        </w:rPr>
        <w:t>划拨支持基层党组织做好防疫防控工作经费、辽宁本溪援疆资金</w:t>
      </w:r>
      <w:r>
        <w:rPr>
          <w:rFonts w:hint="eastAsia" w:ascii="仿宋_GB2312" w:hAnsi="仿宋_GB2312" w:eastAsia="仿宋_GB2312"/>
          <w:b w:val="0"/>
          <w:sz w:val="32"/>
          <w:lang w:eastAsia="zh-CN"/>
        </w:rPr>
        <w:t>－</w:t>
      </w:r>
      <w:r>
        <w:rPr>
          <w:rFonts w:ascii="仿宋_GB2312" w:hAnsi="仿宋_GB2312" w:eastAsia="仿宋_GB2312"/>
          <w:b w:val="0"/>
          <w:sz w:val="32"/>
        </w:rPr>
        <w:t>托里县老年人活动中心（专业技术人才活动中心）建设项目、存量资金安排的2022年计生宣传员补助地方配套资金。</w:t>
      </w:r>
    </w:p>
    <w:p w14:paraId="3DC0EDAA">
      <w:pPr>
        <w:spacing w:line="640" w:lineRule="exact"/>
        <w:ind w:firstLine="640"/>
        <w:jc w:val="both"/>
        <w:outlineLvl w:val="2"/>
      </w:pPr>
      <w:r>
        <w:rPr>
          <w:rFonts w:ascii="黑体" w:hAnsi="黑体" w:eastAsia="黑体"/>
          <w:sz w:val="32"/>
        </w:rPr>
        <w:t>二、收入决算情况说明</w:t>
      </w:r>
    </w:p>
    <w:p w14:paraId="0FCECBBE">
      <w:pPr>
        <w:spacing w:line="580" w:lineRule="exact"/>
        <w:ind w:firstLine="640"/>
        <w:jc w:val="both"/>
      </w:pPr>
      <w:r>
        <w:rPr>
          <w:rFonts w:ascii="仿宋_GB2312" w:hAnsi="仿宋_GB2312" w:eastAsia="仿宋_GB2312"/>
          <w:b/>
          <w:sz w:val="32"/>
        </w:rPr>
        <w:t>本年收入4,753.43万元，</w:t>
      </w:r>
      <w:r>
        <w:rPr>
          <w:rFonts w:ascii="仿宋_GB2312" w:hAnsi="仿宋_GB2312" w:eastAsia="仿宋_GB2312"/>
          <w:b w:val="0"/>
          <w:sz w:val="32"/>
        </w:rPr>
        <w:t>其中：财政拨款收入2,001.84万元，占42.11%；上级补助收入0.00万元，占0.00%；事业收入0.00万元，占0.00%；经营收入0.00万元，占0.00%；附属单位上缴收入0.00万元，占0.00%；其他收入2,751.59万元，占57.89%。</w:t>
      </w:r>
    </w:p>
    <w:p w14:paraId="5B1DAD55">
      <w:pPr>
        <w:spacing w:line="640" w:lineRule="exact"/>
        <w:ind w:firstLine="640"/>
        <w:jc w:val="both"/>
        <w:outlineLvl w:val="2"/>
      </w:pPr>
      <w:r>
        <w:rPr>
          <w:rFonts w:ascii="黑体" w:hAnsi="黑体" w:eastAsia="黑体"/>
          <w:sz w:val="32"/>
        </w:rPr>
        <w:t>三、支出决算情况说明</w:t>
      </w:r>
    </w:p>
    <w:p w14:paraId="11A0CB0E">
      <w:pPr>
        <w:spacing w:line="580" w:lineRule="exact"/>
        <w:ind w:firstLine="640"/>
        <w:jc w:val="both"/>
      </w:pPr>
      <w:r>
        <w:rPr>
          <w:rFonts w:ascii="仿宋_GB2312" w:hAnsi="仿宋_GB2312" w:eastAsia="仿宋_GB2312"/>
          <w:b/>
          <w:sz w:val="32"/>
        </w:rPr>
        <w:t>本年支出4,111.17万元，</w:t>
      </w:r>
      <w:r>
        <w:rPr>
          <w:rFonts w:ascii="仿宋_GB2312" w:hAnsi="仿宋_GB2312" w:eastAsia="仿宋_GB2312"/>
          <w:b w:val="0"/>
          <w:sz w:val="32"/>
        </w:rPr>
        <w:t>其中：基本支出430.13万元，占10.46%；项目支出3,681.04万元，占89.54%；上缴上级支出0.00万元，占0.00%；经营支出0.00万元，占0.00%；对附属单位补助支出0.00万元，占0.00%。</w:t>
      </w:r>
    </w:p>
    <w:p w14:paraId="1783E8AF">
      <w:pPr>
        <w:spacing w:line="640" w:lineRule="exact"/>
        <w:ind w:firstLine="640"/>
        <w:jc w:val="both"/>
        <w:outlineLvl w:val="2"/>
      </w:pPr>
      <w:r>
        <w:rPr>
          <w:rFonts w:ascii="黑体" w:hAnsi="黑体" w:eastAsia="黑体"/>
          <w:sz w:val="32"/>
        </w:rPr>
        <w:t>四、财政拨款收入支出决算总体情况说明</w:t>
      </w:r>
    </w:p>
    <w:p w14:paraId="417E5AE4">
      <w:pPr>
        <w:spacing w:line="580" w:lineRule="exact"/>
        <w:ind w:firstLine="640"/>
        <w:jc w:val="both"/>
      </w:pPr>
      <w:r>
        <w:rPr>
          <w:rFonts w:ascii="仿宋_GB2312" w:hAnsi="仿宋_GB2312" w:eastAsia="仿宋_GB2312"/>
          <w:b/>
          <w:sz w:val="32"/>
        </w:rPr>
        <w:t>2024年度财政拨款收入总计2,006.84万元，</w:t>
      </w:r>
      <w:r>
        <w:rPr>
          <w:rFonts w:ascii="仿宋_GB2312" w:hAnsi="仿宋_GB2312" w:eastAsia="仿宋_GB2312"/>
          <w:b w:val="0"/>
          <w:sz w:val="32"/>
        </w:rPr>
        <w:t>其中：年初财政拨款结转和结余5.00万元，本年财政拨款收入2,001.84万元。</w:t>
      </w:r>
      <w:r>
        <w:rPr>
          <w:rFonts w:ascii="仿宋_GB2312" w:hAnsi="仿宋_GB2312" w:eastAsia="仿宋_GB2312"/>
          <w:b/>
          <w:sz w:val="32"/>
        </w:rPr>
        <w:t>财政拨款支出总计2,006.84万元，</w:t>
      </w:r>
      <w:r>
        <w:rPr>
          <w:rFonts w:ascii="仿宋_GB2312" w:hAnsi="仿宋_GB2312" w:eastAsia="仿宋_GB2312"/>
          <w:b w:val="0"/>
          <w:sz w:val="32"/>
        </w:rPr>
        <w:t>其中：年末财政拨款结转和结余5.00万元，本年财政拨款支出2,001.84万元。</w:t>
      </w:r>
    </w:p>
    <w:p w14:paraId="0C50D88E">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减少1,746.79万元，下降46.54%，主要原因是：本年减少中央防疫防控能力补助项目，主要用于托里县防疫防控核酸试剂耗材补助、</w:t>
      </w:r>
      <w:r>
        <w:rPr>
          <w:rFonts w:hint="eastAsia" w:ascii="仿宋_GB2312" w:hAnsi="仿宋_GB2312" w:eastAsia="仿宋_GB2312"/>
          <w:b w:val="0"/>
          <w:sz w:val="32"/>
          <w:lang w:eastAsia="zh-CN"/>
        </w:rPr>
        <w:t>防疫</w:t>
      </w:r>
      <w:r>
        <w:rPr>
          <w:rFonts w:ascii="仿宋_GB2312" w:hAnsi="仿宋_GB2312" w:eastAsia="仿宋_GB2312"/>
          <w:b w:val="0"/>
          <w:sz w:val="32"/>
        </w:rPr>
        <w:t>防控办公费及设备购置等经费、全民健康体检设备采购项目，导致</w:t>
      </w:r>
      <w:r>
        <w:rPr>
          <w:rFonts w:hint="eastAsia" w:ascii="仿宋_GB2312" w:hAnsi="仿宋_GB2312" w:eastAsia="仿宋_GB2312"/>
          <w:b w:val="0"/>
          <w:sz w:val="32"/>
          <w:lang w:val="en-US" w:eastAsia="zh-CN"/>
        </w:rPr>
        <w:t>经费较上年减少</w:t>
      </w:r>
      <w:r>
        <w:rPr>
          <w:rFonts w:ascii="仿宋_GB2312" w:hAnsi="仿宋_GB2312" w:eastAsia="仿宋_GB2312"/>
          <w:b w:val="0"/>
          <w:sz w:val="32"/>
        </w:rPr>
        <w:t>。</w:t>
      </w:r>
      <w:r>
        <w:rPr>
          <w:rFonts w:ascii="仿宋_GB2312" w:hAnsi="仿宋_GB2312" w:eastAsia="仿宋_GB2312"/>
          <w:b/>
          <w:sz w:val="32"/>
        </w:rPr>
        <w:t>与年初预算相比，</w:t>
      </w:r>
      <w:r>
        <w:rPr>
          <w:rFonts w:ascii="仿宋_GB2312" w:hAnsi="仿宋_GB2312" w:eastAsia="仿宋_GB2312"/>
          <w:b w:val="0"/>
          <w:sz w:val="32"/>
        </w:rPr>
        <w:t>年初预算数1,678.90万元，决算数2,006.84万元，预决算差异率19.53%，主要原因是：本年在职人员增加，年中追加人员经费及人员工资、社保、公积金基数调增部分资金，年中追加2024年乡村医生生活补助，导致预决算存在差异。</w:t>
      </w:r>
    </w:p>
    <w:p w14:paraId="31B5454E">
      <w:pPr>
        <w:spacing w:line="640" w:lineRule="exact"/>
        <w:ind w:firstLine="640"/>
        <w:jc w:val="both"/>
        <w:outlineLvl w:val="2"/>
      </w:pPr>
      <w:r>
        <w:rPr>
          <w:rFonts w:ascii="黑体" w:hAnsi="黑体" w:eastAsia="黑体"/>
          <w:sz w:val="32"/>
        </w:rPr>
        <w:t>五、一般公共预算财政拨款支出决算情况说明</w:t>
      </w:r>
    </w:p>
    <w:p w14:paraId="4DE11EFF">
      <w:pPr>
        <w:spacing w:line="640" w:lineRule="exact"/>
        <w:ind w:firstLine="640"/>
        <w:jc w:val="both"/>
        <w:outlineLvl w:val="3"/>
      </w:pPr>
      <w:r>
        <w:rPr>
          <w:rFonts w:ascii="楷体_GB2312" w:hAnsi="楷体_GB2312" w:eastAsia="楷体_GB2312"/>
          <w:b/>
          <w:sz w:val="32"/>
        </w:rPr>
        <w:t>（一）一般公共预算财政拨款支出决算总体情况</w:t>
      </w:r>
    </w:p>
    <w:p w14:paraId="0FFBDA2D">
      <w:pPr>
        <w:spacing w:line="580" w:lineRule="exact"/>
        <w:ind w:firstLine="640"/>
        <w:jc w:val="both"/>
      </w:pPr>
      <w:r>
        <w:rPr>
          <w:rFonts w:ascii="仿宋_GB2312" w:hAnsi="仿宋_GB2312" w:eastAsia="仿宋_GB2312"/>
          <w:b/>
          <w:sz w:val="32"/>
        </w:rPr>
        <w:t>2024年度一般公共预算财政拨款支出1,848.26万元，</w:t>
      </w:r>
      <w:r>
        <w:rPr>
          <w:rFonts w:ascii="仿宋_GB2312" w:hAnsi="仿宋_GB2312" w:eastAsia="仿宋_GB2312"/>
          <w:b w:val="0"/>
          <w:sz w:val="32"/>
        </w:rPr>
        <w:t>占本年支出合计的44.96%。</w:t>
      </w:r>
      <w:r>
        <w:rPr>
          <w:rFonts w:ascii="仿宋_GB2312" w:hAnsi="仿宋_GB2312" w:eastAsia="仿宋_GB2312"/>
          <w:b/>
          <w:sz w:val="32"/>
        </w:rPr>
        <w:t>与上年相比，</w:t>
      </w:r>
      <w:r>
        <w:rPr>
          <w:rFonts w:ascii="仿宋_GB2312" w:hAnsi="仿宋_GB2312" w:eastAsia="仿宋_GB2312"/>
          <w:b w:val="0"/>
          <w:sz w:val="32"/>
        </w:rPr>
        <w:t>减少1,885.12万元，下降50.49%，主要原因是：本年减少中央防疫防控能力补助项目，主要用于托里县防疫防控核酸试剂耗材补助、</w:t>
      </w:r>
      <w:r>
        <w:rPr>
          <w:rFonts w:hint="eastAsia" w:ascii="仿宋_GB2312" w:hAnsi="仿宋_GB2312" w:eastAsia="仿宋_GB2312"/>
          <w:b w:val="0"/>
          <w:sz w:val="32"/>
          <w:lang w:eastAsia="zh-CN"/>
        </w:rPr>
        <w:t>防疫</w:t>
      </w:r>
      <w:r>
        <w:rPr>
          <w:rFonts w:ascii="仿宋_GB2312" w:hAnsi="仿宋_GB2312" w:eastAsia="仿宋_GB2312"/>
          <w:b w:val="0"/>
          <w:sz w:val="32"/>
        </w:rPr>
        <w:t>防控办公费及设备购置等经费、全民健康体检设备采购项目，导致</w:t>
      </w:r>
      <w:r>
        <w:rPr>
          <w:rFonts w:hint="eastAsia" w:ascii="仿宋_GB2312" w:hAnsi="仿宋_GB2312" w:eastAsia="仿宋_GB2312"/>
          <w:b w:val="0"/>
          <w:sz w:val="32"/>
          <w:lang w:val="en-US" w:eastAsia="zh-CN"/>
        </w:rPr>
        <w:t>经费较上年减少</w:t>
      </w:r>
      <w:r>
        <w:rPr>
          <w:rFonts w:ascii="仿宋_GB2312" w:hAnsi="仿宋_GB2312" w:eastAsia="仿宋_GB2312"/>
          <w:b w:val="0"/>
          <w:sz w:val="32"/>
        </w:rPr>
        <w:t>。</w:t>
      </w:r>
      <w:r>
        <w:rPr>
          <w:rFonts w:ascii="仿宋_GB2312" w:hAnsi="仿宋_GB2312" w:eastAsia="仿宋_GB2312"/>
          <w:b/>
          <w:sz w:val="32"/>
        </w:rPr>
        <w:t>与年初预算相比,</w:t>
      </w:r>
      <w:r>
        <w:rPr>
          <w:rFonts w:ascii="仿宋_GB2312" w:hAnsi="仿宋_GB2312" w:eastAsia="仿宋_GB2312"/>
          <w:b w:val="0"/>
          <w:sz w:val="32"/>
        </w:rPr>
        <w:t>年初预算数1,500.15万元，决算数1,848.26万元，预决算差异率23.21%，主要原因是：本年在职人员增加，年中追加人员经费及人员工资、社保、公积金基数调增部分资金，年中追加2024年乡村医生生活补助，导致预决算存在差异。</w:t>
      </w:r>
    </w:p>
    <w:p w14:paraId="535044AF">
      <w:pPr>
        <w:spacing w:line="640" w:lineRule="exact"/>
        <w:ind w:firstLine="640"/>
        <w:jc w:val="both"/>
        <w:outlineLvl w:val="3"/>
      </w:pPr>
      <w:r>
        <w:rPr>
          <w:rFonts w:ascii="楷体_GB2312" w:hAnsi="楷体_GB2312" w:eastAsia="楷体_GB2312"/>
          <w:b/>
          <w:sz w:val="32"/>
        </w:rPr>
        <w:t>（二）一般公共预算财政拨款支出决算结构情况</w:t>
      </w:r>
    </w:p>
    <w:p w14:paraId="47AC7256">
      <w:pPr>
        <w:spacing w:line="580" w:lineRule="exact"/>
        <w:ind w:firstLine="640"/>
        <w:jc w:val="both"/>
      </w:pPr>
      <w:r>
        <w:rPr>
          <w:rFonts w:ascii="仿宋_GB2312" w:hAnsi="仿宋_GB2312" w:eastAsia="仿宋_GB2312"/>
          <w:b w:val="0"/>
          <w:sz w:val="32"/>
        </w:rPr>
        <w:t>1.社会保障和就业支出(类)106.39万元,占5.76%。</w:t>
      </w:r>
    </w:p>
    <w:p w14:paraId="7A1A95D1">
      <w:pPr>
        <w:spacing w:line="580" w:lineRule="exact"/>
        <w:ind w:firstLine="640"/>
        <w:jc w:val="both"/>
      </w:pPr>
      <w:r>
        <w:rPr>
          <w:rFonts w:ascii="仿宋_GB2312" w:hAnsi="仿宋_GB2312" w:eastAsia="仿宋_GB2312"/>
          <w:b w:val="0"/>
          <w:sz w:val="32"/>
        </w:rPr>
        <w:t>2.卫生健康支出(类)1,665.41万元,占90.11%。</w:t>
      </w:r>
    </w:p>
    <w:p w14:paraId="12933B57">
      <w:pPr>
        <w:spacing w:line="580" w:lineRule="exact"/>
        <w:ind w:firstLine="640"/>
        <w:jc w:val="both"/>
      </w:pPr>
      <w:r>
        <w:rPr>
          <w:rFonts w:ascii="仿宋_GB2312" w:hAnsi="仿宋_GB2312" w:eastAsia="仿宋_GB2312"/>
          <w:b w:val="0"/>
          <w:sz w:val="32"/>
        </w:rPr>
        <w:t>3.节能环保支出(类)47.88万元,占2.59%。</w:t>
      </w:r>
    </w:p>
    <w:p w14:paraId="37C9D0DC">
      <w:pPr>
        <w:spacing w:line="580" w:lineRule="exact"/>
        <w:ind w:firstLine="640"/>
        <w:jc w:val="both"/>
      </w:pPr>
      <w:r>
        <w:rPr>
          <w:rFonts w:ascii="仿宋_GB2312" w:hAnsi="仿宋_GB2312" w:eastAsia="仿宋_GB2312"/>
          <w:b w:val="0"/>
          <w:sz w:val="32"/>
        </w:rPr>
        <w:t>4.住房保障支出(类)28.58万元,占1.55%。</w:t>
      </w:r>
    </w:p>
    <w:p w14:paraId="2A7361D4">
      <w:pPr>
        <w:spacing w:line="640" w:lineRule="exact"/>
        <w:ind w:firstLine="640"/>
        <w:jc w:val="both"/>
        <w:outlineLvl w:val="3"/>
      </w:pPr>
      <w:r>
        <w:rPr>
          <w:rFonts w:ascii="楷体_GB2312" w:hAnsi="楷体_GB2312" w:eastAsia="楷体_GB2312"/>
          <w:b/>
          <w:sz w:val="32"/>
        </w:rPr>
        <w:t>（三）一般公共预算财政拨款支出决算具体情况</w:t>
      </w:r>
    </w:p>
    <w:p w14:paraId="70BFEE5C">
      <w:pPr>
        <w:spacing w:line="580" w:lineRule="exact"/>
        <w:ind w:firstLine="640"/>
        <w:jc w:val="both"/>
      </w:pPr>
      <w:r>
        <w:rPr>
          <w:rFonts w:ascii="仿宋_GB2312" w:hAnsi="仿宋_GB2312" w:eastAsia="仿宋_GB2312"/>
          <w:b w:val="0"/>
          <w:sz w:val="32"/>
        </w:rPr>
        <w:t>1.社会保障和就业支出(类)行政事业单位养老支出(款)行政单位离退休(项):支出决算数为29.02万元，比上年决算增加12.08万元，增长71.31%,主要原因是：本年增加退休人员1人，退休人员去世1人，抚恤金和退休费增加。</w:t>
      </w:r>
    </w:p>
    <w:p w14:paraId="4AAEFD18">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35.19万元，比上年决算增加1.88万元，增长5.64%,主要原因是：本年在职人员增加，养老保险缴费较上年增加。</w:t>
      </w:r>
    </w:p>
    <w:p w14:paraId="3E22BDC9">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3.社会保障和就业支出(类)行政事业单位养老支出(款)机关事业单位职业年金缴费支出(项):支出决算数为7.34万元，比上年决算增加0.49万元，增长7.15%,主要原因是：本年新增退休人员，职业年金缴费支出增加。</w:t>
      </w:r>
    </w:p>
    <w:p w14:paraId="5E1512F4">
      <w:pPr>
        <w:spacing w:line="580" w:lineRule="exact"/>
        <w:ind w:firstLine="640"/>
        <w:jc w:val="both"/>
      </w:pPr>
      <w:r>
        <w:rPr>
          <w:rFonts w:ascii="仿宋_GB2312" w:hAnsi="仿宋_GB2312" w:eastAsia="仿宋_GB2312"/>
          <w:b w:val="0"/>
          <w:sz w:val="32"/>
        </w:rPr>
        <w:t>4.社会保障和就业支出(类)社会福利(款)儿童福利(项):支出决算数为34.85万元，比上年决算减少58.15万元，下降62.53%,主要原因是：本年减少2023年积极应对人口老龄化工程和托育建设中央基建投资用于建设工程款和前期费项目经费，导致经费较上年减少。</w:t>
      </w:r>
    </w:p>
    <w:p w14:paraId="6AF62524">
      <w:pPr>
        <w:spacing w:line="580" w:lineRule="exact"/>
        <w:ind w:firstLine="640"/>
        <w:jc w:val="both"/>
      </w:pPr>
      <w:r>
        <w:rPr>
          <w:rFonts w:ascii="仿宋_GB2312" w:hAnsi="仿宋_GB2312" w:eastAsia="仿宋_GB2312"/>
          <w:b w:val="0"/>
          <w:sz w:val="32"/>
        </w:rPr>
        <w:t>5.卫生健康支出(类)卫生健康管理事务(款)行政运行(项):支出决算数为311.63万元，比上年决算增加24.93万元，增长8.70%,主要原因是：本年新增在职人员，人员经费增加，导致经费较上年有所增加。</w:t>
      </w:r>
    </w:p>
    <w:p w14:paraId="5BE5AFC5">
      <w:pPr>
        <w:spacing w:line="580" w:lineRule="exact"/>
        <w:ind w:firstLine="640"/>
        <w:jc w:val="both"/>
      </w:pPr>
      <w:r>
        <w:rPr>
          <w:rFonts w:ascii="仿宋_GB2312" w:hAnsi="仿宋_GB2312" w:eastAsia="仿宋_GB2312"/>
          <w:b w:val="0"/>
          <w:sz w:val="32"/>
        </w:rPr>
        <w:t>6.卫生健康支出(类)卫生健康管理事务(款)其他卫生健康管理事务支出(项):支出决算数为10.64万元，比上年决算减少0.11万元，下降1.02%,主要原因是：本年减少自治区医疗服务与保障能力提升（卫生健康人才队伍建设）项目经费，本年功能科目调整，乡村医生生活补助由其他卫生健康管理事务支出科目调整至</w:t>
      </w:r>
      <w:r>
        <w:rPr>
          <w:rFonts w:hint="eastAsia" w:ascii="仿宋_GB2312" w:hAnsi="仿宋_GB2312" w:eastAsia="仿宋_GB2312"/>
          <w:b w:val="0"/>
          <w:sz w:val="32"/>
          <w:lang w:val="en-US" w:eastAsia="zh-CN"/>
        </w:rPr>
        <w:t>其他公共卫生支出</w:t>
      </w:r>
      <w:r>
        <w:rPr>
          <w:rFonts w:ascii="仿宋_GB2312" w:hAnsi="仿宋_GB2312" w:eastAsia="仿宋_GB2312"/>
          <w:b w:val="0"/>
          <w:sz w:val="32"/>
        </w:rPr>
        <w:t>科目列支</w:t>
      </w:r>
      <w:r>
        <w:rPr>
          <w:rFonts w:hint="eastAsia" w:ascii="仿宋_GB2312" w:hAnsi="仿宋_GB2312" w:eastAsia="仿宋_GB2312"/>
          <w:b w:val="0"/>
          <w:sz w:val="32"/>
          <w:lang w:eastAsia="zh-CN"/>
        </w:rPr>
        <w:t>，</w:t>
      </w:r>
      <w:r>
        <w:rPr>
          <w:rFonts w:ascii="仿宋_GB2312" w:hAnsi="仿宋_GB2312" w:eastAsia="仿宋_GB2312"/>
          <w:b w:val="0"/>
          <w:sz w:val="32"/>
        </w:rPr>
        <w:t>导致经费较上年减少。</w:t>
      </w:r>
    </w:p>
    <w:p w14:paraId="05323EFE">
      <w:pPr>
        <w:spacing w:line="580" w:lineRule="exact"/>
        <w:ind w:firstLine="640"/>
        <w:jc w:val="both"/>
      </w:pPr>
      <w:r>
        <w:rPr>
          <w:rFonts w:ascii="仿宋_GB2312" w:hAnsi="仿宋_GB2312" w:eastAsia="仿宋_GB2312"/>
          <w:b w:val="0"/>
          <w:sz w:val="32"/>
        </w:rPr>
        <w:t>7.卫生健康支出(类)公共卫生(款)基本公共卫生服务(项):支出决算数为19.74万元，比上年决算增加19.74万元，增长100.00%,主要原因是：本年新增自治区公共卫生（地方公共卫生）补助项目，中央基本公共卫生服务补助等项目，导致经费较上年增加。</w:t>
      </w:r>
    </w:p>
    <w:p w14:paraId="6E673390">
      <w:pPr>
        <w:spacing w:line="580" w:lineRule="exact"/>
        <w:ind w:firstLine="640"/>
        <w:jc w:val="both"/>
      </w:pPr>
      <w:r>
        <w:rPr>
          <w:rFonts w:ascii="仿宋_GB2312" w:hAnsi="仿宋_GB2312" w:eastAsia="仿宋_GB2312"/>
          <w:b w:val="0"/>
          <w:sz w:val="32"/>
        </w:rPr>
        <w:t>8.卫生健康支出(类)公共卫生(款)突发公共卫生事件应急处理(项):支出决算数为0.00万元，比上年决算减少1,838.87万元，下降100.00%,主要原因是：本年未安排中央</w:t>
      </w:r>
      <w:r>
        <w:rPr>
          <w:rFonts w:hint="eastAsia" w:ascii="仿宋_GB2312" w:hAnsi="仿宋_GB2312" w:eastAsia="仿宋_GB2312"/>
          <w:b w:val="0"/>
          <w:sz w:val="32"/>
          <w:lang w:eastAsia="zh-CN"/>
        </w:rPr>
        <w:t>防疫</w:t>
      </w:r>
      <w:r>
        <w:rPr>
          <w:rFonts w:ascii="仿宋_GB2312" w:hAnsi="仿宋_GB2312" w:eastAsia="仿宋_GB2312"/>
          <w:b w:val="0"/>
          <w:sz w:val="32"/>
        </w:rPr>
        <w:t>防控能力补助项目，导致经费较上年减少。</w:t>
      </w:r>
    </w:p>
    <w:p w14:paraId="69EF9C0C">
      <w:pPr>
        <w:spacing w:line="580" w:lineRule="exact"/>
        <w:ind w:firstLine="640"/>
        <w:jc w:val="both"/>
      </w:pPr>
      <w:r>
        <w:rPr>
          <w:rFonts w:ascii="仿宋_GB2312" w:hAnsi="仿宋_GB2312" w:eastAsia="仿宋_GB2312"/>
          <w:b w:val="0"/>
          <w:sz w:val="32"/>
        </w:rPr>
        <w:t>9.卫生健康支出(类)公共卫生(款)其他公共卫生支出(项):支出决算数为269.09万元，比上年决算增加269.09万元，增长100.00%,主要原因是：本年功能科目调整，乡村医生生活补助由其他卫生健康管理事务支出科目调整至本科目列支，</w:t>
      </w:r>
      <w:r>
        <w:rPr>
          <w:rFonts w:hint="eastAsia" w:ascii="仿宋_GB2312" w:hAnsi="仿宋_GB2312" w:eastAsia="仿宋_GB2312"/>
          <w:b w:val="0"/>
          <w:sz w:val="32"/>
          <w:lang w:val="en-US" w:eastAsia="zh-CN"/>
        </w:rPr>
        <w:t>乡村医生生活补助支出增加，</w:t>
      </w:r>
      <w:r>
        <w:rPr>
          <w:rFonts w:ascii="仿宋_GB2312" w:hAnsi="仿宋_GB2312" w:eastAsia="仿宋_GB2312"/>
          <w:b w:val="0"/>
          <w:sz w:val="32"/>
        </w:rPr>
        <w:t>导致经费支出增加。</w:t>
      </w:r>
    </w:p>
    <w:p w14:paraId="46955D03">
      <w:pPr>
        <w:spacing w:line="580" w:lineRule="exact"/>
        <w:ind w:firstLine="640"/>
        <w:jc w:val="both"/>
      </w:pPr>
      <w:r>
        <w:rPr>
          <w:rFonts w:ascii="仿宋_GB2312" w:hAnsi="仿宋_GB2312" w:eastAsia="仿宋_GB2312"/>
          <w:b w:val="0"/>
          <w:sz w:val="32"/>
        </w:rPr>
        <w:t>10.卫生健康支出(类)计划生育事务(款)计划生育服务(项):支出决算数为1,035.93万元，比上年决算增加713.79万元，增长221.58%,主要原因是：本年科目调整，计生家庭奖励扶助制度补助由其他计划生育事务支出科目调整至计划生育服务科目列支，相关支出增加。</w:t>
      </w:r>
    </w:p>
    <w:p w14:paraId="0E335B39">
      <w:pPr>
        <w:spacing w:line="580" w:lineRule="exact"/>
        <w:ind w:firstLine="640"/>
        <w:jc w:val="both"/>
      </w:pPr>
      <w:r>
        <w:rPr>
          <w:rFonts w:ascii="仿宋_GB2312" w:hAnsi="仿宋_GB2312" w:eastAsia="仿宋_GB2312"/>
          <w:b w:val="0"/>
          <w:sz w:val="32"/>
        </w:rPr>
        <w:t>11.卫生健康支出(类)计划生育事务(款)其他计划生育事务支出(项):支出决算数为0.00万元，比上年决算减少863.24万元，下降100.00%,主要原因是：本年科目调整，计生家庭奖励扶助制度补助由本科目调整至计划生育服务科目列支，相关支出减少。</w:t>
      </w:r>
    </w:p>
    <w:p w14:paraId="30F165EA">
      <w:pPr>
        <w:spacing w:line="580" w:lineRule="exact"/>
        <w:ind w:firstLine="640"/>
        <w:jc w:val="both"/>
      </w:pPr>
      <w:r>
        <w:rPr>
          <w:rFonts w:ascii="仿宋_GB2312" w:hAnsi="仿宋_GB2312" w:eastAsia="仿宋_GB2312"/>
          <w:b w:val="0"/>
          <w:sz w:val="32"/>
        </w:rPr>
        <w:t>12.卫生健康支出(类)行政事业单位医疗(款)行政单位医疗(项):支出决算数为14.78万元，比上年决算减少0.22万元，下降1.47%,主要原因是：本年在职人员调出，人员职级不同，缴费基数不同，导致行政单位医疗比较上年减少。</w:t>
      </w:r>
    </w:p>
    <w:p w14:paraId="0C3C9C93">
      <w:pPr>
        <w:spacing w:line="580" w:lineRule="exact"/>
        <w:ind w:firstLine="640"/>
        <w:jc w:val="both"/>
      </w:pPr>
      <w:r>
        <w:rPr>
          <w:rFonts w:ascii="仿宋_GB2312" w:hAnsi="仿宋_GB2312" w:eastAsia="仿宋_GB2312"/>
          <w:b w:val="0"/>
          <w:sz w:val="32"/>
        </w:rPr>
        <w:t>13.卫生健康支出(类)行政事业单位医疗(款)公务员医疗补助(项):支出决算数为3.60万元，比上年决算减少0.26万元，下降6.74%,主要原因是：本年在职人员调出，人员职级不同，缴费基数不同，导致公务员医疗补助较上年减少。</w:t>
      </w:r>
    </w:p>
    <w:p w14:paraId="2E85432E">
      <w:pPr>
        <w:spacing w:line="580" w:lineRule="exact"/>
        <w:ind w:firstLine="640"/>
        <w:jc w:val="both"/>
      </w:pPr>
      <w:r>
        <w:rPr>
          <w:rFonts w:ascii="仿宋_GB2312" w:hAnsi="仿宋_GB2312" w:eastAsia="仿宋_GB2312"/>
          <w:b w:val="0"/>
          <w:sz w:val="32"/>
        </w:rPr>
        <w:t>14.卫生健康支出(类)其他卫生健康支出(款)其他卫生健康支出(项):支出决算数为0.00万元，比上年决算减少215.78万元，下降100.00%,主要原因是：本年未安排全民健康体检设备采购项目，相关支出减少。</w:t>
      </w:r>
    </w:p>
    <w:p w14:paraId="1CCBF804">
      <w:pPr>
        <w:spacing w:line="580" w:lineRule="exact"/>
        <w:ind w:firstLine="640"/>
        <w:jc w:val="both"/>
      </w:pPr>
      <w:r>
        <w:rPr>
          <w:rFonts w:ascii="仿宋_GB2312" w:hAnsi="仿宋_GB2312" w:eastAsia="仿宋_GB2312"/>
          <w:b w:val="0"/>
          <w:sz w:val="32"/>
        </w:rPr>
        <w:t>15.节能环保支出(类)污染防治(款)固体废弃物与化学品(项):支出决算数为47.88万元，比上年决算增加47.88万元，增长100.00%,主要原因是：本年新增托里县医疗废物收转运能建设项目，相关支出增加。</w:t>
      </w:r>
    </w:p>
    <w:p w14:paraId="4AA71461">
      <w:pPr>
        <w:spacing w:line="580" w:lineRule="exact"/>
        <w:ind w:firstLine="640"/>
        <w:jc w:val="both"/>
      </w:pPr>
      <w:r>
        <w:rPr>
          <w:rFonts w:ascii="仿宋_GB2312" w:hAnsi="仿宋_GB2312" w:eastAsia="仿宋_GB2312"/>
          <w:b w:val="0"/>
          <w:sz w:val="32"/>
        </w:rPr>
        <w:t>16.住房保障支出(类)住房改革支出(款)住房公积金(项):支出决算数为28.58万元，比上年决算增加1.66万元，增长6.17%,主要原因是：本年在职人员增加，住房公积金支出较上年增加。</w:t>
      </w:r>
    </w:p>
    <w:p w14:paraId="06C5043D">
      <w:pPr>
        <w:spacing w:line="640" w:lineRule="exact"/>
        <w:ind w:firstLine="640"/>
        <w:jc w:val="both"/>
        <w:outlineLvl w:val="2"/>
      </w:pPr>
      <w:r>
        <w:rPr>
          <w:rFonts w:ascii="黑体" w:hAnsi="黑体" w:eastAsia="黑体"/>
          <w:sz w:val="32"/>
        </w:rPr>
        <w:t>六、一般公共预算财政拨款基本支出决算情况说明</w:t>
      </w:r>
    </w:p>
    <w:p w14:paraId="2E697722">
      <w:pPr>
        <w:spacing w:line="580" w:lineRule="exact"/>
        <w:ind w:firstLine="640"/>
        <w:jc w:val="both"/>
      </w:pPr>
      <w:r>
        <w:rPr>
          <w:rFonts w:ascii="仿宋_GB2312" w:hAnsi="仿宋_GB2312" w:eastAsia="仿宋_GB2312"/>
          <w:b w:val="0"/>
          <w:sz w:val="32"/>
        </w:rPr>
        <w:t>2024年度一般公共预算财政拨款基本支出430.13万元，其中：</w:t>
      </w:r>
      <w:r>
        <w:rPr>
          <w:rFonts w:ascii="仿宋_GB2312" w:hAnsi="仿宋_GB2312" w:eastAsia="仿宋_GB2312"/>
          <w:b/>
          <w:sz w:val="32"/>
        </w:rPr>
        <w:t>人员经费413.50万元，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抚恤金、生活补助、医疗费补助、奖励金。</w:t>
      </w:r>
    </w:p>
    <w:p w14:paraId="5C8C44CA">
      <w:pPr>
        <w:spacing w:line="580" w:lineRule="exact"/>
        <w:ind w:firstLine="640"/>
        <w:jc w:val="both"/>
      </w:pPr>
      <w:r>
        <w:rPr>
          <w:rFonts w:ascii="仿宋_GB2312" w:hAnsi="仿宋_GB2312" w:eastAsia="仿宋_GB2312"/>
          <w:b/>
          <w:sz w:val="32"/>
        </w:rPr>
        <w:t>公用经费16.63万元，</w:t>
      </w:r>
      <w:r>
        <w:rPr>
          <w:rFonts w:ascii="仿宋_GB2312" w:hAnsi="仿宋_GB2312" w:eastAsia="仿宋_GB2312"/>
          <w:b w:val="0"/>
          <w:sz w:val="32"/>
        </w:rPr>
        <w:t>包括：办公费、水费、电费、邮电费、取暖费、差旅费、维修（护）费、培训费、公务接待费、劳务费、委托业务费、工会经费、公务用车运行维护费、税金及附加费用、其他商品和服务支出、办公设备购置。</w:t>
      </w:r>
    </w:p>
    <w:p w14:paraId="0D98E14D">
      <w:pPr>
        <w:spacing w:line="640" w:lineRule="exact"/>
        <w:ind w:firstLine="640"/>
        <w:jc w:val="both"/>
        <w:outlineLvl w:val="2"/>
      </w:pPr>
      <w:r>
        <w:rPr>
          <w:rFonts w:ascii="黑体" w:hAnsi="黑体" w:eastAsia="黑体"/>
          <w:sz w:val="32"/>
        </w:rPr>
        <w:t>七、政府性基金预算财政拨款收入支出决算情况说明</w:t>
      </w:r>
    </w:p>
    <w:p w14:paraId="238912BC">
      <w:pPr>
        <w:spacing w:line="580" w:lineRule="exact"/>
        <w:ind w:firstLine="640"/>
        <w:jc w:val="both"/>
      </w:pPr>
      <w:r>
        <w:rPr>
          <w:rFonts w:ascii="仿宋_GB2312" w:hAnsi="仿宋_GB2312" w:eastAsia="仿宋_GB2312"/>
          <w:b/>
          <w:sz w:val="32"/>
        </w:rPr>
        <w:t>2024年度政府性基金预算财政拨款收入总计153.58万元，</w:t>
      </w:r>
      <w:r>
        <w:rPr>
          <w:rFonts w:ascii="仿宋_GB2312" w:hAnsi="仿宋_GB2312" w:eastAsia="仿宋_GB2312"/>
          <w:b w:val="0"/>
          <w:sz w:val="32"/>
        </w:rPr>
        <w:t>其中：年初结转和结余0.00万元，本年收入153.58万元。</w:t>
      </w:r>
      <w:r>
        <w:rPr>
          <w:rFonts w:ascii="仿宋_GB2312" w:hAnsi="仿宋_GB2312" w:eastAsia="仿宋_GB2312"/>
          <w:b/>
          <w:sz w:val="32"/>
        </w:rPr>
        <w:t>政府性基金预算财政拨款支出总计153.58万元，</w:t>
      </w:r>
      <w:r>
        <w:rPr>
          <w:rFonts w:ascii="仿宋_GB2312" w:hAnsi="仿宋_GB2312" w:eastAsia="仿宋_GB2312"/>
          <w:b w:val="0"/>
          <w:sz w:val="32"/>
        </w:rPr>
        <w:t>其中：年末结转和结余0.00万元，本年支出153.58万元。</w:t>
      </w:r>
    </w:p>
    <w:p w14:paraId="52668923">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增加138.33万元，增长907.08%，主要原因是：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增加</w:t>
      </w:r>
      <w:r>
        <w:rPr>
          <w:rFonts w:hint="eastAsia" w:ascii="仿宋_GB2312" w:hAnsi="仿宋_GB2312" w:eastAsia="仿宋_GB2312"/>
          <w:b w:val="0"/>
          <w:sz w:val="32"/>
          <w:lang w:eastAsia="zh-CN"/>
        </w:rPr>
        <w:t>防疫</w:t>
      </w:r>
      <w:r>
        <w:rPr>
          <w:rFonts w:ascii="仿宋_GB2312" w:hAnsi="仿宋_GB2312" w:eastAsia="仿宋_GB2312"/>
          <w:b w:val="0"/>
          <w:sz w:val="32"/>
        </w:rPr>
        <w:t>防控核酸采购用于归还以前年度欠新疆梵康医疗器械有限公司和上海疆旭医疗科技中心防控核酸试剂专用材料经费、托里县卫生系统乡镇卫生院公共租赁住房（铁厂沟卫生院）用于支付建设工程款和前期</w:t>
      </w:r>
      <w:r>
        <w:rPr>
          <w:rFonts w:hint="eastAsia" w:ascii="仿宋_GB2312" w:hAnsi="仿宋_GB2312" w:eastAsia="仿宋_GB2312"/>
          <w:b w:val="0"/>
          <w:sz w:val="32"/>
          <w:lang w:eastAsia="zh-CN"/>
        </w:rPr>
        <w:t>费用</w:t>
      </w:r>
      <w:r>
        <w:rPr>
          <w:rFonts w:ascii="仿宋_GB2312" w:hAnsi="仿宋_GB2312" w:eastAsia="仿宋_GB2312"/>
          <w:b w:val="0"/>
          <w:sz w:val="32"/>
        </w:rPr>
        <w:t>等，导致经费较上年增加。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年初预算数178.75万元，决算数153.58万元，预决算差异率-14.08%，主要原因是：年中调减塔城地区托里县医疗废物收转运能建设项目资金。</w:t>
      </w:r>
    </w:p>
    <w:p w14:paraId="367F98F6">
      <w:pPr>
        <w:spacing w:line="580" w:lineRule="exact"/>
        <w:ind w:firstLine="640"/>
        <w:jc w:val="both"/>
      </w:pPr>
      <w:r>
        <w:rPr>
          <w:rFonts w:ascii="仿宋_GB2312" w:hAnsi="仿宋_GB2312" w:eastAsia="仿宋_GB2312"/>
          <w:b w:val="0"/>
          <w:sz w:val="32"/>
        </w:rPr>
        <w:t>政府性基金预算财政拨款支出153.58万元。</w:t>
      </w:r>
    </w:p>
    <w:p w14:paraId="540C182F">
      <w:pPr>
        <w:spacing w:line="580" w:lineRule="exact"/>
        <w:ind w:firstLine="640"/>
        <w:jc w:val="both"/>
      </w:pPr>
      <w:r>
        <w:rPr>
          <w:rFonts w:ascii="仿宋_GB2312" w:hAnsi="仿宋_GB2312" w:eastAsia="仿宋_GB2312"/>
          <w:b w:val="0"/>
          <w:sz w:val="32"/>
        </w:rPr>
        <w:t>1.城乡社区支出(类)国有土地使用权出让收入安排的支出(款)农村基础设施建设支出(项):支出决算数为107.97万元，比上年决算增加92.72万元，增长608.00%,主要原因是：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增加</w:t>
      </w:r>
      <w:r>
        <w:rPr>
          <w:rFonts w:hint="eastAsia" w:ascii="仿宋_GB2312" w:hAnsi="仿宋_GB2312" w:eastAsia="仿宋_GB2312"/>
          <w:b w:val="0"/>
          <w:sz w:val="32"/>
          <w:lang w:eastAsia="zh-CN"/>
        </w:rPr>
        <w:t>防疫</w:t>
      </w:r>
      <w:r>
        <w:rPr>
          <w:rFonts w:ascii="仿宋_GB2312" w:hAnsi="仿宋_GB2312" w:eastAsia="仿宋_GB2312"/>
          <w:b w:val="0"/>
          <w:sz w:val="32"/>
        </w:rPr>
        <w:t>防控核酸采购用于归还以前年度欠新疆梵康医疗器械有限公司和上海疆旭医疗科技中心防控核酸试剂专用材料经费，相关支出增加。</w:t>
      </w:r>
    </w:p>
    <w:p w14:paraId="75AEB471">
      <w:pPr>
        <w:spacing w:line="580" w:lineRule="exact"/>
        <w:ind w:firstLine="640"/>
        <w:jc w:val="both"/>
      </w:pPr>
      <w:r>
        <w:rPr>
          <w:rFonts w:ascii="仿宋_GB2312" w:hAnsi="仿宋_GB2312" w:eastAsia="仿宋_GB2312"/>
          <w:b w:val="0"/>
          <w:sz w:val="32"/>
        </w:rPr>
        <w:t>2.城乡社区支出(类)国有土地使用权出让收入对应专项债务收入安排的支出(款)农村基础设施建设支出(项):支出决算数为45.61万元，比上年决算增加45.61万元，增长100.00%,主要原因是：本年增加托里县卫生系统乡镇卫生院公共租赁住房（铁厂沟卫生院）用于支付建设工程款和前期费，相关支出增加。</w:t>
      </w:r>
    </w:p>
    <w:p w14:paraId="7A71B631">
      <w:pPr>
        <w:spacing w:line="640" w:lineRule="exact"/>
        <w:ind w:firstLine="640"/>
        <w:jc w:val="both"/>
        <w:outlineLvl w:val="2"/>
      </w:pPr>
      <w:r>
        <w:rPr>
          <w:rFonts w:ascii="黑体" w:hAnsi="黑体" w:eastAsia="黑体"/>
          <w:sz w:val="32"/>
        </w:rPr>
        <w:t>八、国有资本经营预算财政拨款收入支出决算情况说明</w:t>
      </w:r>
    </w:p>
    <w:p w14:paraId="5397FF45">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0D15672D">
      <w:pPr>
        <w:spacing w:line="640" w:lineRule="exact"/>
        <w:ind w:firstLine="640"/>
        <w:jc w:val="both"/>
        <w:outlineLvl w:val="2"/>
      </w:pPr>
      <w:r>
        <w:rPr>
          <w:rFonts w:ascii="黑体" w:hAnsi="黑体" w:eastAsia="黑体"/>
          <w:sz w:val="32"/>
        </w:rPr>
        <w:t>九、财政拨款“三公”经费支出决算情况说明</w:t>
      </w:r>
    </w:p>
    <w:p w14:paraId="3242AA0E">
      <w:pPr>
        <w:spacing w:line="580" w:lineRule="exact"/>
        <w:ind w:firstLine="640"/>
        <w:jc w:val="both"/>
        <w:rPr>
          <w:spacing w:val="-6"/>
          <w:sz w:val="32"/>
        </w:rPr>
      </w:pPr>
      <w:r>
        <w:rPr>
          <w:rFonts w:ascii="仿宋_GB2312" w:hAnsi="仿宋_GB2312" w:eastAsia="仿宋_GB2312"/>
          <w:b/>
          <w:spacing w:val="-6"/>
          <w:sz w:val="32"/>
        </w:rPr>
        <w:t>2024年度财政拨款“三公”经费支出2.34万元，</w:t>
      </w:r>
      <w:r>
        <w:rPr>
          <w:rFonts w:ascii="仿宋_GB2312" w:hAnsi="仿宋_GB2312" w:eastAsia="仿宋_GB2312"/>
          <w:b w:val="0"/>
          <w:spacing w:val="-6"/>
          <w:sz w:val="32"/>
        </w:rPr>
        <w:t>比上年增加1.21万元，增长107.08%，主要原因是：本年因业务需求，用车次数增加，燃油费增加，公务用车运行维护费较上年增加</w:t>
      </w:r>
      <w:r>
        <w:rPr>
          <w:rFonts w:hint="eastAsia" w:ascii="仿宋_GB2312" w:hAnsi="仿宋_GB2312" w:eastAsia="仿宋_GB2312"/>
          <w:b w:val="0"/>
          <w:spacing w:val="-6"/>
          <w:sz w:val="32"/>
          <w:lang w:eastAsia="zh-CN"/>
        </w:rPr>
        <w:t>；</w:t>
      </w:r>
      <w:r>
        <w:rPr>
          <w:rFonts w:ascii="仿宋_GB2312" w:hAnsi="仿宋_GB2312" w:eastAsia="仿宋_GB2312"/>
          <w:b w:val="0"/>
          <w:spacing w:val="-6"/>
          <w:sz w:val="32"/>
        </w:rPr>
        <w:t>因业务需求，增加公务接待工作，公务接待费较上年增加。其中：因公出国（境）费支出0.00万元，占0.00%，比上年增加0.00万元，增长0.00%，主要原因是：2023年与2024年均未安排因公出国（境）费支出。公务用车购置及运行维护费支出2.32万元，占99.15%，比上年增加1.19万元，增长105.31%，主要原因是：本年因业务需求，用车次数增加，燃油费增加，导致公务用车运行维护费较上年增加。公务接待费支出0.02万元，占0.85%，比上年增加0.02万元，增长100.00%，主要原因是：本年因业务需求，增加公务接待工作，导致公务接待费较上年增加。</w:t>
      </w:r>
    </w:p>
    <w:p w14:paraId="4C74B97B">
      <w:pPr>
        <w:spacing w:line="580" w:lineRule="exact"/>
        <w:ind w:firstLine="640"/>
        <w:jc w:val="both"/>
      </w:pPr>
      <w:r>
        <w:rPr>
          <w:rFonts w:ascii="仿宋_GB2312" w:hAnsi="仿宋_GB2312" w:eastAsia="仿宋_GB2312"/>
          <w:b/>
          <w:sz w:val="32"/>
        </w:rPr>
        <w:t>具体情况如下：</w:t>
      </w:r>
    </w:p>
    <w:p w14:paraId="520944E0">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0FD17671">
      <w:pPr>
        <w:spacing w:line="580" w:lineRule="exact"/>
        <w:ind w:firstLine="640"/>
        <w:jc w:val="both"/>
      </w:pPr>
      <w:r>
        <w:rPr>
          <w:rFonts w:ascii="仿宋_GB2312" w:hAnsi="仿宋_GB2312" w:eastAsia="仿宋_GB2312"/>
          <w:b w:val="0"/>
          <w:sz w:val="32"/>
        </w:rPr>
        <w:t>公务用车购置及运行维护费2.32万元，其中：公务用车购置费0.00万元，公务用车运行维护费2.32万元。公务用车运行维护费开支内容包括车辆加油费、维修费、保险费、审车费、过路费等。公务用车购置数0辆，公务用车保有量10辆。国有资产占用情况中固定资产车辆10辆，与公务用车保有量差异原因是：本单位固定资产车辆与公务用车保有量一致无差异。</w:t>
      </w:r>
    </w:p>
    <w:p w14:paraId="7BDAD09C">
      <w:pPr>
        <w:spacing w:line="580" w:lineRule="exact"/>
        <w:ind w:firstLine="640"/>
        <w:jc w:val="both"/>
      </w:pPr>
      <w:r>
        <w:rPr>
          <w:rFonts w:ascii="仿宋_GB2312" w:hAnsi="仿宋_GB2312" w:eastAsia="仿宋_GB2312"/>
          <w:b w:val="0"/>
          <w:sz w:val="32"/>
        </w:rPr>
        <w:t>公务接待费0.02万元，开支内容包括因上级领导检查工作，接待上级领导检查产生的就餐费。单位全年安排的国内公务接待2批次，4人次。</w:t>
      </w:r>
    </w:p>
    <w:p w14:paraId="534D801F">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2.34万元，决算数2.34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2.32万元，决算数2.32万元，预决算差异率0.00%，主要原因是：严格按照预算执行，预决算无差异。公务接待费全年预算数0.02万元，决算数0.02万元，预决算差异率0.00%，主要原因是：严格按照预算执行，预决算无差异。</w:t>
      </w:r>
    </w:p>
    <w:p w14:paraId="05723D61">
      <w:pPr>
        <w:spacing w:line="640" w:lineRule="exact"/>
        <w:ind w:firstLine="640"/>
        <w:jc w:val="both"/>
        <w:outlineLvl w:val="2"/>
      </w:pPr>
      <w:r>
        <w:rPr>
          <w:rFonts w:ascii="黑体" w:hAnsi="黑体" w:eastAsia="黑体"/>
          <w:sz w:val="32"/>
        </w:rPr>
        <w:t>十、其他重要事项的情况说明</w:t>
      </w:r>
    </w:p>
    <w:p w14:paraId="764B2B51">
      <w:pPr>
        <w:spacing w:line="640" w:lineRule="exact"/>
        <w:ind w:firstLine="640"/>
        <w:jc w:val="both"/>
        <w:outlineLvl w:val="3"/>
      </w:pPr>
      <w:r>
        <w:rPr>
          <w:rFonts w:ascii="楷体_GB2312" w:hAnsi="楷体_GB2312" w:eastAsia="楷体_GB2312"/>
          <w:b/>
          <w:sz w:val="32"/>
        </w:rPr>
        <w:t>（一）机关运行经费及公用经费支出情况</w:t>
      </w:r>
    </w:p>
    <w:p w14:paraId="2E07D142">
      <w:pPr>
        <w:spacing w:line="580" w:lineRule="exact"/>
        <w:ind w:firstLine="640"/>
        <w:jc w:val="both"/>
      </w:pPr>
      <w:r>
        <w:rPr>
          <w:rFonts w:ascii="仿宋_GB2312" w:hAnsi="仿宋_GB2312" w:eastAsia="仿宋_GB2312"/>
          <w:b w:val="0"/>
          <w:sz w:val="32"/>
        </w:rPr>
        <w:t>2024年度托里县卫生健康委员会（行政单位和参照公务员法管理事业单位）机关运行经费支出16.63万元，比上年减少9.43万元，下降36.19%，主要原因是：本年减少办公设备购置，机关运行经费支出减少。</w:t>
      </w:r>
    </w:p>
    <w:p w14:paraId="441C1FEA">
      <w:pPr>
        <w:spacing w:line="640" w:lineRule="exact"/>
        <w:ind w:firstLine="640"/>
        <w:jc w:val="both"/>
        <w:outlineLvl w:val="3"/>
      </w:pPr>
      <w:r>
        <w:rPr>
          <w:rFonts w:ascii="楷体_GB2312" w:hAnsi="楷体_GB2312" w:eastAsia="楷体_GB2312"/>
          <w:b/>
          <w:sz w:val="32"/>
        </w:rPr>
        <w:t>（二）政府采购情况</w:t>
      </w:r>
    </w:p>
    <w:p w14:paraId="5BB12445">
      <w:pPr>
        <w:spacing w:line="580" w:lineRule="exact"/>
        <w:ind w:firstLine="640"/>
        <w:jc w:val="both"/>
      </w:pPr>
      <w:r>
        <w:rPr>
          <w:rFonts w:ascii="仿宋_GB2312" w:hAnsi="仿宋_GB2312" w:eastAsia="仿宋_GB2312"/>
          <w:b w:val="0"/>
          <w:sz w:val="32"/>
        </w:rPr>
        <w:t>2024年度政府采购支出总额181.45万元，其中：政府采购货物支出152.68万元、政府采购工程支出0.00万元、政府采购服务支出28.77万元。</w:t>
      </w:r>
    </w:p>
    <w:p w14:paraId="76F33A68">
      <w:pPr>
        <w:spacing w:line="580" w:lineRule="exact"/>
        <w:ind w:firstLine="640"/>
        <w:jc w:val="both"/>
      </w:pPr>
      <w:r>
        <w:rPr>
          <w:rFonts w:ascii="仿宋_GB2312" w:hAnsi="仿宋_GB2312" w:eastAsia="仿宋_GB2312"/>
          <w:b w:val="0"/>
          <w:sz w:val="32"/>
        </w:rPr>
        <w:t>授予中小企业合同金额178.90万元，占政府采购支出总额的98.59%，其中：授予小微企业合同金额167.17万元，占政府采购支出总额的92.13%。</w:t>
      </w:r>
    </w:p>
    <w:p w14:paraId="050D91B3">
      <w:pPr>
        <w:spacing w:line="640" w:lineRule="exact"/>
        <w:ind w:firstLine="640"/>
        <w:jc w:val="both"/>
        <w:outlineLvl w:val="3"/>
      </w:pPr>
      <w:r>
        <w:rPr>
          <w:rFonts w:ascii="楷体_GB2312" w:hAnsi="楷体_GB2312" w:eastAsia="楷体_GB2312"/>
          <w:b/>
          <w:sz w:val="32"/>
        </w:rPr>
        <w:t>（三）国有资产占用情况说明</w:t>
      </w:r>
    </w:p>
    <w:p w14:paraId="185F4FC9">
      <w:pPr>
        <w:spacing w:line="580" w:lineRule="exact"/>
        <w:ind w:firstLine="640"/>
        <w:jc w:val="both"/>
      </w:pPr>
      <w:r>
        <w:rPr>
          <w:rFonts w:ascii="仿宋_GB2312" w:hAnsi="仿宋_GB2312" w:eastAsia="仿宋_GB2312"/>
          <w:b w:val="0"/>
          <w:sz w:val="32"/>
        </w:rPr>
        <w:t>截至2024年12月31日，房屋5,399.23平方米，价值1,453.31万元。车辆10辆，价值200.60万元，其中：副部（省）级及以上领导用车0辆、主要负责人用车0辆、机要通信用车0辆、应急保障用车0辆、执法执勤用车0辆、特种专业技术用车0辆、离退休干部服务用车0辆、其他用车10辆，其他用车主要是：一般公务用车。单价100万元（含）以上设备（不含车辆）0台（套）。</w:t>
      </w:r>
    </w:p>
    <w:p w14:paraId="1FA3988D">
      <w:pPr>
        <w:spacing w:line="640" w:lineRule="exact"/>
        <w:ind w:firstLine="640"/>
        <w:jc w:val="both"/>
        <w:outlineLvl w:val="2"/>
      </w:pPr>
      <w:r>
        <w:rPr>
          <w:rFonts w:ascii="黑体" w:hAnsi="黑体" w:eastAsia="黑体"/>
          <w:sz w:val="32"/>
        </w:rPr>
        <w:t>十一、预算绩效的情况说明</w:t>
      </w:r>
    </w:p>
    <w:p w14:paraId="5E33D03A">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4,758.71万元，实际执行总额4,111.17万元；预算绩效评价项目6个，全年预算数1,868.82万元，全年执行数1,348.45万元。预算绩效管理取得的成效：（一）提升财政资金使用</w:t>
      </w:r>
      <w:r>
        <w:rPr>
          <w:rFonts w:hint="eastAsia" w:ascii="仿宋_GB2312" w:hAnsi="仿宋_GB2312" w:eastAsia="仿宋_GB2312"/>
          <w:b w:val="0"/>
          <w:sz w:val="32"/>
          <w:lang w:eastAsia="zh-CN"/>
        </w:rPr>
        <w:t>效益</w:t>
      </w:r>
      <w:r>
        <w:rPr>
          <w:rFonts w:ascii="仿宋_GB2312" w:hAnsi="仿宋_GB2312" w:eastAsia="仿宋_GB2312"/>
          <w:b w:val="0"/>
          <w:sz w:val="32"/>
        </w:rPr>
        <w:t>推动资金向高效益领域倾斜，减少低效、无效支出，避免了“重投入、轻管理”“重分配、轻效益”的问题。（二）优化公共服务</w:t>
      </w:r>
      <w:r>
        <w:rPr>
          <w:rFonts w:hint="eastAsia" w:ascii="仿宋_GB2312" w:hAnsi="仿宋_GB2312" w:eastAsia="仿宋_GB2312"/>
          <w:b w:val="0"/>
          <w:sz w:val="32"/>
          <w:lang w:eastAsia="zh-CN"/>
        </w:rPr>
        <w:t>供给</w:t>
      </w:r>
      <w:r>
        <w:rPr>
          <w:rFonts w:ascii="仿宋_GB2312" w:hAnsi="仿宋_GB2312" w:eastAsia="仿宋_GB2312"/>
          <w:b w:val="0"/>
          <w:sz w:val="32"/>
        </w:rPr>
        <w:t>以绩效为导向，推动公共服务项目更贴合群众需求，提高教育、医疗、社保等民生领域资金的使用精准度。发现的问题及原因：（一）绩效指标设置不够明确：</w:t>
      </w:r>
      <w:r>
        <w:rPr>
          <w:rFonts w:hint="eastAsia" w:ascii="仿宋_GB2312" w:hAnsi="仿宋_GB2312" w:eastAsia="仿宋_GB2312"/>
          <w:b w:val="0"/>
          <w:sz w:val="32"/>
          <w:lang w:eastAsia="zh-CN"/>
        </w:rPr>
        <w:t>本单位</w:t>
      </w:r>
      <w:r>
        <w:rPr>
          <w:rFonts w:ascii="仿宋_GB2312" w:hAnsi="仿宋_GB2312" w:eastAsia="仿宋_GB2312"/>
          <w:b w:val="0"/>
          <w:sz w:val="32"/>
        </w:rPr>
        <w:t>部分绩效指标设置存在不够精简、指标数据无法统计和指标值设置过低等问题，部分项目绩效指标值设定为定性的指标，指标设置的科学性、合理性有待进一步提高。（二）固定资产账务管理不够细致、严谨：抽查发现，各单位固定资产账务管理普遍存在入账不及时、漏入、入账信息、金额不准确或资产台账未登记到具体使用人等问题。（三）项目监督工作存在薄弱环节:项目实施过程中的上报、跟踪、反馈机制尚未真正形成，</w:t>
      </w:r>
      <w:r>
        <w:rPr>
          <w:rFonts w:hint="eastAsia" w:ascii="仿宋_GB2312" w:hAnsi="仿宋_GB2312" w:eastAsia="仿宋_GB2312"/>
          <w:b w:val="0"/>
          <w:sz w:val="32"/>
          <w:lang w:eastAsia="zh-CN"/>
        </w:rPr>
        <w:t>本单位</w:t>
      </w:r>
      <w:r>
        <w:rPr>
          <w:rFonts w:ascii="仿宋_GB2312" w:hAnsi="仿宋_GB2312" w:eastAsia="仿宋_GB2312"/>
          <w:b w:val="0"/>
          <w:sz w:val="32"/>
        </w:rPr>
        <w:t>资金的使用、实施等监管措施仍然存在改进的空间。下一步改进措施：一是加强绩效评价管理制度和流程的建设，进一步深化、完善绩效管理体系，建立全过程的预算绩效管理机制，促进绩效管理工作向广度和深度延伸。二是规范绩效评价管理资料的收集整理，确保相关信息完整、可靠，客观公正地反映项目资金实际使用和产生的绩效状况，为今后该项目实施方向及管理方式的改进提供指导。具体附整体支出绩效自评表，项目支出绩效自评表和评价报告。</w:t>
      </w:r>
    </w:p>
    <w:p w14:paraId="44DC9D52">
      <w:r>
        <w:br w:type="page"/>
      </w:r>
    </w:p>
    <w:tbl>
      <w:tblPr>
        <w:tblStyle w:val="9"/>
        <w:tblW w:w="0" w:type="auto"/>
        <w:tblInd w:w="0" w:type="dxa"/>
        <w:tblLayout w:type="fixed"/>
        <w:tblCellMar>
          <w:top w:w="0" w:type="dxa"/>
          <w:left w:w="108" w:type="dxa"/>
          <w:bottom w:w="0" w:type="dxa"/>
          <w:right w:w="108" w:type="dxa"/>
        </w:tblCellMar>
      </w:tblPr>
      <w:tblGrid>
        <w:gridCol w:w="1105"/>
        <w:gridCol w:w="1050"/>
        <w:gridCol w:w="1534"/>
        <w:gridCol w:w="1133"/>
        <w:gridCol w:w="1160"/>
        <w:gridCol w:w="760"/>
        <w:gridCol w:w="993"/>
        <w:gridCol w:w="1105"/>
      </w:tblGrid>
      <w:tr w14:paraId="7C1E127E">
        <w:tblPrEx>
          <w:tblCellMar>
            <w:top w:w="0" w:type="dxa"/>
            <w:left w:w="108" w:type="dxa"/>
            <w:bottom w:w="0" w:type="dxa"/>
            <w:right w:w="108" w:type="dxa"/>
          </w:tblCellMar>
        </w:tblPrEx>
        <w:tc>
          <w:tcPr>
            <w:tcW w:w="8840" w:type="dxa"/>
            <w:gridSpan w:val="8"/>
            <w:vAlign w:val="center"/>
          </w:tcPr>
          <w:p w14:paraId="60F9629A">
            <w:pPr>
              <w:jc w:val="center"/>
            </w:pPr>
            <w:r>
              <w:rPr>
                <w:rFonts w:ascii="宋体" w:hAnsi="宋体" w:eastAsia="宋体"/>
                <w:sz w:val="24"/>
              </w:rPr>
              <w:t>单位整体支出绩效自评表</w:t>
            </w:r>
          </w:p>
        </w:tc>
      </w:tr>
      <w:tr w14:paraId="2DAC45A1">
        <w:tblPrEx>
          <w:tblCellMar>
            <w:top w:w="0" w:type="dxa"/>
            <w:left w:w="108" w:type="dxa"/>
            <w:bottom w:w="0" w:type="dxa"/>
            <w:right w:w="108" w:type="dxa"/>
          </w:tblCellMar>
        </w:tblPrEx>
        <w:tc>
          <w:tcPr>
            <w:tcW w:w="8840" w:type="dxa"/>
            <w:gridSpan w:val="8"/>
            <w:vAlign w:val="center"/>
          </w:tcPr>
          <w:p w14:paraId="0D3A682B">
            <w:pPr>
              <w:jc w:val="center"/>
            </w:pPr>
            <w:r>
              <w:rPr>
                <w:rFonts w:ascii="宋体" w:hAnsi="宋体" w:eastAsia="宋体"/>
                <w:sz w:val="24"/>
              </w:rPr>
              <w:t>（2024年度）</w:t>
            </w:r>
          </w:p>
        </w:tc>
      </w:tr>
      <w:tr w14:paraId="2CF0169A">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5CCD8A">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4D52710">
            <w:pPr>
              <w:jc w:val="center"/>
            </w:pPr>
            <w:r>
              <w:rPr>
                <w:rFonts w:ascii="宋体" w:hAnsi="宋体" w:eastAsia="宋体"/>
                <w:sz w:val="16"/>
              </w:rPr>
              <w:t>托里县卫生健康委员会</w:t>
            </w:r>
          </w:p>
        </w:tc>
      </w:tr>
      <w:tr w14:paraId="38AC4CA8">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84F4CB">
            <w:pPr>
              <w:jc w:val="center"/>
            </w:pPr>
            <w:r>
              <w:rPr>
                <w:rFonts w:ascii="宋体" w:hAnsi="宋体" w:eastAsia="宋体"/>
                <w:sz w:val="16"/>
              </w:rPr>
              <w:t>部门资金(万元)</w:t>
            </w:r>
          </w:p>
        </w:tc>
        <w:tc>
          <w:tcPr>
            <w:tcW w:w="1050" w:type="dxa"/>
            <w:tcBorders>
              <w:top w:val="single" w:color="auto" w:sz="10" w:space="0"/>
              <w:left w:val="single" w:color="auto" w:sz="10" w:space="0"/>
              <w:bottom w:val="single" w:color="auto" w:sz="10" w:space="0"/>
              <w:right w:val="single" w:color="auto" w:sz="10" w:space="0"/>
              <w:insideV w:val="single" w:sz="10" w:space="0"/>
            </w:tcBorders>
            <w:vAlign w:val="center"/>
          </w:tcPr>
          <w:p w14:paraId="18EAA16D">
            <w:pPr>
              <w:jc w:val="center"/>
            </w:pPr>
            <w:r>
              <w:rPr>
                <w:rFonts w:ascii="宋体" w:hAnsi="宋体" w:eastAsia="宋体"/>
                <w:sz w:val="16"/>
              </w:rPr>
              <w:t>资金来源</w:t>
            </w:r>
          </w:p>
        </w:tc>
        <w:tc>
          <w:tcPr>
            <w:tcW w:w="1534" w:type="dxa"/>
            <w:tcBorders>
              <w:top w:val="single" w:color="auto" w:sz="10" w:space="0"/>
              <w:left w:val="single" w:color="auto" w:sz="10" w:space="0"/>
              <w:bottom w:val="single" w:color="auto" w:sz="10" w:space="0"/>
              <w:right w:val="single" w:color="auto" w:sz="10" w:space="0"/>
              <w:insideV w:val="single" w:sz="10" w:space="0"/>
            </w:tcBorders>
            <w:vAlign w:val="center"/>
          </w:tcPr>
          <w:p w14:paraId="797E1E27">
            <w:pPr>
              <w:jc w:val="center"/>
            </w:pPr>
            <w:r>
              <w:rPr>
                <w:rFonts w:ascii="宋体" w:hAnsi="宋体" w:eastAsia="宋体"/>
                <w:sz w:val="16"/>
              </w:rPr>
              <w:t>年初预算数</w:t>
            </w:r>
          </w:p>
        </w:tc>
        <w:tc>
          <w:tcPr>
            <w:tcW w:w="1133" w:type="dxa"/>
            <w:tcBorders>
              <w:top w:val="single" w:color="auto" w:sz="10" w:space="0"/>
              <w:left w:val="single" w:color="auto" w:sz="10" w:space="0"/>
              <w:bottom w:val="single" w:color="auto" w:sz="10" w:space="0"/>
              <w:right w:val="single" w:color="auto" w:sz="10" w:space="0"/>
              <w:insideV w:val="single" w:sz="10" w:space="0"/>
            </w:tcBorders>
            <w:vAlign w:val="center"/>
          </w:tcPr>
          <w:p w14:paraId="00B266B2">
            <w:pPr>
              <w:jc w:val="center"/>
            </w:pPr>
            <w:r>
              <w:rPr>
                <w:rFonts w:ascii="宋体" w:hAnsi="宋体" w:eastAsia="宋体"/>
                <w:sz w:val="16"/>
              </w:rPr>
              <w:t>预算数</w:t>
            </w:r>
          </w:p>
        </w:tc>
        <w:tc>
          <w:tcPr>
            <w:tcW w:w="1160" w:type="dxa"/>
            <w:tcBorders>
              <w:top w:val="single" w:color="auto" w:sz="10" w:space="0"/>
              <w:left w:val="single" w:color="auto" w:sz="10" w:space="0"/>
              <w:bottom w:val="single" w:color="auto" w:sz="10" w:space="0"/>
              <w:right w:val="single" w:color="auto" w:sz="10" w:space="0"/>
              <w:insideV w:val="single" w:sz="10" w:space="0"/>
            </w:tcBorders>
            <w:vAlign w:val="center"/>
          </w:tcPr>
          <w:p w14:paraId="7D33A4DA">
            <w:pPr>
              <w:jc w:val="center"/>
            </w:pPr>
            <w:r>
              <w:rPr>
                <w:rFonts w:ascii="宋体" w:hAnsi="宋体" w:eastAsia="宋体"/>
                <w:sz w:val="16"/>
              </w:rPr>
              <w:t>执行数</w:t>
            </w:r>
          </w:p>
        </w:tc>
        <w:tc>
          <w:tcPr>
            <w:tcW w:w="760" w:type="dxa"/>
            <w:tcBorders>
              <w:top w:val="single" w:color="auto" w:sz="10" w:space="0"/>
              <w:left w:val="single" w:color="auto" w:sz="10" w:space="0"/>
              <w:bottom w:val="single" w:color="auto" w:sz="10" w:space="0"/>
              <w:right w:val="single" w:color="auto" w:sz="10" w:space="0"/>
              <w:insideV w:val="single" w:sz="10" w:space="0"/>
            </w:tcBorders>
            <w:vAlign w:val="center"/>
          </w:tcPr>
          <w:p w14:paraId="5F31EB25">
            <w:pPr>
              <w:jc w:val="center"/>
            </w:pPr>
            <w:r>
              <w:rPr>
                <w:rFonts w:ascii="宋体" w:hAnsi="宋体" w:eastAsia="宋体"/>
                <w:sz w:val="16"/>
              </w:rPr>
              <w:t>分值权重</w:t>
            </w:r>
          </w:p>
        </w:tc>
        <w:tc>
          <w:tcPr>
            <w:tcW w:w="993" w:type="dxa"/>
            <w:tcBorders>
              <w:top w:val="single" w:color="auto" w:sz="10" w:space="0"/>
              <w:left w:val="single" w:color="auto" w:sz="10" w:space="0"/>
              <w:bottom w:val="single" w:color="auto" w:sz="10" w:space="0"/>
              <w:right w:val="single" w:color="auto" w:sz="10" w:space="0"/>
              <w:insideV w:val="single" w:sz="10" w:space="0"/>
            </w:tcBorders>
            <w:vAlign w:val="center"/>
          </w:tcPr>
          <w:p w14:paraId="4F168A58">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5E301A">
            <w:pPr>
              <w:jc w:val="center"/>
            </w:pPr>
            <w:r>
              <w:rPr>
                <w:rFonts w:ascii="宋体" w:hAnsi="宋体" w:eastAsia="宋体"/>
                <w:sz w:val="16"/>
              </w:rPr>
              <w:t>得分</w:t>
            </w:r>
          </w:p>
        </w:tc>
      </w:tr>
      <w:tr w14:paraId="7293D34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520328C"/>
        </w:tc>
        <w:tc>
          <w:tcPr>
            <w:tcW w:w="1050" w:type="dxa"/>
            <w:tcBorders>
              <w:top w:val="single" w:color="auto" w:sz="10" w:space="0"/>
              <w:left w:val="single" w:color="auto" w:sz="10" w:space="0"/>
              <w:bottom w:val="single" w:color="auto" w:sz="10" w:space="0"/>
              <w:right w:val="single" w:color="auto" w:sz="10" w:space="0"/>
              <w:insideV w:val="single" w:sz="10" w:space="0"/>
            </w:tcBorders>
            <w:vAlign w:val="center"/>
          </w:tcPr>
          <w:p w14:paraId="5676198B">
            <w:pPr>
              <w:jc w:val="center"/>
            </w:pPr>
            <w:r>
              <w:rPr>
                <w:rFonts w:ascii="宋体" w:hAnsi="宋体" w:eastAsia="宋体"/>
                <w:sz w:val="16"/>
              </w:rPr>
              <w:t>年度总资金</w:t>
            </w:r>
          </w:p>
        </w:tc>
        <w:tc>
          <w:tcPr>
            <w:tcW w:w="1534" w:type="dxa"/>
            <w:tcBorders>
              <w:top w:val="single" w:color="auto" w:sz="10" w:space="0"/>
              <w:left w:val="single" w:color="auto" w:sz="10" w:space="0"/>
              <w:bottom w:val="single" w:color="auto" w:sz="10" w:space="0"/>
              <w:right w:val="single" w:color="auto" w:sz="10" w:space="0"/>
              <w:insideV w:val="single" w:sz="10" w:space="0"/>
            </w:tcBorders>
            <w:vAlign w:val="center"/>
          </w:tcPr>
          <w:p w14:paraId="027E40B5">
            <w:pPr>
              <w:jc w:val="center"/>
            </w:pPr>
            <w:r>
              <w:rPr>
                <w:rFonts w:ascii="宋体" w:hAnsi="宋体" w:eastAsia="宋体"/>
                <w:sz w:val="16"/>
              </w:rPr>
              <w:t>3,587.55</w:t>
            </w:r>
          </w:p>
        </w:tc>
        <w:tc>
          <w:tcPr>
            <w:tcW w:w="1133" w:type="dxa"/>
            <w:tcBorders>
              <w:top w:val="single" w:color="auto" w:sz="10" w:space="0"/>
              <w:left w:val="single" w:color="auto" w:sz="10" w:space="0"/>
              <w:bottom w:val="single" w:color="auto" w:sz="10" w:space="0"/>
              <w:right w:val="single" w:color="auto" w:sz="10" w:space="0"/>
              <w:insideV w:val="single" w:sz="10" w:space="0"/>
            </w:tcBorders>
            <w:vAlign w:val="center"/>
          </w:tcPr>
          <w:p w14:paraId="60B0AA91">
            <w:pPr>
              <w:jc w:val="center"/>
            </w:pPr>
            <w:r>
              <w:rPr>
                <w:rFonts w:ascii="宋体" w:hAnsi="宋体" w:eastAsia="宋体"/>
                <w:sz w:val="16"/>
              </w:rPr>
              <w:t>4,758.71</w:t>
            </w:r>
          </w:p>
        </w:tc>
        <w:tc>
          <w:tcPr>
            <w:tcW w:w="1160" w:type="dxa"/>
            <w:tcBorders>
              <w:top w:val="single" w:color="auto" w:sz="10" w:space="0"/>
              <w:left w:val="single" w:color="auto" w:sz="10" w:space="0"/>
              <w:bottom w:val="single" w:color="auto" w:sz="10" w:space="0"/>
              <w:right w:val="single" w:color="auto" w:sz="10" w:space="0"/>
              <w:insideV w:val="single" w:sz="10" w:space="0"/>
            </w:tcBorders>
            <w:vAlign w:val="center"/>
          </w:tcPr>
          <w:p w14:paraId="7BE518B3">
            <w:pPr>
              <w:jc w:val="center"/>
            </w:pPr>
            <w:r>
              <w:rPr>
                <w:rFonts w:ascii="宋体" w:hAnsi="宋体" w:eastAsia="宋体"/>
                <w:sz w:val="16"/>
              </w:rPr>
              <w:t>4,111.17</w:t>
            </w:r>
          </w:p>
        </w:tc>
        <w:tc>
          <w:tcPr>
            <w:tcW w:w="760" w:type="dxa"/>
            <w:tcBorders>
              <w:top w:val="single" w:color="auto" w:sz="10" w:space="0"/>
              <w:left w:val="single" w:color="auto" w:sz="10" w:space="0"/>
              <w:bottom w:val="single" w:color="auto" w:sz="10" w:space="0"/>
              <w:right w:val="single" w:color="auto" w:sz="10" w:space="0"/>
              <w:insideV w:val="single" w:sz="10" w:space="0"/>
            </w:tcBorders>
            <w:vAlign w:val="center"/>
          </w:tcPr>
          <w:p w14:paraId="65B26A9A">
            <w:pPr>
              <w:jc w:val="center"/>
            </w:pPr>
            <w:r>
              <w:rPr>
                <w:rFonts w:ascii="宋体" w:hAnsi="宋体" w:eastAsia="宋体"/>
                <w:sz w:val="16"/>
              </w:rPr>
              <w:t>10</w:t>
            </w:r>
          </w:p>
        </w:tc>
        <w:tc>
          <w:tcPr>
            <w:tcW w:w="993" w:type="dxa"/>
            <w:tcBorders>
              <w:top w:val="single" w:color="auto" w:sz="10" w:space="0"/>
              <w:left w:val="single" w:color="auto" w:sz="10" w:space="0"/>
              <w:bottom w:val="single" w:color="auto" w:sz="10" w:space="0"/>
              <w:right w:val="single" w:color="auto" w:sz="10" w:space="0"/>
              <w:insideV w:val="single" w:sz="10" w:space="0"/>
            </w:tcBorders>
            <w:vAlign w:val="center"/>
          </w:tcPr>
          <w:p w14:paraId="2D1559E7">
            <w:pPr>
              <w:jc w:val="center"/>
            </w:pPr>
            <w:r>
              <w:rPr>
                <w:rFonts w:ascii="宋体" w:hAnsi="宋体" w:eastAsia="宋体"/>
                <w:sz w:val="16"/>
              </w:rPr>
              <w:t>86.39%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BA350B">
            <w:pPr>
              <w:jc w:val="center"/>
            </w:pPr>
            <w:r>
              <w:rPr>
                <w:rFonts w:ascii="宋体" w:hAnsi="宋体" w:eastAsia="宋体"/>
                <w:sz w:val="16"/>
              </w:rPr>
              <w:t>10</w:t>
            </w:r>
          </w:p>
        </w:tc>
      </w:tr>
      <w:tr w14:paraId="0118136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6C77BA3"/>
        </w:tc>
        <w:tc>
          <w:tcPr>
            <w:tcW w:w="1050" w:type="dxa"/>
            <w:tcBorders>
              <w:top w:val="single" w:color="auto" w:sz="10" w:space="0"/>
              <w:left w:val="single" w:color="auto" w:sz="10" w:space="0"/>
              <w:bottom w:val="single" w:color="auto" w:sz="10" w:space="0"/>
              <w:right w:val="single" w:color="auto" w:sz="10" w:space="0"/>
              <w:insideV w:val="single" w:sz="10" w:space="0"/>
            </w:tcBorders>
            <w:vAlign w:val="center"/>
          </w:tcPr>
          <w:p w14:paraId="72C42D7F">
            <w:pPr>
              <w:jc w:val="center"/>
            </w:pPr>
            <w:r>
              <w:rPr>
                <w:rFonts w:ascii="宋体" w:hAnsi="宋体" w:eastAsia="宋体"/>
                <w:sz w:val="16"/>
              </w:rPr>
              <w:t>其中：上级安排（万元）</w:t>
            </w:r>
          </w:p>
        </w:tc>
        <w:tc>
          <w:tcPr>
            <w:tcW w:w="1534" w:type="dxa"/>
            <w:tcBorders>
              <w:top w:val="single" w:color="auto" w:sz="10" w:space="0"/>
              <w:left w:val="single" w:color="auto" w:sz="10" w:space="0"/>
              <w:bottom w:val="single" w:color="auto" w:sz="10" w:space="0"/>
              <w:right w:val="single" w:color="auto" w:sz="10" w:space="0"/>
              <w:insideV w:val="single" w:sz="10" w:space="0"/>
            </w:tcBorders>
            <w:vAlign w:val="center"/>
          </w:tcPr>
          <w:p w14:paraId="56093F24">
            <w:pPr>
              <w:jc w:val="center"/>
            </w:pPr>
            <w:r>
              <w:rPr>
                <w:rFonts w:ascii="宋体" w:hAnsi="宋体" w:eastAsia="宋体"/>
                <w:sz w:val="16"/>
              </w:rPr>
              <w:t>847.23</w:t>
            </w:r>
          </w:p>
        </w:tc>
        <w:tc>
          <w:tcPr>
            <w:tcW w:w="1133" w:type="dxa"/>
            <w:tcBorders>
              <w:top w:val="single" w:color="auto" w:sz="10" w:space="0"/>
              <w:left w:val="single" w:color="auto" w:sz="10" w:space="0"/>
              <w:bottom w:val="single" w:color="auto" w:sz="10" w:space="0"/>
              <w:right w:val="single" w:color="auto" w:sz="10" w:space="0"/>
              <w:insideV w:val="single" w:sz="10" w:space="0"/>
            </w:tcBorders>
            <w:vAlign w:val="center"/>
          </w:tcPr>
          <w:p w14:paraId="1481D205">
            <w:pPr>
              <w:jc w:val="center"/>
            </w:pPr>
            <w:r>
              <w:rPr>
                <w:rFonts w:ascii="宋体" w:hAnsi="宋体" w:eastAsia="宋体"/>
                <w:sz w:val="16"/>
              </w:rPr>
              <w:t>1,242.47</w:t>
            </w:r>
          </w:p>
        </w:tc>
        <w:tc>
          <w:tcPr>
            <w:tcW w:w="1160" w:type="dxa"/>
            <w:tcBorders>
              <w:top w:val="single" w:color="auto" w:sz="10" w:space="0"/>
              <w:left w:val="single" w:color="auto" w:sz="10" w:space="0"/>
              <w:bottom w:val="single" w:color="auto" w:sz="10" w:space="0"/>
              <w:right w:val="single" w:color="auto" w:sz="10" w:space="0"/>
              <w:insideV w:val="single" w:sz="10" w:space="0"/>
            </w:tcBorders>
            <w:vAlign w:val="center"/>
          </w:tcPr>
          <w:p w14:paraId="0EE52CB6">
            <w:pPr>
              <w:jc w:val="center"/>
            </w:pPr>
            <w:r>
              <w:rPr>
                <w:rFonts w:ascii="宋体" w:hAnsi="宋体" w:eastAsia="宋体"/>
                <w:sz w:val="16"/>
              </w:rPr>
              <w:t>1,242.47</w:t>
            </w:r>
          </w:p>
        </w:tc>
        <w:tc>
          <w:tcPr>
            <w:tcW w:w="760" w:type="dxa"/>
            <w:tcBorders>
              <w:top w:val="single" w:color="auto" w:sz="10" w:space="0"/>
              <w:left w:val="single" w:color="auto" w:sz="10" w:space="0"/>
              <w:bottom w:val="single" w:color="auto" w:sz="10" w:space="0"/>
              <w:right w:val="single" w:color="auto" w:sz="10" w:space="0"/>
              <w:insideV w:val="single" w:sz="10" w:space="0"/>
            </w:tcBorders>
            <w:vAlign w:val="center"/>
          </w:tcPr>
          <w:p w14:paraId="30DAD834">
            <w:pPr>
              <w:jc w:val="center"/>
            </w:pPr>
            <w:r>
              <w:rPr>
                <w:rFonts w:ascii="宋体" w:hAnsi="宋体" w:eastAsia="宋体"/>
                <w:sz w:val="16"/>
              </w:rPr>
              <w:t>-</w:t>
            </w:r>
          </w:p>
        </w:tc>
        <w:tc>
          <w:tcPr>
            <w:tcW w:w="993" w:type="dxa"/>
            <w:tcBorders>
              <w:top w:val="single" w:color="auto" w:sz="10" w:space="0"/>
              <w:left w:val="single" w:color="auto" w:sz="10" w:space="0"/>
              <w:bottom w:val="single" w:color="auto" w:sz="10" w:space="0"/>
              <w:right w:val="single" w:color="auto" w:sz="10" w:space="0"/>
              <w:insideV w:val="single" w:sz="10" w:space="0"/>
            </w:tcBorders>
            <w:vAlign w:val="center"/>
          </w:tcPr>
          <w:p w14:paraId="211A2F1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6BC546">
            <w:pPr>
              <w:jc w:val="center"/>
            </w:pPr>
            <w:r>
              <w:rPr>
                <w:rFonts w:ascii="宋体" w:hAnsi="宋体" w:eastAsia="宋体"/>
                <w:sz w:val="16"/>
              </w:rPr>
              <w:t>-</w:t>
            </w:r>
          </w:p>
        </w:tc>
      </w:tr>
      <w:tr w14:paraId="0D5A6DC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7A169DF"/>
        </w:tc>
        <w:tc>
          <w:tcPr>
            <w:tcW w:w="1050" w:type="dxa"/>
            <w:tcBorders>
              <w:top w:val="single" w:color="auto" w:sz="10" w:space="0"/>
              <w:left w:val="single" w:color="auto" w:sz="10" w:space="0"/>
              <w:bottom w:val="single" w:color="auto" w:sz="10" w:space="0"/>
              <w:right w:val="single" w:color="auto" w:sz="10" w:space="0"/>
              <w:insideV w:val="single" w:sz="10" w:space="0"/>
            </w:tcBorders>
            <w:vAlign w:val="center"/>
          </w:tcPr>
          <w:p w14:paraId="5E4ABBAD">
            <w:pPr>
              <w:jc w:val="center"/>
            </w:pPr>
            <w:r>
              <w:rPr>
                <w:rFonts w:ascii="宋体" w:hAnsi="宋体" w:eastAsia="宋体"/>
                <w:sz w:val="16"/>
              </w:rPr>
              <w:t>本级安排（万元）</w:t>
            </w:r>
          </w:p>
        </w:tc>
        <w:tc>
          <w:tcPr>
            <w:tcW w:w="1534" w:type="dxa"/>
            <w:tcBorders>
              <w:top w:val="single" w:color="auto" w:sz="10" w:space="0"/>
              <w:left w:val="single" w:color="auto" w:sz="10" w:space="0"/>
              <w:bottom w:val="single" w:color="auto" w:sz="10" w:space="0"/>
              <w:right w:val="single" w:color="auto" w:sz="10" w:space="0"/>
              <w:insideV w:val="single" w:sz="10" w:space="0"/>
            </w:tcBorders>
            <w:vAlign w:val="center"/>
          </w:tcPr>
          <w:p w14:paraId="1BD8E20C">
            <w:pPr>
              <w:jc w:val="center"/>
            </w:pPr>
            <w:r>
              <w:rPr>
                <w:rFonts w:ascii="宋体" w:hAnsi="宋体" w:eastAsia="宋体"/>
                <w:sz w:val="16"/>
              </w:rPr>
              <w:t>831.67</w:t>
            </w:r>
          </w:p>
        </w:tc>
        <w:tc>
          <w:tcPr>
            <w:tcW w:w="1133" w:type="dxa"/>
            <w:tcBorders>
              <w:top w:val="single" w:color="auto" w:sz="10" w:space="0"/>
              <w:left w:val="single" w:color="auto" w:sz="10" w:space="0"/>
              <w:bottom w:val="single" w:color="auto" w:sz="10" w:space="0"/>
              <w:right w:val="single" w:color="auto" w:sz="10" w:space="0"/>
              <w:insideV w:val="single" w:sz="10" w:space="0"/>
            </w:tcBorders>
            <w:vAlign w:val="center"/>
          </w:tcPr>
          <w:p w14:paraId="773496A7">
            <w:pPr>
              <w:jc w:val="center"/>
            </w:pPr>
            <w:r>
              <w:rPr>
                <w:rFonts w:ascii="宋体" w:hAnsi="宋体" w:eastAsia="宋体"/>
                <w:sz w:val="16"/>
              </w:rPr>
              <w:t>1,520.44</w:t>
            </w:r>
          </w:p>
        </w:tc>
        <w:tc>
          <w:tcPr>
            <w:tcW w:w="1160" w:type="dxa"/>
            <w:tcBorders>
              <w:top w:val="single" w:color="auto" w:sz="10" w:space="0"/>
              <w:left w:val="single" w:color="auto" w:sz="10" w:space="0"/>
              <w:bottom w:val="single" w:color="auto" w:sz="10" w:space="0"/>
              <w:right w:val="single" w:color="auto" w:sz="10" w:space="0"/>
              <w:insideV w:val="single" w:sz="10" w:space="0"/>
            </w:tcBorders>
            <w:vAlign w:val="center"/>
          </w:tcPr>
          <w:p w14:paraId="14468D69">
            <w:pPr>
              <w:jc w:val="center"/>
            </w:pPr>
            <w:r>
              <w:rPr>
                <w:rFonts w:ascii="宋体" w:hAnsi="宋体" w:eastAsia="宋体"/>
                <w:sz w:val="16"/>
              </w:rPr>
              <w:t>872.89</w:t>
            </w:r>
          </w:p>
        </w:tc>
        <w:tc>
          <w:tcPr>
            <w:tcW w:w="760" w:type="dxa"/>
            <w:tcBorders>
              <w:top w:val="single" w:color="auto" w:sz="10" w:space="0"/>
              <w:left w:val="single" w:color="auto" w:sz="10" w:space="0"/>
              <w:bottom w:val="single" w:color="auto" w:sz="10" w:space="0"/>
              <w:right w:val="single" w:color="auto" w:sz="10" w:space="0"/>
              <w:insideV w:val="single" w:sz="10" w:space="0"/>
            </w:tcBorders>
            <w:vAlign w:val="center"/>
          </w:tcPr>
          <w:p w14:paraId="227C0A86">
            <w:pPr>
              <w:jc w:val="center"/>
            </w:pPr>
            <w:r>
              <w:rPr>
                <w:rFonts w:ascii="宋体" w:hAnsi="宋体" w:eastAsia="宋体"/>
                <w:sz w:val="16"/>
              </w:rPr>
              <w:t>-</w:t>
            </w:r>
          </w:p>
        </w:tc>
        <w:tc>
          <w:tcPr>
            <w:tcW w:w="993" w:type="dxa"/>
            <w:tcBorders>
              <w:top w:val="single" w:color="auto" w:sz="10" w:space="0"/>
              <w:left w:val="single" w:color="auto" w:sz="10" w:space="0"/>
              <w:bottom w:val="single" w:color="auto" w:sz="10" w:space="0"/>
              <w:right w:val="single" w:color="auto" w:sz="10" w:space="0"/>
              <w:insideV w:val="single" w:sz="10" w:space="0"/>
            </w:tcBorders>
            <w:vAlign w:val="center"/>
          </w:tcPr>
          <w:p w14:paraId="4E36DF4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FA465B">
            <w:pPr>
              <w:jc w:val="center"/>
            </w:pPr>
            <w:r>
              <w:rPr>
                <w:rFonts w:ascii="宋体" w:hAnsi="宋体" w:eastAsia="宋体"/>
                <w:sz w:val="16"/>
              </w:rPr>
              <w:t>-</w:t>
            </w:r>
          </w:p>
        </w:tc>
      </w:tr>
      <w:tr w14:paraId="0A59F65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D840AA3"/>
        </w:tc>
        <w:tc>
          <w:tcPr>
            <w:tcW w:w="1050" w:type="dxa"/>
            <w:tcBorders>
              <w:top w:val="single" w:color="auto" w:sz="10" w:space="0"/>
              <w:left w:val="single" w:color="auto" w:sz="10" w:space="0"/>
              <w:bottom w:val="single" w:color="auto" w:sz="10" w:space="0"/>
              <w:right w:val="single" w:color="auto" w:sz="10" w:space="0"/>
              <w:insideV w:val="single" w:sz="10" w:space="0"/>
            </w:tcBorders>
            <w:vAlign w:val="center"/>
          </w:tcPr>
          <w:p w14:paraId="62D7ACEB">
            <w:pPr>
              <w:jc w:val="center"/>
            </w:pPr>
            <w:r>
              <w:rPr>
                <w:rFonts w:ascii="宋体" w:hAnsi="宋体" w:eastAsia="宋体"/>
                <w:sz w:val="16"/>
              </w:rPr>
              <w:t>其他资金（万元）</w:t>
            </w:r>
          </w:p>
        </w:tc>
        <w:tc>
          <w:tcPr>
            <w:tcW w:w="1534" w:type="dxa"/>
            <w:tcBorders>
              <w:top w:val="single" w:color="auto" w:sz="10" w:space="0"/>
              <w:left w:val="single" w:color="auto" w:sz="10" w:space="0"/>
              <w:bottom w:val="single" w:color="auto" w:sz="10" w:space="0"/>
              <w:right w:val="single" w:color="auto" w:sz="10" w:space="0"/>
              <w:insideV w:val="single" w:sz="10" w:space="0"/>
            </w:tcBorders>
            <w:vAlign w:val="center"/>
          </w:tcPr>
          <w:p w14:paraId="7163BEC3">
            <w:pPr>
              <w:jc w:val="center"/>
            </w:pPr>
            <w:r>
              <w:rPr>
                <w:rFonts w:ascii="宋体" w:hAnsi="宋体" w:eastAsia="宋体"/>
                <w:sz w:val="16"/>
              </w:rPr>
              <w:t>1,908.65</w:t>
            </w:r>
          </w:p>
        </w:tc>
        <w:tc>
          <w:tcPr>
            <w:tcW w:w="1133" w:type="dxa"/>
            <w:tcBorders>
              <w:top w:val="single" w:color="auto" w:sz="10" w:space="0"/>
              <w:left w:val="single" w:color="auto" w:sz="10" w:space="0"/>
              <w:bottom w:val="single" w:color="auto" w:sz="10" w:space="0"/>
              <w:right w:val="single" w:color="auto" w:sz="10" w:space="0"/>
              <w:insideV w:val="single" w:sz="10" w:space="0"/>
            </w:tcBorders>
            <w:vAlign w:val="center"/>
          </w:tcPr>
          <w:p w14:paraId="64F11364">
            <w:pPr>
              <w:jc w:val="center"/>
            </w:pPr>
            <w:r>
              <w:rPr>
                <w:rFonts w:ascii="宋体" w:hAnsi="宋体" w:eastAsia="宋体"/>
                <w:sz w:val="16"/>
              </w:rPr>
              <w:t>1,995.80</w:t>
            </w:r>
          </w:p>
        </w:tc>
        <w:tc>
          <w:tcPr>
            <w:tcW w:w="1160" w:type="dxa"/>
            <w:tcBorders>
              <w:top w:val="single" w:color="auto" w:sz="10" w:space="0"/>
              <w:left w:val="single" w:color="auto" w:sz="10" w:space="0"/>
              <w:bottom w:val="single" w:color="auto" w:sz="10" w:space="0"/>
              <w:right w:val="single" w:color="auto" w:sz="10" w:space="0"/>
              <w:insideV w:val="single" w:sz="10" w:space="0"/>
            </w:tcBorders>
            <w:vAlign w:val="center"/>
          </w:tcPr>
          <w:p w14:paraId="08CBF4FA">
            <w:pPr>
              <w:jc w:val="center"/>
            </w:pPr>
            <w:r>
              <w:rPr>
                <w:rFonts w:ascii="宋体" w:hAnsi="宋体" w:eastAsia="宋体"/>
                <w:sz w:val="16"/>
              </w:rPr>
              <w:t>1,995.81</w:t>
            </w:r>
          </w:p>
        </w:tc>
        <w:tc>
          <w:tcPr>
            <w:tcW w:w="760" w:type="dxa"/>
            <w:tcBorders>
              <w:top w:val="single" w:color="auto" w:sz="10" w:space="0"/>
              <w:left w:val="single" w:color="auto" w:sz="10" w:space="0"/>
              <w:bottom w:val="single" w:color="auto" w:sz="10" w:space="0"/>
              <w:right w:val="single" w:color="auto" w:sz="10" w:space="0"/>
              <w:insideV w:val="single" w:sz="10" w:space="0"/>
            </w:tcBorders>
            <w:vAlign w:val="center"/>
          </w:tcPr>
          <w:p w14:paraId="27799AC2">
            <w:pPr>
              <w:jc w:val="center"/>
            </w:pPr>
            <w:r>
              <w:rPr>
                <w:rFonts w:ascii="宋体" w:hAnsi="宋体" w:eastAsia="宋体"/>
                <w:sz w:val="16"/>
              </w:rPr>
              <w:t>-</w:t>
            </w:r>
          </w:p>
        </w:tc>
        <w:tc>
          <w:tcPr>
            <w:tcW w:w="993" w:type="dxa"/>
            <w:tcBorders>
              <w:top w:val="single" w:color="auto" w:sz="10" w:space="0"/>
              <w:left w:val="single" w:color="auto" w:sz="10" w:space="0"/>
              <w:bottom w:val="single" w:color="auto" w:sz="10" w:space="0"/>
              <w:right w:val="single" w:color="auto" w:sz="10" w:space="0"/>
              <w:insideV w:val="single" w:sz="10" w:space="0"/>
            </w:tcBorders>
            <w:vAlign w:val="center"/>
          </w:tcPr>
          <w:p w14:paraId="63930FB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0B376D">
            <w:pPr>
              <w:jc w:val="center"/>
            </w:pPr>
            <w:r>
              <w:rPr>
                <w:rFonts w:ascii="宋体" w:hAnsi="宋体" w:eastAsia="宋体"/>
                <w:sz w:val="16"/>
              </w:rPr>
              <w:t>-</w:t>
            </w:r>
          </w:p>
        </w:tc>
      </w:tr>
      <w:tr w14:paraId="1B0D4176">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6149CF">
            <w:pPr>
              <w:jc w:val="center"/>
            </w:pPr>
            <w:r>
              <w:rPr>
                <w:rFonts w:ascii="宋体" w:hAnsi="宋体" w:eastAsia="宋体"/>
                <w:sz w:val="16"/>
              </w:rPr>
              <w:t>年度总目标</w:t>
            </w:r>
          </w:p>
        </w:tc>
        <w:tc>
          <w:tcPr>
            <w:tcW w:w="3717"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54B88F7">
            <w:pPr>
              <w:jc w:val="center"/>
            </w:pPr>
            <w:r>
              <w:rPr>
                <w:rFonts w:ascii="宋体" w:hAnsi="宋体" w:eastAsia="宋体"/>
                <w:sz w:val="16"/>
              </w:rPr>
              <w:t>预期目标</w:t>
            </w:r>
          </w:p>
        </w:tc>
        <w:tc>
          <w:tcPr>
            <w:tcW w:w="401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59C13F9">
            <w:pPr>
              <w:jc w:val="center"/>
            </w:pPr>
            <w:r>
              <w:rPr>
                <w:rFonts w:ascii="宋体" w:hAnsi="宋体" w:eastAsia="宋体"/>
                <w:sz w:val="16"/>
              </w:rPr>
              <w:t>实际完成情况</w:t>
            </w:r>
          </w:p>
        </w:tc>
      </w:tr>
      <w:tr w14:paraId="124EB2B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BD4B15A"/>
        </w:tc>
        <w:tc>
          <w:tcPr>
            <w:tcW w:w="3717"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F8E01DD">
            <w:pPr>
              <w:jc w:val="both"/>
            </w:pPr>
            <w:r>
              <w:rPr>
                <w:rFonts w:hint="eastAsia" w:ascii="宋体" w:hAnsi="宋体"/>
                <w:sz w:val="16"/>
                <w:lang w:eastAsia="zh-CN"/>
              </w:rPr>
              <w:t>1.</w:t>
            </w:r>
            <w:r>
              <w:rPr>
                <w:rFonts w:ascii="宋体" w:hAnsi="宋体" w:eastAsia="宋体"/>
                <w:sz w:val="16"/>
              </w:rPr>
              <w:t xml:space="preserve">基本公共卫生服务制定年初计划，组织实施《国家基本公共卫生服务项目规范（第三版）》14个项目，其中：2型糖尿病患者管理人数达到1200人、高血压患者管理人数达到7300人；                                                                   2、全民健康体检工作不断提升居民健康水平，居民规范化电子健康档案覆盖率达到95%；                                                                 </w:t>
            </w:r>
            <w:r>
              <w:rPr>
                <w:rFonts w:ascii="宋体" w:hAnsi="宋体" w:eastAsia="宋体"/>
                <w:sz w:val="16"/>
              </w:rPr>
              <w:br w:type="textWrapping"/>
            </w:r>
            <w:r>
              <w:rPr>
                <w:rFonts w:ascii="宋体" w:hAnsi="宋体" w:eastAsia="宋体"/>
                <w:sz w:val="16"/>
              </w:rPr>
              <w:t xml:space="preserve">3、积极应对人口老龄化，65岁以上老年人城乡社区规范健康管理服务率达到67%；       </w:t>
            </w:r>
            <w:r>
              <w:rPr>
                <w:rFonts w:ascii="宋体" w:hAnsi="宋体" w:eastAsia="宋体"/>
                <w:sz w:val="16"/>
              </w:rPr>
              <w:br w:type="textWrapping"/>
            </w:r>
            <w:r>
              <w:rPr>
                <w:rFonts w:ascii="宋体" w:hAnsi="宋体" w:eastAsia="宋体"/>
                <w:sz w:val="16"/>
              </w:rPr>
              <w:t>4、疾病预防控制能力有效提升，重点人群筛查率达到95%以上。</w:t>
            </w:r>
          </w:p>
        </w:tc>
        <w:tc>
          <w:tcPr>
            <w:tcW w:w="401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B05D1FE">
            <w:pPr>
              <w:jc w:val="both"/>
            </w:pPr>
            <w:r>
              <w:rPr>
                <w:rFonts w:ascii="宋体" w:hAnsi="宋体" w:eastAsia="宋体"/>
                <w:sz w:val="16"/>
              </w:rPr>
              <w:t>1.设置全民体检点位数量8个、2型糖尿病</w:t>
            </w:r>
            <w:r>
              <w:rPr>
                <w:rFonts w:hint="eastAsia" w:ascii="宋体" w:hAnsi="宋体"/>
                <w:sz w:val="16"/>
                <w:lang w:eastAsia="zh-CN"/>
              </w:rPr>
              <w:t>患者</w:t>
            </w:r>
            <w:r>
              <w:rPr>
                <w:rFonts w:ascii="宋体" w:hAnsi="宋体" w:eastAsia="宋体"/>
                <w:sz w:val="16"/>
              </w:rPr>
              <w:t>1200人 者基层规范管理服务率达到60%、高血压患者管理人数8000人</w:t>
            </w:r>
            <w:r>
              <w:rPr>
                <w:rFonts w:hint="eastAsia" w:ascii="宋体" w:hAnsi="宋体"/>
                <w:sz w:val="16"/>
                <w:lang w:eastAsia="zh-CN"/>
              </w:rPr>
              <w:t>；</w:t>
            </w:r>
            <w:r>
              <w:rPr>
                <w:rFonts w:ascii="宋体" w:hAnsi="宋体" w:eastAsia="宋体"/>
                <w:sz w:val="16"/>
              </w:rPr>
              <w:t>2.开展基本公共卫生服务“两卡制”工作；3.做实做细家庭医生签约续约履约工作；4.65岁以上老年人城乡社区规范健康管理服务率达到93.63%;⑤居民规范化电子健康档案覆盖率达到97.71%。5.疾病预防控制能力有效提升，重点人群筛查率达到98%。</w:t>
            </w:r>
          </w:p>
        </w:tc>
      </w:tr>
      <w:tr w14:paraId="692D2762">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11B717">
            <w:pPr>
              <w:jc w:val="center"/>
            </w:pPr>
            <w:r>
              <w:rPr>
                <w:rFonts w:ascii="宋体" w:hAnsi="宋体" w:eastAsia="宋体"/>
                <w:sz w:val="16"/>
              </w:rPr>
              <w:t>一级指标</w:t>
            </w:r>
          </w:p>
        </w:tc>
        <w:tc>
          <w:tcPr>
            <w:tcW w:w="1050" w:type="dxa"/>
            <w:tcBorders>
              <w:top w:val="single" w:color="auto" w:sz="10" w:space="0"/>
              <w:left w:val="single" w:color="auto" w:sz="10" w:space="0"/>
              <w:bottom w:val="single" w:color="auto" w:sz="10" w:space="0"/>
              <w:right w:val="single" w:color="auto" w:sz="10" w:space="0"/>
              <w:insideV w:val="single" w:sz="10" w:space="0"/>
            </w:tcBorders>
            <w:vAlign w:val="center"/>
          </w:tcPr>
          <w:p w14:paraId="2390AC7E">
            <w:pPr>
              <w:jc w:val="center"/>
            </w:pPr>
            <w:r>
              <w:rPr>
                <w:rFonts w:ascii="宋体" w:hAnsi="宋体" w:eastAsia="宋体"/>
                <w:sz w:val="16"/>
              </w:rPr>
              <w:t>二级指标</w:t>
            </w:r>
          </w:p>
        </w:tc>
        <w:tc>
          <w:tcPr>
            <w:tcW w:w="1534" w:type="dxa"/>
            <w:tcBorders>
              <w:top w:val="single" w:color="auto" w:sz="10" w:space="0"/>
              <w:left w:val="single" w:color="auto" w:sz="10" w:space="0"/>
              <w:bottom w:val="single" w:color="auto" w:sz="10" w:space="0"/>
              <w:right w:val="single" w:color="auto" w:sz="10" w:space="0"/>
              <w:insideV w:val="single" w:sz="10" w:space="0"/>
            </w:tcBorders>
            <w:vAlign w:val="center"/>
          </w:tcPr>
          <w:p w14:paraId="5F89656E">
            <w:pPr>
              <w:jc w:val="center"/>
            </w:pPr>
            <w:r>
              <w:rPr>
                <w:rFonts w:ascii="宋体" w:hAnsi="宋体" w:eastAsia="宋体"/>
                <w:sz w:val="16"/>
              </w:rPr>
              <w:t>三级指标</w:t>
            </w:r>
          </w:p>
        </w:tc>
        <w:tc>
          <w:tcPr>
            <w:tcW w:w="1133" w:type="dxa"/>
            <w:tcBorders>
              <w:top w:val="single" w:color="auto" w:sz="10" w:space="0"/>
              <w:left w:val="single" w:color="auto" w:sz="10" w:space="0"/>
              <w:bottom w:val="single" w:color="auto" w:sz="10" w:space="0"/>
              <w:right w:val="single" w:color="auto" w:sz="10" w:space="0"/>
              <w:insideV w:val="single" w:sz="10" w:space="0"/>
            </w:tcBorders>
            <w:vAlign w:val="center"/>
          </w:tcPr>
          <w:p w14:paraId="1804BA6C">
            <w:pPr>
              <w:jc w:val="center"/>
            </w:pPr>
            <w:r>
              <w:rPr>
                <w:rFonts w:ascii="宋体" w:hAnsi="宋体" w:eastAsia="宋体"/>
                <w:sz w:val="16"/>
              </w:rPr>
              <w:t>指标值</w:t>
            </w:r>
          </w:p>
        </w:tc>
        <w:tc>
          <w:tcPr>
            <w:tcW w:w="1160" w:type="dxa"/>
            <w:tcBorders>
              <w:top w:val="single" w:color="auto" w:sz="10" w:space="0"/>
              <w:left w:val="single" w:color="auto" w:sz="10" w:space="0"/>
              <w:bottom w:val="single" w:color="auto" w:sz="10" w:space="0"/>
              <w:right w:val="single" w:color="auto" w:sz="10" w:space="0"/>
              <w:insideV w:val="single" w:sz="10" w:space="0"/>
            </w:tcBorders>
            <w:vAlign w:val="center"/>
          </w:tcPr>
          <w:p w14:paraId="31B34295">
            <w:pPr>
              <w:jc w:val="center"/>
            </w:pPr>
            <w:r>
              <w:rPr>
                <w:rFonts w:ascii="宋体" w:hAnsi="宋体" w:eastAsia="宋体"/>
                <w:sz w:val="16"/>
              </w:rPr>
              <w:t>指标设定依据</w:t>
            </w:r>
          </w:p>
        </w:tc>
        <w:tc>
          <w:tcPr>
            <w:tcW w:w="760" w:type="dxa"/>
            <w:tcBorders>
              <w:top w:val="single" w:color="auto" w:sz="10" w:space="0"/>
              <w:left w:val="single" w:color="auto" w:sz="10" w:space="0"/>
              <w:bottom w:val="single" w:color="auto" w:sz="10" w:space="0"/>
              <w:right w:val="single" w:color="auto" w:sz="10" w:space="0"/>
              <w:insideV w:val="single" w:sz="10" w:space="0"/>
            </w:tcBorders>
            <w:vAlign w:val="center"/>
          </w:tcPr>
          <w:p w14:paraId="75CB523B">
            <w:pPr>
              <w:jc w:val="center"/>
            </w:pPr>
            <w:r>
              <w:rPr>
                <w:rFonts w:ascii="宋体" w:hAnsi="宋体" w:eastAsia="宋体"/>
                <w:sz w:val="16"/>
              </w:rPr>
              <w:t>分值权重</w:t>
            </w:r>
          </w:p>
        </w:tc>
        <w:tc>
          <w:tcPr>
            <w:tcW w:w="993" w:type="dxa"/>
            <w:tcBorders>
              <w:top w:val="single" w:color="auto" w:sz="10" w:space="0"/>
              <w:left w:val="single" w:color="auto" w:sz="10" w:space="0"/>
              <w:bottom w:val="single" w:color="auto" w:sz="10" w:space="0"/>
              <w:right w:val="single" w:color="auto" w:sz="10" w:space="0"/>
              <w:insideV w:val="single" w:sz="10" w:space="0"/>
            </w:tcBorders>
            <w:vAlign w:val="center"/>
          </w:tcPr>
          <w:p w14:paraId="22C9101D">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FB9C55">
            <w:pPr>
              <w:jc w:val="center"/>
            </w:pPr>
            <w:r>
              <w:rPr>
                <w:rFonts w:ascii="宋体" w:hAnsi="宋体" w:eastAsia="宋体"/>
                <w:sz w:val="16"/>
              </w:rPr>
              <w:t>得分</w:t>
            </w:r>
          </w:p>
        </w:tc>
      </w:tr>
      <w:tr w14:paraId="7652D3FF">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C4602C">
            <w:pPr>
              <w:jc w:val="center"/>
            </w:pPr>
            <w:r>
              <w:rPr>
                <w:rFonts w:ascii="宋体" w:hAnsi="宋体" w:eastAsia="宋体"/>
                <w:sz w:val="16"/>
              </w:rPr>
              <w:t>履职效能</w:t>
            </w:r>
          </w:p>
        </w:tc>
        <w:tc>
          <w:tcPr>
            <w:tcW w:w="105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C5DD6F">
            <w:pPr>
              <w:jc w:val="center"/>
            </w:pPr>
            <w:r>
              <w:rPr>
                <w:rFonts w:ascii="宋体" w:hAnsi="宋体" w:eastAsia="宋体"/>
                <w:sz w:val="16"/>
              </w:rPr>
              <w:t>数量指标</w:t>
            </w:r>
          </w:p>
        </w:tc>
        <w:tc>
          <w:tcPr>
            <w:tcW w:w="1534" w:type="dxa"/>
            <w:tcBorders>
              <w:top w:val="single" w:color="auto" w:sz="10" w:space="0"/>
              <w:left w:val="single" w:color="auto" w:sz="10" w:space="0"/>
              <w:bottom w:val="single" w:color="auto" w:sz="10" w:space="0"/>
              <w:right w:val="single" w:color="auto" w:sz="10" w:space="0"/>
              <w:insideV w:val="single" w:sz="10" w:space="0"/>
            </w:tcBorders>
            <w:vAlign w:val="center"/>
          </w:tcPr>
          <w:p w14:paraId="4446A95C">
            <w:pPr>
              <w:jc w:val="center"/>
            </w:pPr>
            <w:r>
              <w:rPr>
                <w:rFonts w:ascii="宋体" w:hAnsi="宋体" w:eastAsia="宋体"/>
                <w:sz w:val="16"/>
              </w:rPr>
              <w:t>设置全民体检点位数量</w:t>
            </w:r>
          </w:p>
        </w:tc>
        <w:tc>
          <w:tcPr>
            <w:tcW w:w="1133" w:type="dxa"/>
            <w:tcBorders>
              <w:top w:val="single" w:color="auto" w:sz="10" w:space="0"/>
              <w:left w:val="single" w:color="auto" w:sz="10" w:space="0"/>
              <w:bottom w:val="single" w:color="auto" w:sz="10" w:space="0"/>
              <w:right w:val="single" w:color="auto" w:sz="10" w:space="0"/>
              <w:insideV w:val="single" w:sz="10" w:space="0"/>
            </w:tcBorders>
            <w:vAlign w:val="center"/>
          </w:tcPr>
          <w:p w14:paraId="5BA49722">
            <w:pPr>
              <w:jc w:val="center"/>
            </w:pPr>
            <w:r>
              <w:rPr>
                <w:rFonts w:ascii="宋体" w:hAnsi="宋体" w:eastAsia="宋体"/>
                <w:sz w:val="16"/>
              </w:rPr>
              <w:t>&gt;=9个</w:t>
            </w:r>
          </w:p>
        </w:tc>
        <w:tc>
          <w:tcPr>
            <w:tcW w:w="1160" w:type="dxa"/>
            <w:tcBorders>
              <w:top w:val="single" w:color="auto" w:sz="10" w:space="0"/>
              <w:left w:val="single" w:color="auto" w:sz="10" w:space="0"/>
              <w:bottom w:val="single" w:color="auto" w:sz="10" w:space="0"/>
              <w:right w:val="single" w:color="auto" w:sz="10" w:space="0"/>
              <w:insideV w:val="single" w:sz="10" w:space="0"/>
            </w:tcBorders>
            <w:vAlign w:val="center"/>
          </w:tcPr>
          <w:p w14:paraId="1A870A77">
            <w:pPr>
              <w:jc w:val="center"/>
            </w:pPr>
            <w:r>
              <w:rPr>
                <w:rFonts w:ascii="宋体" w:hAnsi="宋体" w:eastAsia="宋体"/>
                <w:sz w:val="16"/>
              </w:rPr>
              <w:t>2024年年初计划</w:t>
            </w:r>
          </w:p>
        </w:tc>
        <w:tc>
          <w:tcPr>
            <w:tcW w:w="760" w:type="dxa"/>
            <w:tcBorders>
              <w:top w:val="single" w:color="auto" w:sz="10" w:space="0"/>
              <w:left w:val="single" w:color="auto" w:sz="10" w:space="0"/>
              <w:bottom w:val="single" w:color="auto" w:sz="10" w:space="0"/>
              <w:right w:val="single" w:color="auto" w:sz="10" w:space="0"/>
              <w:insideV w:val="single" w:sz="10" w:space="0"/>
            </w:tcBorders>
            <w:vAlign w:val="center"/>
          </w:tcPr>
          <w:p w14:paraId="5BD54FF3">
            <w:pPr>
              <w:jc w:val="center"/>
            </w:pPr>
            <w:r>
              <w:rPr>
                <w:rFonts w:ascii="宋体" w:hAnsi="宋体" w:eastAsia="宋体"/>
                <w:sz w:val="16"/>
              </w:rPr>
              <w:t>15</w:t>
            </w:r>
          </w:p>
        </w:tc>
        <w:tc>
          <w:tcPr>
            <w:tcW w:w="993" w:type="dxa"/>
            <w:tcBorders>
              <w:top w:val="single" w:color="auto" w:sz="10" w:space="0"/>
              <w:left w:val="single" w:color="auto" w:sz="10" w:space="0"/>
              <w:bottom w:val="single" w:color="auto" w:sz="10" w:space="0"/>
              <w:right w:val="single" w:color="auto" w:sz="10" w:space="0"/>
              <w:insideV w:val="single" w:sz="10" w:space="0"/>
            </w:tcBorders>
            <w:vAlign w:val="center"/>
          </w:tcPr>
          <w:p w14:paraId="191CBA88">
            <w:pPr>
              <w:jc w:val="center"/>
            </w:pPr>
            <w:r>
              <w:rPr>
                <w:rFonts w:ascii="宋体" w:hAnsi="宋体" w:eastAsia="宋体"/>
                <w:sz w:val="16"/>
              </w:rPr>
              <w:t>&gt;=9个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B77C9B">
            <w:pPr>
              <w:jc w:val="center"/>
            </w:pPr>
            <w:r>
              <w:rPr>
                <w:rFonts w:ascii="宋体" w:hAnsi="宋体" w:eastAsia="宋体"/>
                <w:sz w:val="16"/>
              </w:rPr>
              <w:t>15</w:t>
            </w:r>
          </w:p>
        </w:tc>
      </w:tr>
      <w:tr w14:paraId="4A5CAAD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D2D3687"/>
        </w:tc>
        <w:tc>
          <w:tcPr>
            <w:tcW w:w="1050" w:type="dxa"/>
            <w:vMerge w:val="continue"/>
            <w:tcBorders>
              <w:top w:val="single" w:color="auto" w:sz="10" w:space="0"/>
              <w:left w:val="single" w:color="auto" w:sz="10" w:space="0"/>
              <w:bottom w:val="single" w:color="auto" w:sz="10" w:space="0"/>
              <w:right w:val="single" w:color="auto" w:sz="10" w:space="0"/>
              <w:insideV w:val="single" w:sz="10" w:space="0"/>
            </w:tcBorders>
          </w:tcPr>
          <w:p w14:paraId="487E022D"/>
        </w:tc>
        <w:tc>
          <w:tcPr>
            <w:tcW w:w="1534" w:type="dxa"/>
            <w:tcBorders>
              <w:top w:val="single" w:color="auto" w:sz="10" w:space="0"/>
              <w:left w:val="single" w:color="auto" w:sz="10" w:space="0"/>
              <w:bottom w:val="single" w:color="auto" w:sz="10" w:space="0"/>
              <w:right w:val="single" w:color="auto" w:sz="10" w:space="0"/>
              <w:insideV w:val="single" w:sz="10" w:space="0"/>
            </w:tcBorders>
            <w:vAlign w:val="center"/>
          </w:tcPr>
          <w:p w14:paraId="6BF4F211">
            <w:pPr>
              <w:jc w:val="center"/>
            </w:pPr>
            <w:r>
              <w:rPr>
                <w:rFonts w:ascii="宋体" w:hAnsi="宋体" w:eastAsia="宋体"/>
                <w:sz w:val="16"/>
              </w:rPr>
              <w:t>高血压患者管理人数</w:t>
            </w:r>
          </w:p>
        </w:tc>
        <w:tc>
          <w:tcPr>
            <w:tcW w:w="1133" w:type="dxa"/>
            <w:tcBorders>
              <w:top w:val="single" w:color="auto" w:sz="10" w:space="0"/>
              <w:left w:val="single" w:color="auto" w:sz="10" w:space="0"/>
              <w:bottom w:val="single" w:color="auto" w:sz="10" w:space="0"/>
              <w:right w:val="single" w:color="auto" w:sz="10" w:space="0"/>
              <w:insideV w:val="single" w:sz="10" w:space="0"/>
            </w:tcBorders>
            <w:vAlign w:val="center"/>
          </w:tcPr>
          <w:p w14:paraId="028AAE80">
            <w:pPr>
              <w:jc w:val="center"/>
            </w:pPr>
            <w:r>
              <w:rPr>
                <w:rFonts w:ascii="宋体" w:hAnsi="宋体" w:eastAsia="宋体"/>
                <w:sz w:val="16"/>
              </w:rPr>
              <w:t>&gt;=7300人</w:t>
            </w:r>
          </w:p>
        </w:tc>
        <w:tc>
          <w:tcPr>
            <w:tcW w:w="1160" w:type="dxa"/>
            <w:tcBorders>
              <w:top w:val="single" w:color="auto" w:sz="10" w:space="0"/>
              <w:left w:val="single" w:color="auto" w:sz="10" w:space="0"/>
              <w:bottom w:val="single" w:color="auto" w:sz="10" w:space="0"/>
              <w:right w:val="single" w:color="auto" w:sz="10" w:space="0"/>
              <w:insideV w:val="single" w:sz="10" w:space="0"/>
            </w:tcBorders>
            <w:vAlign w:val="center"/>
          </w:tcPr>
          <w:p w14:paraId="40715BB8">
            <w:pPr>
              <w:jc w:val="center"/>
            </w:pPr>
            <w:r>
              <w:rPr>
                <w:rFonts w:ascii="宋体" w:hAnsi="宋体" w:eastAsia="宋体"/>
                <w:sz w:val="16"/>
              </w:rPr>
              <w:t>2024年年初计划</w:t>
            </w:r>
          </w:p>
        </w:tc>
        <w:tc>
          <w:tcPr>
            <w:tcW w:w="760" w:type="dxa"/>
            <w:tcBorders>
              <w:top w:val="single" w:color="auto" w:sz="10" w:space="0"/>
              <w:left w:val="single" w:color="auto" w:sz="10" w:space="0"/>
              <w:bottom w:val="single" w:color="auto" w:sz="10" w:space="0"/>
              <w:right w:val="single" w:color="auto" w:sz="10" w:space="0"/>
              <w:insideV w:val="single" w:sz="10" w:space="0"/>
            </w:tcBorders>
            <w:vAlign w:val="center"/>
          </w:tcPr>
          <w:p w14:paraId="1D7B01C4">
            <w:pPr>
              <w:jc w:val="center"/>
            </w:pPr>
            <w:r>
              <w:rPr>
                <w:rFonts w:ascii="宋体" w:hAnsi="宋体" w:eastAsia="宋体"/>
                <w:sz w:val="16"/>
              </w:rPr>
              <w:t>15</w:t>
            </w:r>
          </w:p>
        </w:tc>
        <w:tc>
          <w:tcPr>
            <w:tcW w:w="993" w:type="dxa"/>
            <w:tcBorders>
              <w:top w:val="single" w:color="auto" w:sz="10" w:space="0"/>
              <w:left w:val="single" w:color="auto" w:sz="10" w:space="0"/>
              <w:bottom w:val="single" w:color="auto" w:sz="10" w:space="0"/>
              <w:right w:val="single" w:color="auto" w:sz="10" w:space="0"/>
              <w:insideV w:val="single" w:sz="10" w:space="0"/>
            </w:tcBorders>
            <w:vAlign w:val="center"/>
          </w:tcPr>
          <w:p w14:paraId="7D7D3720">
            <w:pPr>
              <w:jc w:val="center"/>
            </w:pPr>
            <w:r>
              <w:rPr>
                <w:rFonts w:ascii="宋体" w:hAnsi="宋体" w:eastAsia="宋体"/>
                <w:sz w:val="16"/>
              </w:rPr>
              <w:t>&gt;=7300人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EFDACF">
            <w:pPr>
              <w:jc w:val="center"/>
            </w:pPr>
            <w:r>
              <w:rPr>
                <w:rFonts w:ascii="宋体" w:hAnsi="宋体" w:eastAsia="宋体"/>
                <w:sz w:val="16"/>
              </w:rPr>
              <w:t>15</w:t>
            </w:r>
          </w:p>
        </w:tc>
      </w:tr>
      <w:tr w14:paraId="413CA9D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CAF7ED0"/>
        </w:tc>
        <w:tc>
          <w:tcPr>
            <w:tcW w:w="1050" w:type="dxa"/>
            <w:vMerge w:val="continue"/>
            <w:tcBorders>
              <w:top w:val="single" w:color="auto" w:sz="10" w:space="0"/>
              <w:left w:val="single" w:color="auto" w:sz="10" w:space="0"/>
              <w:bottom w:val="single" w:color="auto" w:sz="10" w:space="0"/>
              <w:right w:val="single" w:color="auto" w:sz="10" w:space="0"/>
              <w:insideV w:val="single" w:sz="10" w:space="0"/>
            </w:tcBorders>
          </w:tcPr>
          <w:p w14:paraId="1CA53E79"/>
        </w:tc>
        <w:tc>
          <w:tcPr>
            <w:tcW w:w="1534" w:type="dxa"/>
            <w:tcBorders>
              <w:top w:val="single" w:color="auto" w:sz="10" w:space="0"/>
              <w:left w:val="single" w:color="auto" w:sz="10" w:space="0"/>
              <w:bottom w:val="single" w:color="auto" w:sz="10" w:space="0"/>
              <w:right w:val="single" w:color="auto" w:sz="10" w:space="0"/>
              <w:insideV w:val="single" w:sz="10" w:space="0"/>
            </w:tcBorders>
            <w:vAlign w:val="center"/>
          </w:tcPr>
          <w:p w14:paraId="2FAECE23">
            <w:pPr>
              <w:jc w:val="center"/>
            </w:pPr>
            <w:r>
              <w:rPr>
                <w:rFonts w:ascii="宋体" w:hAnsi="宋体" w:eastAsia="宋体"/>
                <w:sz w:val="16"/>
              </w:rPr>
              <w:t>2型糖尿病患者管理人数</w:t>
            </w:r>
          </w:p>
        </w:tc>
        <w:tc>
          <w:tcPr>
            <w:tcW w:w="1133" w:type="dxa"/>
            <w:tcBorders>
              <w:top w:val="single" w:color="auto" w:sz="10" w:space="0"/>
              <w:left w:val="single" w:color="auto" w:sz="10" w:space="0"/>
              <w:bottom w:val="single" w:color="auto" w:sz="10" w:space="0"/>
              <w:right w:val="single" w:color="auto" w:sz="10" w:space="0"/>
              <w:insideV w:val="single" w:sz="10" w:space="0"/>
            </w:tcBorders>
            <w:vAlign w:val="center"/>
          </w:tcPr>
          <w:p w14:paraId="1FB89C82">
            <w:pPr>
              <w:jc w:val="center"/>
            </w:pPr>
            <w:r>
              <w:rPr>
                <w:rFonts w:ascii="宋体" w:hAnsi="宋体" w:eastAsia="宋体"/>
                <w:sz w:val="16"/>
              </w:rPr>
              <w:t>&gt;=1200人</w:t>
            </w:r>
          </w:p>
        </w:tc>
        <w:tc>
          <w:tcPr>
            <w:tcW w:w="1160" w:type="dxa"/>
            <w:tcBorders>
              <w:top w:val="single" w:color="auto" w:sz="10" w:space="0"/>
              <w:left w:val="single" w:color="auto" w:sz="10" w:space="0"/>
              <w:bottom w:val="single" w:color="auto" w:sz="10" w:space="0"/>
              <w:right w:val="single" w:color="auto" w:sz="10" w:space="0"/>
              <w:insideV w:val="single" w:sz="10" w:space="0"/>
            </w:tcBorders>
            <w:vAlign w:val="center"/>
          </w:tcPr>
          <w:p w14:paraId="0529C7D4">
            <w:pPr>
              <w:jc w:val="center"/>
            </w:pPr>
            <w:r>
              <w:rPr>
                <w:rFonts w:ascii="宋体" w:hAnsi="宋体" w:eastAsia="宋体"/>
                <w:sz w:val="16"/>
              </w:rPr>
              <w:t>2024年年初计划</w:t>
            </w:r>
          </w:p>
        </w:tc>
        <w:tc>
          <w:tcPr>
            <w:tcW w:w="760" w:type="dxa"/>
            <w:tcBorders>
              <w:top w:val="single" w:color="auto" w:sz="10" w:space="0"/>
              <w:left w:val="single" w:color="auto" w:sz="10" w:space="0"/>
              <w:bottom w:val="single" w:color="auto" w:sz="10" w:space="0"/>
              <w:right w:val="single" w:color="auto" w:sz="10" w:space="0"/>
              <w:insideV w:val="single" w:sz="10" w:space="0"/>
            </w:tcBorders>
            <w:vAlign w:val="center"/>
          </w:tcPr>
          <w:p w14:paraId="1317EED0">
            <w:pPr>
              <w:jc w:val="center"/>
            </w:pPr>
            <w:r>
              <w:rPr>
                <w:rFonts w:ascii="宋体" w:hAnsi="宋体" w:eastAsia="宋体"/>
                <w:sz w:val="16"/>
              </w:rPr>
              <w:t>15</w:t>
            </w:r>
          </w:p>
        </w:tc>
        <w:tc>
          <w:tcPr>
            <w:tcW w:w="993" w:type="dxa"/>
            <w:tcBorders>
              <w:top w:val="single" w:color="auto" w:sz="10" w:space="0"/>
              <w:left w:val="single" w:color="auto" w:sz="10" w:space="0"/>
              <w:bottom w:val="single" w:color="auto" w:sz="10" w:space="0"/>
              <w:right w:val="single" w:color="auto" w:sz="10" w:space="0"/>
              <w:insideV w:val="single" w:sz="10" w:space="0"/>
            </w:tcBorders>
            <w:vAlign w:val="center"/>
          </w:tcPr>
          <w:p w14:paraId="0C9E7683">
            <w:pPr>
              <w:jc w:val="center"/>
            </w:pPr>
            <w:r>
              <w:rPr>
                <w:rFonts w:ascii="宋体" w:hAnsi="宋体" w:eastAsia="宋体"/>
                <w:sz w:val="16"/>
              </w:rPr>
              <w:t>&gt;=1200人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D2E2C9">
            <w:pPr>
              <w:jc w:val="center"/>
            </w:pPr>
            <w:r>
              <w:rPr>
                <w:rFonts w:ascii="宋体" w:hAnsi="宋体" w:eastAsia="宋体"/>
                <w:sz w:val="16"/>
              </w:rPr>
              <w:t>15</w:t>
            </w:r>
          </w:p>
        </w:tc>
      </w:tr>
      <w:tr w14:paraId="28510DC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1F5A16F"/>
        </w:tc>
        <w:tc>
          <w:tcPr>
            <w:tcW w:w="105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F5BC94">
            <w:pPr>
              <w:jc w:val="center"/>
            </w:pPr>
            <w:r>
              <w:rPr>
                <w:rFonts w:ascii="宋体" w:hAnsi="宋体" w:eastAsia="宋体"/>
                <w:sz w:val="16"/>
              </w:rPr>
              <w:t>质量指标</w:t>
            </w:r>
          </w:p>
        </w:tc>
        <w:tc>
          <w:tcPr>
            <w:tcW w:w="1534" w:type="dxa"/>
            <w:tcBorders>
              <w:top w:val="single" w:color="auto" w:sz="10" w:space="0"/>
              <w:left w:val="single" w:color="auto" w:sz="10" w:space="0"/>
              <w:bottom w:val="single" w:color="auto" w:sz="10" w:space="0"/>
              <w:right w:val="single" w:color="auto" w:sz="10" w:space="0"/>
              <w:insideV w:val="single" w:sz="10" w:space="0"/>
            </w:tcBorders>
            <w:vAlign w:val="center"/>
          </w:tcPr>
          <w:p w14:paraId="2233302F">
            <w:pPr>
              <w:jc w:val="center"/>
            </w:pPr>
            <w:r>
              <w:rPr>
                <w:rFonts w:ascii="宋体" w:hAnsi="宋体" w:eastAsia="宋体"/>
                <w:sz w:val="16"/>
              </w:rPr>
              <w:t>居民规范化电子健康档案覆盖率</w:t>
            </w:r>
          </w:p>
        </w:tc>
        <w:tc>
          <w:tcPr>
            <w:tcW w:w="1133" w:type="dxa"/>
            <w:tcBorders>
              <w:top w:val="single" w:color="auto" w:sz="10" w:space="0"/>
              <w:left w:val="single" w:color="auto" w:sz="10" w:space="0"/>
              <w:bottom w:val="single" w:color="auto" w:sz="10" w:space="0"/>
              <w:right w:val="single" w:color="auto" w:sz="10" w:space="0"/>
              <w:insideV w:val="single" w:sz="10" w:space="0"/>
            </w:tcBorders>
            <w:vAlign w:val="center"/>
          </w:tcPr>
          <w:p w14:paraId="0EC71AB3">
            <w:pPr>
              <w:jc w:val="center"/>
            </w:pPr>
            <w:r>
              <w:rPr>
                <w:rFonts w:ascii="宋体" w:hAnsi="宋体" w:eastAsia="宋体"/>
                <w:sz w:val="16"/>
              </w:rPr>
              <w:t>&gt;=95%</w:t>
            </w:r>
          </w:p>
        </w:tc>
        <w:tc>
          <w:tcPr>
            <w:tcW w:w="1160" w:type="dxa"/>
            <w:tcBorders>
              <w:top w:val="single" w:color="auto" w:sz="10" w:space="0"/>
              <w:left w:val="single" w:color="auto" w:sz="10" w:space="0"/>
              <w:bottom w:val="single" w:color="auto" w:sz="10" w:space="0"/>
              <w:right w:val="single" w:color="auto" w:sz="10" w:space="0"/>
              <w:insideV w:val="single" w:sz="10" w:space="0"/>
            </w:tcBorders>
            <w:vAlign w:val="center"/>
          </w:tcPr>
          <w:p w14:paraId="39E225CC">
            <w:pPr>
              <w:jc w:val="center"/>
            </w:pPr>
            <w:r>
              <w:rPr>
                <w:rFonts w:ascii="宋体" w:hAnsi="宋体" w:eastAsia="宋体"/>
                <w:sz w:val="16"/>
              </w:rPr>
              <w:t>2024年年初计划</w:t>
            </w:r>
          </w:p>
        </w:tc>
        <w:tc>
          <w:tcPr>
            <w:tcW w:w="760" w:type="dxa"/>
            <w:tcBorders>
              <w:top w:val="single" w:color="auto" w:sz="10" w:space="0"/>
              <w:left w:val="single" w:color="auto" w:sz="10" w:space="0"/>
              <w:bottom w:val="single" w:color="auto" w:sz="10" w:space="0"/>
              <w:right w:val="single" w:color="auto" w:sz="10" w:space="0"/>
              <w:insideV w:val="single" w:sz="10" w:space="0"/>
            </w:tcBorders>
            <w:vAlign w:val="center"/>
          </w:tcPr>
          <w:p w14:paraId="0EF8D0C2">
            <w:pPr>
              <w:jc w:val="center"/>
            </w:pPr>
            <w:r>
              <w:rPr>
                <w:rFonts w:ascii="宋体" w:hAnsi="宋体" w:eastAsia="宋体"/>
                <w:sz w:val="16"/>
              </w:rPr>
              <w:t>15</w:t>
            </w:r>
          </w:p>
        </w:tc>
        <w:tc>
          <w:tcPr>
            <w:tcW w:w="993" w:type="dxa"/>
            <w:tcBorders>
              <w:top w:val="single" w:color="auto" w:sz="10" w:space="0"/>
              <w:left w:val="single" w:color="auto" w:sz="10" w:space="0"/>
              <w:bottom w:val="single" w:color="auto" w:sz="10" w:space="0"/>
              <w:right w:val="single" w:color="auto" w:sz="10" w:space="0"/>
              <w:insideV w:val="single" w:sz="10" w:space="0"/>
            </w:tcBorders>
            <w:vAlign w:val="center"/>
          </w:tcPr>
          <w:p w14:paraId="24807581">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05033B">
            <w:pPr>
              <w:jc w:val="center"/>
            </w:pPr>
            <w:r>
              <w:rPr>
                <w:rFonts w:ascii="宋体" w:hAnsi="宋体" w:eastAsia="宋体"/>
                <w:sz w:val="16"/>
              </w:rPr>
              <w:t>15</w:t>
            </w:r>
          </w:p>
        </w:tc>
      </w:tr>
      <w:tr w14:paraId="562AB42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926D9FA"/>
        </w:tc>
        <w:tc>
          <w:tcPr>
            <w:tcW w:w="1050" w:type="dxa"/>
            <w:vMerge w:val="continue"/>
            <w:tcBorders>
              <w:top w:val="single" w:color="auto" w:sz="10" w:space="0"/>
              <w:left w:val="single" w:color="auto" w:sz="10" w:space="0"/>
              <w:bottom w:val="single" w:color="auto" w:sz="10" w:space="0"/>
              <w:right w:val="single" w:color="auto" w:sz="10" w:space="0"/>
              <w:insideV w:val="single" w:sz="10" w:space="0"/>
            </w:tcBorders>
          </w:tcPr>
          <w:p w14:paraId="07D1F14C"/>
        </w:tc>
        <w:tc>
          <w:tcPr>
            <w:tcW w:w="1534" w:type="dxa"/>
            <w:tcBorders>
              <w:top w:val="single" w:color="auto" w:sz="10" w:space="0"/>
              <w:left w:val="single" w:color="auto" w:sz="10" w:space="0"/>
              <w:bottom w:val="single" w:color="auto" w:sz="10" w:space="0"/>
              <w:right w:val="single" w:color="auto" w:sz="10" w:space="0"/>
              <w:insideV w:val="single" w:sz="10" w:space="0"/>
            </w:tcBorders>
            <w:vAlign w:val="center"/>
          </w:tcPr>
          <w:p w14:paraId="270D9A49">
            <w:pPr>
              <w:jc w:val="center"/>
            </w:pPr>
            <w:r>
              <w:rPr>
                <w:rFonts w:ascii="宋体" w:hAnsi="宋体" w:eastAsia="宋体"/>
                <w:sz w:val="16"/>
              </w:rPr>
              <w:t>65岁以上老年人城乡社区规范健康管理服务</w:t>
            </w:r>
          </w:p>
        </w:tc>
        <w:tc>
          <w:tcPr>
            <w:tcW w:w="1133" w:type="dxa"/>
            <w:tcBorders>
              <w:top w:val="single" w:color="auto" w:sz="10" w:space="0"/>
              <w:left w:val="single" w:color="auto" w:sz="10" w:space="0"/>
              <w:bottom w:val="single" w:color="auto" w:sz="10" w:space="0"/>
              <w:right w:val="single" w:color="auto" w:sz="10" w:space="0"/>
              <w:insideV w:val="single" w:sz="10" w:space="0"/>
            </w:tcBorders>
            <w:vAlign w:val="center"/>
          </w:tcPr>
          <w:p w14:paraId="5F52A6D7">
            <w:pPr>
              <w:jc w:val="center"/>
            </w:pPr>
            <w:r>
              <w:rPr>
                <w:rFonts w:ascii="宋体" w:hAnsi="宋体" w:eastAsia="宋体"/>
                <w:sz w:val="16"/>
              </w:rPr>
              <w:t>&gt;=67%</w:t>
            </w:r>
          </w:p>
        </w:tc>
        <w:tc>
          <w:tcPr>
            <w:tcW w:w="1160" w:type="dxa"/>
            <w:tcBorders>
              <w:top w:val="single" w:color="auto" w:sz="10" w:space="0"/>
              <w:left w:val="single" w:color="auto" w:sz="10" w:space="0"/>
              <w:bottom w:val="single" w:color="auto" w:sz="10" w:space="0"/>
              <w:right w:val="single" w:color="auto" w:sz="10" w:space="0"/>
              <w:insideV w:val="single" w:sz="10" w:space="0"/>
            </w:tcBorders>
            <w:vAlign w:val="center"/>
          </w:tcPr>
          <w:p w14:paraId="0BA6F4CA">
            <w:pPr>
              <w:jc w:val="center"/>
            </w:pPr>
            <w:r>
              <w:rPr>
                <w:rFonts w:ascii="宋体" w:hAnsi="宋体" w:eastAsia="宋体"/>
                <w:sz w:val="16"/>
              </w:rPr>
              <w:t>2024年年初计划</w:t>
            </w:r>
          </w:p>
        </w:tc>
        <w:tc>
          <w:tcPr>
            <w:tcW w:w="760" w:type="dxa"/>
            <w:tcBorders>
              <w:top w:val="single" w:color="auto" w:sz="10" w:space="0"/>
              <w:left w:val="single" w:color="auto" w:sz="10" w:space="0"/>
              <w:bottom w:val="single" w:color="auto" w:sz="10" w:space="0"/>
              <w:right w:val="single" w:color="auto" w:sz="10" w:space="0"/>
              <w:insideV w:val="single" w:sz="10" w:space="0"/>
            </w:tcBorders>
            <w:vAlign w:val="center"/>
          </w:tcPr>
          <w:p w14:paraId="7453D692">
            <w:pPr>
              <w:jc w:val="center"/>
            </w:pPr>
            <w:r>
              <w:rPr>
                <w:rFonts w:ascii="宋体" w:hAnsi="宋体" w:eastAsia="宋体"/>
                <w:sz w:val="16"/>
              </w:rPr>
              <w:t>15</w:t>
            </w:r>
          </w:p>
        </w:tc>
        <w:tc>
          <w:tcPr>
            <w:tcW w:w="993" w:type="dxa"/>
            <w:tcBorders>
              <w:top w:val="single" w:color="auto" w:sz="10" w:space="0"/>
              <w:left w:val="single" w:color="auto" w:sz="10" w:space="0"/>
              <w:bottom w:val="single" w:color="auto" w:sz="10" w:space="0"/>
              <w:right w:val="single" w:color="auto" w:sz="10" w:space="0"/>
              <w:insideV w:val="single" w:sz="10" w:space="0"/>
            </w:tcBorders>
            <w:vAlign w:val="center"/>
          </w:tcPr>
          <w:p w14:paraId="6FA23055">
            <w:pPr>
              <w:jc w:val="center"/>
            </w:pPr>
            <w:r>
              <w:rPr>
                <w:rFonts w:ascii="宋体" w:hAnsi="宋体" w:eastAsia="宋体"/>
                <w:sz w:val="16"/>
              </w:rPr>
              <w:t>&gt;=67%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94F86C">
            <w:pPr>
              <w:jc w:val="center"/>
            </w:pPr>
            <w:r>
              <w:rPr>
                <w:rFonts w:ascii="宋体" w:hAnsi="宋体" w:eastAsia="宋体"/>
                <w:sz w:val="16"/>
              </w:rPr>
              <w:t>15</w:t>
            </w:r>
          </w:p>
        </w:tc>
      </w:tr>
      <w:tr w14:paraId="6EA4BDC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1F73649"/>
        </w:tc>
        <w:tc>
          <w:tcPr>
            <w:tcW w:w="1050" w:type="dxa"/>
            <w:vMerge w:val="continue"/>
            <w:tcBorders>
              <w:top w:val="single" w:color="auto" w:sz="10" w:space="0"/>
              <w:left w:val="single" w:color="auto" w:sz="10" w:space="0"/>
              <w:bottom w:val="single" w:color="auto" w:sz="10" w:space="0"/>
              <w:right w:val="single" w:color="auto" w:sz="10" w:space="0"/>
              <w:insideV w:val="single" w:sz="10" w:space="0"/>
            </w:tcBorders>
          </w:tcPr>
          <w:p w14:paraId="2E1E6154"/>
        </w:tc>
        <w:tc>
          <w:tcPr>
            <w:tcW w:w="1534" w:type="dxa"/>
            <w:tcBorders>
              <w:top w:val="single" w:color="auto" w:sz="10" w:space="0"/>
              <w:left w:val="single" w:color="auto" w:sz="10" w:space="0"/>
              <w:bottom w:val="single" w:color="auto" w:sz="10" w:space="0"/>
              <w:right w:val="single" w:color="auto" w:sz="10" w:space="0"/>
              <w:insideV w:val="single" w:sz="10" w:space="0"/>
            </w:tcBorders>
            <w:vAlign w:val="center"/>
          </w:tcPr>
          <w:p w14:paraId="4CDBD3AD">
            <w:pPr>
              <w:jc w:val="center"/>
            </w:pPr>
            <w:r>
              <w:rPr>
                <w:rFonts w:ascii="宋体" w:hAnsi="宋体" w:eastAsia="宋体"/>
                <w:sz w:val="16"/>
              </w:rPr>
              <w:t>重点人群筛查率</w:t>
            </w:r>
          </w:p>
        </w:tc>
        <w:tc>
          <w:tcPr>
            <w:tcW w:w="1133" w:type="dxa"/>
            <w:tcBorders>
              <w:top w:val="single" w:color="auto" w:sz="10" w:space="0"/>
              <w:left w:val="single" w:color="auto" w:sz="10" w:space="0"/>
              <w:bottom w:val="single" w:color="auto" w:sz="10" w:space="0"/>
              <w:right w:val="single" w:color="auto" w:sz="10" w:space="0"/>
              <w:insideV w:val="single" w:sz="10" w:space="0"/>
            </w:tcBorders>
            <w:vAlign w:val="center"/>
          </w:tcPr>
          <w:p w14:paraId="594F3C9F">
            <w:pPr>
              <w:jc w:val="center"/>
            </w:pPr>
            <w:r>
              <w:rPr>
                <w:rFonts w:ascii="宋体" w:hAnsi="宋体" w:eastAsia="宋体"/>
                <w:sz w:val="16"/>
              </w:rPr>
              <w:t>&gt;=95%</w:t>
            </w:r>
          </w:p>
        </w:tc>
        <w:tc>
          <w:tcPr>
            <w:tcW w:w="1160" w:type="dxa"/>
            <w:tcBorders>
              <w:top w:val="single" w:color="auto" w:sz="10" w:space="0"/>
              <w:left w:val="single" w:color="auto" w:sz="10" w:space="0"/>
              <w:bottom w:val="single" w:color="auto" w:sz="10" w:space="0"/>
              <w:right w:val="single" w:color="auto" w:sz="10" w:space="0"/>
              <w:insideV w:val="single" w:sz="10" w:space="0"/>
            </w:tcBorders>
            <w:vAlign w:val="center"/>
          </w:tcPr>
          <w:p w14:paraId="6D3158AA">
            <w:pPr>
              <w:jc w:val="center"/>
            </w:pPr>
            <w:r>
              <w:rPr>
                <w:rFonts w:ascii="宋体" w:hAnsi="宋体" w:eastAsia="宋体"/>
                <w:sz w:val="16"/>
              </w:rPr>
              <w:t>2024年年初计划</w:t>
            </w:r>
          </w:p>
        </w:tc>
        <w:tc>
          <w:tcPr>
            <w:tcW w:w="760" w:type="dxa"/>
            <w:tcBorders>
              <w:top w:val="single" w:color="auto" w:sz="10" w:space="0"/>
              <w:left w:val="single" w:color="auto" w:sz="10" w:space="0"/>
              <w:bottom w:val="single" w:color="auto" w:sz="10" w:space="0"/>
              <w:right w:val="single" w:color="auto" w:sz="10" w:space="0"/>
              <w:insideV w:val="single" w:sz="10" w:space="0"/>
            </w:tcBorders>
            <w:vAlign w:val="center"/>
          </w:tcPr>
          <w:p w14:paraId="31C7C67D">
            <w:pPr>
              <w:jc w:val="center"/>
            </w:pPr>
            <w:r>
              <w:rPr>
                <w:rFonts w:ascii="宋体" w:hAnsi="宋体" w:eastAsia="宋体"/>
                <w:sz w:val="16"/>
              </w:rPr>
              <w:t>15</w:t>
            </w:r>
          </w:p>
        </w:tc>
        <w:tc>
          <w:tcPr>
            <w:tcW w:w="993" w:type="dxa"/>
            <w:tcBorders>
              <w:top w:val="single" w:color="auto" w:sz="10" w:space="0"/>
              <w:left w:val="single" w:color="auto" w:sz="10" w:space="0"/>
              <w:bottom w:val="single" w:color="auto" w:sz="10" w:space="0"/>
              <w:right w:val="single" w:color="auto" w:sz="10" w:space="0"/>
              <w:insideV w:val="single" w:sz="10" w:space="0"/>
            </w:tcBorders>
            <w:vAlign w:val="center"/>
          </w:tcPr>
          <w:p w14:paraId="325B5CA4">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FF15D1">
            <w:pPr>
              <w:jc w:val="center"/>
            </w:pPr>
            <w:r>
              <w:rPr>
                <w:rFonts w:ascii="宋体" w:hAnsi="宋体" w:eastAsia="宋体"/>
                <w:sz w:val="16"/>
              </w:rPr>
              <w:t>15</w:t>
            </w:r>
          </w:p>
        </w:tc>
      </w:tr>
    </w:tbl>
    <w:p w14:paraId="0583FE0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96"/>
        <w:gridCol w:w="632"/>
        <w:gridCol w:w="632"/>
        <w:gridCol w:w="632"/>
        <w:gridCol w:w="696"/>
        <w:gridCol w:w="632"/>
        <w:gridCol w:w="632"/>
        <w:gridCol w:w="632"/>
      </w:tblGrid>
      <w:tr w14:paraId="2560C491">
        <w:tblPrEx>
          <w:tblCellMar>
            <w:top w:w="0" w:type="dxa"/>
            <w:left w:w="108" w:type="dxa"/>
            <w:bottom w:w="0" w:type="dxa"/>
            <w:right w:w="108" w:type="dxa"/>
          </w:tblCellMar>
        </w:tblPrEx>
        <w:tc>
          <w:tcPr>
            <w:tcW w:w="8848" w:type="dxa"/>
            <w:gridSpan w:val="14"/>
            <w:vAlign w:val="center"/>
          </w:tcPr>
          <w:p w14:paraId="76959129">
            <w:pPr>
              <w:jc w:val="center"/>
            </w:pPr>
            <w:r>
              <w:rPr>
                <w:rFonts w:ascii="宋体" w:hAnsi="宋体" w:eastAsia="宋体"/>
                <w:sz w:val="24"/>
              </w:rPr>
              <w:t>项目支出绩效自评表</w:t>
            </w:r>
          </w:p>
        </w:tc>
      </w:tr>
      <w:tr w14:paraId="50895973">
        <w:tblPrEx>
          <w:tblCellMar>
            <w:top w:w="0" w:type="dxa"/>
            <w:left w:w="108" w:type="dxa"/>
            <w:bottom w:w="0" w:type="dxa"/>
            <w:right w:w="108" w:type="dxa"/>
          </w:tblCellMar>
        </w:tblPrEx>
        <w:tc>
          <w:tcPr>
            <w:tcW w:w="8848" w:type="dxa"/>
            <w:gridSpan w:val="14"/>
            <w:vAlign w:val="center"/>
          </w:tcPr>
          <w:p w14:paraId="73BA49C1">
            <w:pPr>
              <w:jc w:val="center"/>
            </w:pPr>
            <w:r>
              <w:rPr>
                <w:rFonts w:ascii="宋体" w:hAnsi="宋体" w:eastAsia="宋体"/>
                <w:sz w:val="24"/>
              </w:rPr>
              <w:t>(2024年度)</w:t>
            </w:r>
          </w:p>
        </w:tc>
      </w:tr>
      <w:tr w14:paraId="4D1FB84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3D19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3856A68">
            <w:pPr>
              <w:jc w:val="center"/>
            </w:pPr>
            <w:r>
              <w:rPr>
                <w:rFonts w:ascii="宋体" w:hAnsi="宋体" w:eastAsia="宋体"/>
                <w:sz w:val="16"/>
              </w:rPr>
              <w:t>2024年其他人员类-2024年乡村医生生活补助</w:t>
            </w:r>
          </w:p>
        </w:tc>
      </w:tr>
      <w:tr w14:paraId="52A67D4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5112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CDB984">
            <w:pPr>
              <w:jc w:val="center"/>
            </w:pPr>
            <w:r>
              <w:rPr>
                <w:rFonts w:ascii="宋体" w:hAnsi="宋体" w:eastAsia="宋体"/>
                <w:sz w:val="16"/>
              </w:rPr>
              <w:t>托里县卫生健康委员会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D8A0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3ECF28C">
            <w:pPr>
              <w:jc w:val="center"/>
            </w:pPr>
            <w:r>
              <w:rPr>
                <w:rFonts w:ascii="宋体" w:hAnsi="宋体" w:eastAsia="宋体"/>
                <w:sz w:val="16"/>
              </w:rPr>
              <w:t>托里县卫生健康委员会</w:t>
            </w:r>
          </w:p>
        </w:tc>
      </w:tr>
      <w:tr w14:paraId="1204799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514F2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7A346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68A86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1F7A5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2CF34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59DB4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FFC54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59DE6">
            <w:pPr>
              <w:jc w:val="center"/>
            </w:pPr>
            <w:r>
              <w:rPr>
                <w:rFonts w:ascii="宋体" w:hAnsi="宋体" w:eastAsia="宋体"/>
                <w:sz w:val="16"/>
              </w:rPr>
              <w:t>得分</w:t>
            </w:r>
          </w:p>
        </w:tc>
      </w:tr>
      <w:tr w14:paraId="6ED6C7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A0454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5B087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436D5A">
            <w:pPr>
              <w:jc w:val="center"/>
            </w:pPr>
            <w:r>
              <w:rPr>
                <w:rFonts w:ascii="宋体" w:hAnsi="宋体" w:eastAsia="宋体"/>
                <w:sz w:val="16"/>
              </w:rPr>
              <w:t>212.74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FD1DC5">
            <w:pPr>
              <w:jc w:val="center"/>
            </w:pPr>
            <w:r>
              <w:rPr>
                <w:rFonts w:ascii="宋体" w:hAnsi="宋体" w:eastAsia="宋体"/>
                <w:sz w:val="16"/>
              </w:rPr>
              <w:t>212.74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1DDFE3">
            <w:pPr>
              <w:jc w:val="center"/>
            </w:pPr>
            <w:r>
              <w:rPr>
                <w:rFonts w:ascii="宋体" w:hAnsi="宋体" w:eastAsia="宋体"/>
                <w:sz w:val="16"/>
              </w:rPr>
              <w:t>188.58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8EC53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E5F5AC">
            <w:pPr>
              <w:jc w:val="center"/>
            </w:pPr>
            <w:r>
              <w:rPr>
                <w:rFonts w:ascii="宋体" w:hAnsi="宋体" w:eastAsia="宋体"/>
                <w:sz w:val="16"/>
              </w:rPr>
              <w:t>88.64%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243B6">
            <w:pPr>
              <w:jc w:val="center"/>
            </w:pPr>
            <w:r>
              <w:rPr>
                <w:rFonts w:ascii="宋体" w:hAnsi="宋体" w:eastAsia="宋体"/>
                <w:sz w:val="16"/>
              </w:rPr>
              <w:t>8.86</w:t>
            </w:r>
          </w:p>
        </w:tc>
      </w:tr>
      <w:tr w14:paraId="40F887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7D9F4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FC6CE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5780F9">
            <w:pPr>
              <w:jc w:val="center"/>
            </w:pPr>
            <w:r>
              <w:rPr>
                <w:rFonts w:ascii="宋体" w:hAnsi="宋体" w:eastAsia="宋体"/>
                <w:sz w:val="16"/>
              </w:rPr>
              <w:t>212.74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790821">
            <w:pPr>
              <w:jc w:val="center"/>
            </w:pPr>
            <w:r>
              <w:rPr>
                <w:rFonts w:ascii="宋体" w:hAnsi="宋体" w:eastAsia="宋体"/>
                <w:sz w:val="16"/>
              </w:rPr>
              <w:t>212.74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9D6231">
            <w:pPr>
              <w:jc w:val="center"/>
            </w:pPr>
            <w:r>
              <w:rPr>
                <w:rFonts w:ascii="宋体" w:hAnsi="宋体" w:eastAsia="宋体"/>
                <w:sz w:val="16"/>
              </w:rPr>
              <w:t>188.58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6E9E0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D4B78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D56C6">
            <w:pPr>
              <w:jc w:val="center"/>
            </w:pPr>
            <w:r>
              <w:rPr>
                <w:rFonts w:ascii="宋体" w:hAnsi="宋体" w:eastAsia="宋体"/>
                <w:sz w:val="16"/>
              </w:rPr>
              <w:t>—</w:t>
            </w:r>
          </w:p>
        </w:tc>
      </w:tr>
      <w:tr w14:paraId="5348FB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3C3AD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0F698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7B059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5BF35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2F767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7BEFB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329B5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3929D">
            <w:pPr>
              <w:jc w:val="center"/>
            </w:pPr>
            <w:r>
              <w:rPr>
                <w:rFonts w:ascii="宋体" w:hAnsi="宋体" w:eastAsia="宋体"/>
                <w:sz w:val="16"/>
              </w:rPr>
              <w:t>—</w:t>
            </w:r>
          </w:p>
        </w:tc>
      </w:tr>
      <w:tr w14:paraId="17542DD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98B2CF">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65DC1A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484D30F">
            <w:pPr>
              <w:jc w:val="center"/>
            </w:pPr>
            <w:r>
              <w:rPr>
                <w:rFonts w:ascii="宋体" w:hAnsi="宋体" w:eastAsia="宋体"/>
                <w:sz w:val="16"/>
              </w:rPr>
              <w:t>实际完成情况</w:t>
            </w:r>
          </w:p>
        </w:tc>
      </w:tr>
      <w:tr w14:paraId="1E1608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FB899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DDA1C9">
            <w:pPr>
              <w:jc w:val="both"/>
            </w:pPr>
            <w:r>
              <w:rPr>
                <w:rFonts w:ascii="宋体" w:hAnsi="宋体" w:eastAsia="宋体"/>
                <w:sz w:val="16"/>
              </w:rPr>
              <w:t>托里县卫生健康委员会2024年乡村医生生活补助县财政配套212.744万元，用于取得执业助理医师及以上资格的乡村医生和取得乡村医生证的乡村医生的生活补助，留住</w:t>
            </w:r>
            <w:r>
              <w:rPr>
                <w:rFonts w:hint="eastAsia" w:ascii="宋体" w:hAnsi="宋体"/>
                <w:sz w:val="16"/>
                <w:lang w:eastAsia="zh-CN"/>
              </w:rPr>
              <w:t>基础</w:t>
            </w:r>
            <w:r>
              <w:rPr>
                <w:rFonts w:ascii="宋体" w:hAnsi="宋体" w:eastAsia="宋体"/>
                <w:sz w:val="16"/>
              </w:rPr>
              <w:t>卫生人才，更好地为乡镇居民提供基本医疗服务、公共卫生服务，推动城乡一体化建设，乡村医生满意度达到95%。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56C7243">
            <w:pPr>
              <w:jc w:val="both"/>
            </w:pPr>
            <w:r>
              <w:rPr>
                <w:rFonts w:ascii="宋体" w:hAnsi="宋体" w:eastAsia="宋体"/>
                <w:sz w:val="16"/>
              </w:rPr>
              <w:t xml:space="preserve">托里县卫生健康委员会2024年乡村医生生活补助项目资金212.744万元，截至2024年12月31日已支付188.58万元，主要用于取得执业助理医师及以上资格的乡村医生8人，取得乡村医生证的乡村医生88人的生活补助，取得执业助理医师人员，取得乡村医生证的乡村医生的生活补助，乡村医生生活补助的发放，能够稳定乡村医生队伍建设，留住基层卫生人才，更好地为乡镇居民提供基本医疗服务，公共卫生服务，推动城乡一体化建设，乡村医生满意度95%。 </w:t>
            </w:r>
          </w:p>
        </w:tc>
      </w:tr>
      <w:tr w14:paraId="689FA0F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AAAA7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BE77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2BAA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D0FE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A3046">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6B3D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309A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FB1EA">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14892">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8B98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A9A48">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D0BB0">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087E4">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C93B8">
            <w:pPr>
              <w:jc w:val="center"/>
            </w:pPr>
            <w:r>
              <w:rPr>
                <w:rFonts w:ascii="宋体" w:hAnsi="宋体" w:eastAsia="宋体"/>
                <w:sz w:val="16"/>
              </w:rPr>
              <w:t>偏差原因分析及改进措施</w:t>
            </w:r>
          </w:p>
        </w:tc>
      </w:tr>
      <w:tr w14:paraId="72F48E7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1B2BA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28D14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3F348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D696B">
            <w:pPr>
              <w:jc w:val="center"/>
            </w:pPr>
            <w:r>
              <w:rPr>
                <w:rFonts w:ascii="宋体" w:hAnsi="宋体" w:eastAsia="宋体"/>
                <w:sz w:val="16"/>
              </w:rPr>
              <w:t>取得执业助理医师及以上资格的乡村医生人数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115E1">
            <w:pPr>
              <w:jc w:val="center"/>
            </w:pPr>
            <w:r>
              <w:rPr>
                <w:rFonts w:ascii="宋体" w:hAnsi="宋体" w:eastAsia="宋体"/>
                <w:sz w:val="16"/>
              </w:rPr>
              <w:t>&gt;=9人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67B6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F296D">
            <w:pPr>
              <w:jc w:val="center"/>
            </w:pPr>
            <w:r>
              <w:rPr>
                <w:rFonts w:ascii="宋体" w:hAnsi="宋体" w:eastAsia="宋体"/>
                <w:sz w:val="16"/>
              </w:rPr>
              <w:t>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D9EF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C5AC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83A3F">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B13E9">
            <w:pPr>
              <w:jc w:val="center"/>
            </w:pPr>
            <w:r>
              <w:rPr>
                <w:rFonts w:ascii="宋体" w:hAnsi="宋体" w:eastAsia="宋体"/>
                <w:sz w:val="16"/>
              </w:rPr>
              <w:t>=8人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F5440">
            <w:pPr>
              <w:jc w:val="center"/>
            </w:pPr>
            <w:r>
              <w:rPr>
                <w:rFonts w:ascii="宋体" w:hAnsi="宋体" w:eastAsia="宋体"/>
                <w:sz w:val="16"/>
              </w:rPr>
              <w:t>89%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61FF1">
            <w:pPr>
              <w:jc w:val="center"/>
            </w:pPr>
            <w:r>
              <w:rPr>
                <w:rFonts w:ascii="宋体" w:hAnsi="宋体" w:eastAsia="宋体"/>
                <w:sz w:val="16"/>
              </w:rPr>
              <w:t>7.12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6EFA8">
            <w:pPr>
              <w:jc w:val="center"/>
            </w:pPr>
            <w:r>
              <w:rPr>
                <w:rFonts w:ascii="宋体" w:hAnsi="宋体" w:eastAsia="宋体"/>
                <w:sz w:val="16"/>
              </w:rPr>
              <w:t>原因：由于每个月人数不固定。改进措施：每月做到乡村医生补助资金按时发放，从而稳定乡村医生队伍。</w:t>
            </w:r>
          </w:p>
        </w:tc>
      </w:tr>
      <w:tr w14:paraId="6087B7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1BD6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47532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24D8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508E6">
            <w:pPr>
              <w:jc w:val="center"/>
            </w:pPr>
            <w:r>
              <w:rPr>
                <w:rFonts w:ascii="宋体" w:hAnsi="宋体" w:eastAsia="宋体"/>
                <w:sz w:val="16"/>
              </w:rPr>
              <w:t>取得乡村医生证的乡村医生人数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9F40D">
            <w:pPr>
              <w:jc w:val="center"/>
            </w:pPr>
            <w:r>
              <w:rPr>
                <w:rFonts w:ascii="宋体" w:hAnsi="宋体" w:eastAsia="宋体"/>
                <w:sz w:val="16"/>
              </w:rPr>
              <w:t>&gt;=87人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1470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2F258">
            <w:pPr>
              <w:jc w:val="center"/>
            </w:pPr>
            <w:r>
              <w:rPr>
                <w:rFonts w:ascii="宋体" w:hAnsi="宋体" w:eastAsia="宋体"/>
                <w:sz w:val="16"/>
              </w:rPr>
              <w:t>83人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CECA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55C8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450C6">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41603">
            <w:pPr>
              <w:jc w:val="center"/>
            </w:pPr>
            <w:r>
              <w:rPr>
                <w:rFonts w:ascii="宋体" w:hAnsi="宋体" w:eastAsia="宋体"/>
                <w:sz w:val="16"/>
              </w:rPr>
              <w:t>=85人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5EDD2">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6761D">
            <w:pPr>
              <w:jc w:val="center"/>
            </w:pPr>
            <w:r>
              <w:rPr>
                <w:rFonts w:ascii="宋体" w:hAnsi="宋体" w:eastAsia="宋体"/>
                <w:sz w:val="16"/>
              </w:rPr>
              <w:t>7.84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912DD">
            <w:pPr>
              <w:jc w:val="center"/>
            </w:pPr>
            <w:r>
              <w:rPr>
                <w:rFonts w:ascii="宋体" w:hAnsi="宋体" w:eastAsia="宋体"/>
                <w:sz w:val="16"/>
              </w:rPr>
              <w:t>原因：由于每个月人数不固定。改进措施：每月做到乡村医生补助资金按时发放，从而稳定乡村医生队伍。</w:t>
            </w:r>
          </w:p>
        </w:tc>
      </w:tr>
      <w:tr w14:paraId="7ACE43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9D6C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67B2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ED62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A80D2">
            <w:pPr>
              <w:jc w:val="center"/>
            </w:pPr>
            <w:r>
              <w:rPr>
                <w:rFonts w:ascii="宋体" w:hAnsi="宋体" w:eastAsia="宋体"/>
                <w:sz w:val="16"/>
              </w:rPr>
              <w:t>托里县乡村医生补助发放准确率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911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85E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D9A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0027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38FF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B0690">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E8F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00F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399B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8E6ED">
            <w:pPr>
              <w:jc w:val="center"/>
            </w:pPr>
          </w:p>
        </w:tc>
      </w:tr>
      <w:tr w14:paraId="60C21A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B577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B8C26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B5195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56843">
            <w:pPr>
              <w:jc w:val="center"/>
            </w:pPr>
            <w:r>
              <w:rPr>
                <w:rFonts w:ascii="宋体" w:hAnsi="宋体" w:eastAsia="宋体"/>
                <w:sz w:val="16"/>
              </w:rPr>
              <w:t>向乡村医生按月及时足额拨付县财政补助资金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5B1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0EA3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FB9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700C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4D81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3069F">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032A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E02C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6041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F2BB5">
            <w:pPr>
              <w:jc w:val="center"/>
            </w:pPr>
          </w:p>
        </w:tc>
      </w:tr>
      <w:tr w14:paraId="7BACC0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06BC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C850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3B94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38E14">
            <w:pPr>
              <w:jc w:val="center"/>
            </w:pPr>
            <w:r>
              <w:rPr>
                <w:rFonts w:ascii="宋体" w:hAnsi="宋体" w:eastAsia="宋体"/>
                <w:sz w:val="16"/>
              </w:rPr>
              <w:t>乡村医生补助发放完成时间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17D73">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D4F1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4ED44">
            <w:pPr>
              <w:jc w:val="center"/>
            </w:pPr>
            <w:r>
              <w:rPr>
                <w:rFonts w:ascii="宋体" w:hAnsi="宋体" w:eastAsia="宋体"/>
                <w:sz w:val="16"/>
              </w:rPr>
              <w:t>2023年12月15日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029C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A6B0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8513D">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F76A7">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9A2C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E8CB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59CF7">
            <w:pPr>
              <w:jc w:val="center"/>
            </w:pPr>
          </w:p>
        </w:tc>
      </w:tr>
      <w:tr w14:paraId="437004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2D220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6F7A0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72EAF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12FA7">
            <w:pPr>
              <w:jc w:val="center"/>
            </w:pPr>
            <w:r>
              <w:rPr>
                <w:rFonts w:ascii="宋体" w:hAnsi="宋体" w:eastAsia="宋体"/>
                <w:sz w:val="16"/>
              </w:rPr>
              <w:t>具有乡村医生证的乡村医生补助标准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30C73">
            <w:pPr>
              <w:jc w:val="center"/>
            </w:pPr>
            <w:r>
              <w:rPr>
                <w:rFonts w:ascii="宋体" w:hAnsi="宋体" w:eastAsia="宋体"/>
                <w:sz w:val="16"/>
              </w:rPr>
              <w:t>&lt;=1800元/人·月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AE8C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20369">
            <w:pPr>
              <w:jc w:val="center"/>
            </w:pPr>
            <w:r>
              <w:rPr>
                <w:rFonts w:ascii="宋体" w:hAnsi="宋体" w:eastAsia="宋体"/>
                <w:sz w:val="16"/>
              </w:rPr>
              <w:t>1800元/人·月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E7E3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0033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F7B3A">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FC31B">
            <w:pPr>
              <w:jc w:val="center"/>
            </w:pPr>
            <w:r>
              <w:rPr>
                <w:rFonts w:ascii="宋体" w:hAnsi="宋体" w:eastAsia="宋体"/>
                <w:sz w:val="16"/>
              </w:rPr>
              <w:t>&lt;=1800元/人·月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6D1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3CBA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68CDF">
            <w:pPr>
              <w:jc w:val="center"/>
            </w:pPr>
          </w:p>
        </w:tc>
      </w:tr>
      <w:tr w14:paraId="4C544C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4AAC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7FC8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7872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94799">
            <w:pPr>
              <w:jc w:val="center"/>
            </w:pPr>
            <w:r>
              <w:rPr>
                <w:rFonts w:ascii="宋体" w:hAnsi="宋体" w:eastAsia="宋体"/>
                <w:sz w:val="16"/>
              </w:rPr>
              <w:t>托里县有执业助理医师及以上资格证书的乡村医生县级配套补助标准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E8740">
            <w:pPr>
              <w:jc w:val="center"/>
            </w:pPr>
            <w:r>
              <w:rPr>
                <w:rFonts w:ascii="宋体" w:hAnsi="宋体" w:eastAsia="宋体"/>
                <w:sz w:val="16"/>
              </w:rPr>
              <w:t>&lt;=1280元/人·月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B882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958A4">
            <w:pPr>
              <w:jc w:val="center"/>
            </w:pPr>
            <w:r>
              <w:rPr>
                <w:rFonts w:ascii="宋体" w:hAnsi="宋体" w:eastAsia="宋体"/>
                <w:sz w:val="16"/>
              </w:rPr>
              <w:t>1280元/人·月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6FA4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E871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5D773">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902EA">
            <w:pPr>
              <w:jc w:val="center"/>
            </w:pPr>
            <w:r>
              <w:rPr>
                <w:rFonts w:ascii="宋体" w:hAnsi="宋体" w:eastAsia="宋体"/>
                <w:sz w:val="16"/>
              </w:rPr>
              <w:t>&lt;=1280元/人·月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25D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BD1F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15D49">
            <w:pPr>
              <w:jc w:val="center"/>
            </w:pPr>
          </w:p>
        </w:tc>
      </w:tr>
      <w:tr w14:paraId="418B59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01D1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2DB8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4D99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3DDB7">
            <w:pPr>
              <w:jc w:val="center"/>
            </w:pPr>
            <w:r>
              <w:rPr>
                <w:rFonts w:ascii="宋体" w:hAnsi="宋体" w:eastAsia="宋体"/>
                <w:sz w:val="16"/>
              </w:rPr>
              <w:t>稳定乡村医生队伍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AFD06">
            <w:pPr>
              <w:jc w:val="center"/>
            </w:pPr>
            <w:r>
              <w:rPr>
                <w:rFonts w:ascii="宋体" w:hAnsi="宋体" w:eastAsia="宋体"/>
                <w:sz w:val="16"/>
              </w:rPr>
              <w:t>效果明显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9CA7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63914">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CD0D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0044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C3B0E">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FFE96">
            <w:pPr>
              <w:jc w:val="center"/>
            </w:pPr>
            <w:r>
              <w:rPr>
                <w:rFonts w:ascii="宋体" w:hAnsi="宋体" w:eastAsia="宋体"/>
                <w:sz w:val="16"/>
              </w:rPr>
              <w:t>效果明显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A9A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5C91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3E827">
            <w:pPr>
              <w:jc w:val="center"/>
            </w:pPr>
          </w:p>
        </w:tc>
      </w:tr>
      <w:tr w14:paraId="2879B9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02880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A33F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B66A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C7E48">
            <w:pPr>
              <w:jc w:val="center"/>
            </w:pPr>
            <w:r>
              <w:rPr>
                <w:rFonts w:ascii="宋体" w:hAnsi="宋体" w:eastAsia="宋体"/>
                <w:sz w:val="16"/>
              </w:rPr>
              <w:t>乡村医生满意度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B0AC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810D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8853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FE18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BE84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14A3E">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06CEC">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D74E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A984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8C519">
            <w:pPr>
              <w:jc w:val="center"/>
            </w:pPr>
          </w:p>
        </w:tc>
      </w:tr>
      <w:tr w14:paraId="45526324">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B7B1B1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F1237B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F139C3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452EA5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0E5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2C42D3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8EE997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0CA6DE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14373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4EA8F">
            <w:pPr>
              <w:jc w:val="center"/>
            </w:pPr>
            <w:r>
              <w:rPr>
                <w:rFonts w:ascii="宋体" w:hAnsi="宋体" w:eastAsia="宋体"/>
                <w:sz w:val="16"/>
              </w:rPr>
              <w:t>97.82分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0621BB3"/>
        </w:tc>
      </w:tr>
    </w:tbl>
    <w:p w14:paraId="4ED464C7">
      <w:r>
        <w:br w:type="page"/>
      </w:r>
    </w:p>
    <w:tbl>
      <w:tblPr>
        <w:tblStyle w:val="9"/>
        <w:tblW w:w="0" w:type="auto"/>
        <w:tblInd w:w="0" w:type="dxa"/>
        <w:tblLayout w:type="autofit"/>
        <w:tblCellMar>
          <w:top w:w="0" w:type="dxa"/>
          <w:left w:w="108" w:type="dxa"/>
          <w:bottom w:w="0" w:type="dxa"/>
          <w:right w:w="108" w:type="dxa"/>
        </w:tblCellMar>
      </w:tblPr>
      <w:tblGrid>
        <w:gridCol w:w="622"/>
        <w:gridCol w:w="605"/>
        <w:gridCol w:w="605"/>
        <w:gridCol w:w="605"/>
        <w:gridCol w:w="856"/>
        <w:gridCol w:w="605"/>
        <w:gridCol w:w="605"/>
        <w:gridCol w:w="614"/>
        <w:gridCol w:w="605"/>
        <w:gridCol w:w="614"/>
        <w:gridCol w:w="776"/>
        <w:gridCol w:w="622"/>
        <w:gridCol w:w="696"/>
        <w:gridCol w:w="630"/>
      </w:tblGrid>
      <w:tr w14:paraId="5F90217E">
        <w:tblPrEx>
          <w:tblCellMar>
            <w:top w:w="0" w:type="dxa"/>
            <w:left w:w="108" w:type="dxa"/>
            <w:bottom w:w="0" w:type="dxa"/>
            <w:right w:w="108" w:type="dxa"/>
          </w:tblCellMar>
        </w:tblPrEx>
        <w:tc>
          <w:tcPr>
            <w:tcW w:w="8848" w:type="dxa"/>
            <w:gridSpan w:val="14"/>
            <w:vAlign w:val="center"/>
          </w:tcPr>
          <w:p w14:paraId="6EF58602">
            <w:pPr>
              <w:jc w:val="center"/>
            </w:pPr>
            <w:r>
              <w:rPr>
                <w:rFonts w:ascii="宋体" w:hAnsi="宋体" w:eastAsia="宋体"/>
                <w:sz w:val="24"/>
              </w:rPr>
              <w:t>项目支出绩效自评表</w:t>
            </w:r>
          </w:p>
        </w:tc>
      </w:tr>
      <w:tr w14:paraId="30DA1788">
        <w:tblPrEx>
          <w:tblCellMar>
            <w:top w:w="0" w:type="dxa"/>
            <w:left w:w="108" w:type="dxa"/>
            <w:bottom w:w="0" w:type="dxa"/>
            <w:right w:w="108" w:type="dxa"/>
          </w:tblCellMar>
        </w:tblPrEx>
        <w:tc>
          <w:tcPr>
            <w:tcW w:w="8848" w:type="dxa"/>
            <w:gridSpan w:val="14"/>
            <w:vAlign w:val="center"/>
          </w:tcPr>
          <w:p w14:paraId="07AF08FF">
            <w:pPr>
              <w:jc w:val="center"/>
            </w:pPr>
            <w:r>
              <w:rPr>
                <w:rFonts w:ascii="宋体" w:hAnsi="宋体" w:eastAsia="宋体"/>
                <w:sz w:val="24"/>
              </w:rPr>
              <w:t>(2024年度)</w:t>
            </w:r>
          </w:p>
        </w:tc>
      </w:tr>
      <w:tr w14:paraId="470D237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F015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6BE783E">
            <w:pPr>
              <w:jc w:val="center"/>
            </w:pPr>
            <w:r>
              <w:rPr>
                <w:rFonts w:ascii="宋体" w:hAnsi="宋体" w:eastAsia="宋体"/>
                <w:sz w:val="16"/>
              </w:rPr>
              <w:t>2024年单位资金</w:t>
            </w:r>
            <w:r>
              <w:rPr>
                <w:rFonts w:hint="eastAsia" w:ascii="宋体" w:hAnsi="宋体"/>
                <w:sz w:val="16"/>
                <w:lang w:eastAsia="zh-CN"/>
              </w:rPr>
              <w:t>－</w:t>
            </w:r>
            <w:r>
              <w:rPr>
                <w:rFonts w:ascii="宋体" w:hAnsi="宋体" w:eastAsia="宋体"/>
                <w:sz w:val="16"/>
              </w:rPr>
              <w:t>中石油援建多拉特乡卫生院建设项目</w:t>
            </w:r>
          </w:p>
        </w:tc>
      </w:tr>
      <w:tr w14:paraId="412069B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0789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81F6CD">
            <w:pPr>
              <w:jc w:val="center"/>
            </w:pPr>
            <w:r>
              <w:rPr>
                <w:rFonts w:ascii="宋体" w:hAnsi="宋体" w:eastAsia="宋体"/>
                <w:sz w:val="16"/>
              </w:rPr>
              <w:t>托里县卫生健康委员会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2BB9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E7D5D5F">
            <w:pPr>
              <w:jc w:val="center"/>
            </w:pPr>
            <w:r>
              <w:rPr>
                <w:rFonts w:ascii="宋体" w:hAnsi="宋体" w:eastAsia="宋体"/>
                <w:sz w:val="16"/>
              </w:rPr>
              <w:t>托里县卫生健康委员会</w:t>
            </w:r>
          </w:p>
        </w:tc>
      </w:tr>
      <w:tr w14:paraId="5331B15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0C0B6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CFDE7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4FC80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A8F50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36670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31425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70E32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443F3">
            <w:pPr>
              <w:jc w:val="center"/>
            </w:pPr>
            <w:r>
              <w:rPr>
                <w:rFonts w:ascii="宋体" w:hAnsi="宋体" w:eastAsia="宋体"/>
                <w:sz w:val="16"/>
              </w:rPr>
              <w:t>得分</w:t>
            </w:r>
          </w:p>
        </w:tc>
      </w:tr>
      <w:tr w14:paraId="29D6A7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1D4FC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22DCB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1EFA9A">
            <w:pPr>
              <w:jc w:val="center"/>
            </w:pPr>
            <w:r>
              <w:rPr>
                <w:rFonts w:ascii="宋体" w:hAnsi="宋体" w:eastAsia="宋体"/>
                <w:sz w:val="16"/>
              </w:rPr>
              <w:t>699.24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4CF904">
            <w:pPr>
              <w:jc w:val="center"/>
            </w:pPr>
            <w:r>
              <w:rPr>
                <w:rFonts w:ascii="宋体" w:hAnsi="宋体" w:eastAsia="宋体"/>
                <w:sz w:val="16"/>
              </w:rPr>
              <w:t>699.24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12A2E5">
            <w:pPr>
              <w:jc w:val="center"/>
            </w:pPr>
            <w:r>
              <w:rPr>
                <w:rFonts w:ascii="宋体" w:hAnsi="宋体" w:eastAsia="宋体"/>
                <w:sz w:val="16"/>
              </w:rPr>
              <w:t>699.24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0B125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0F54D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A47E4">
            <w:pPr>
              <w:jc w:val="center"/>
            </w:pPr>
            <w:r>
              <w:rPr>
                <w:rFonts w:ascii="宋体" w:hAnsi="宋体" w:eastAsia="宋体"/>
                <w:sz w:val="16"/>
              </w:rPr>
              <w:t>10.00</w:t>
            </w:r>
          </w:p>
        </w:tc>
      </w:tr>
      <w:tr w14:paraId="6A9D1D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70676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7BA8A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F5ECA4">
            <w:pPr>
              <w:jc w:val="center"/>
            </w:pPr>
            <w:r>
              <w:rPr>
                <w:rFonts w:ascii="宋体" w:hAnsi="宋体" w:eastAsia="宋体"/>
                <w:sz w:val="16"/>
              </w:rPr>
              <w:t>699.24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EB0FB2">
            <w:pPr>
              <w:jc w:val="center"/>
            </w:pPr>
            <w:r>
              <w:rPr>
                <w:rFonts w:ascii="宋体" w:hAnsi="宋体" w:eastAsia="宋体"/>
                <w:sz w:val="16"/>
              </w:rPr>
              <w:t>699.24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8512A2">
            <w:pPr>
              <w:jc w:val="center"/>
            </w:pPr>
            <w:r>
              <w:rPr>
                <w:rFonts w:ascii="宋体" w:hAnsi="宋体" w:eastAsia="宋体"/>
                <w:sz w:val="16"/>
              </w:rPr>
              <w:t>699.24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7E73E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BD615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E7B79">
            <w:pPr>
              <w:jc w:val="center"/>
            </w:pPr>
            <w:r>
              <w:rPr>
                <w:rFonts w:ascii="宋体" w:hAnsi="宋体" w:eastAsia="宋体"/>
                <w:sz w:val="16"/>
              </w:rPr>
              <w:t>—</w:t>
            </w:r>
          </w:p>
        </w:tc>
      </w:tr>
      <w:tr w14:paraId="2C0112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D513D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56B3C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F15E1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AFCD7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298EF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8835C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46DF2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73893">
            <w:pPr>
              <w:jc w:val="center"/>
            </w:pPr>
            <w:r>
              <w:rPr>
                <w:rFonts w:ascii="宋体" w:hAnsi="宋体" w:eastAsia="宋体"/>
                <w:sz w:val="16"/>
              </w:rPr>
              <w:t>—</w:t>
            </w:r>
          </w:p>
        </w:tc>
      </w:tr>
      <w:tr w14:paraId="7B6EC46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0E4BE4">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D4119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F3B1F55">
            <w:pPr>
              <w:jc w:val="center"/>
            </w:pPr>
            <w:r>
              <w:rPr>
                <w:rFonts w:ascii="宋体" w:hAnsi="宋体" w:eastAsia="宋体"/>
                <w:sz w:val="16"/>
              </w:rPr>
              <w:t>实际完成情况</w:t>
            </w:r>
          </w:p>
        </w:tc>
      </w:tr>
      <w:tr w14:paraId="700E64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4EEC8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12EAD62">
            <w:pPr>
              <w:jc w:val="both"/>
            </w:pPr>
            <w:r>
              <w:rPr>
                <w:rFonts w:ascii="宋体" w:hAnsi="宋体" w:eastAsia="宋体"/>
                <w:sz w:val="16"/>
              </w:rPr>
              <w:t>托里县卫生健康委员会2024年塔城地区托里县多拉特乡卫生院建设项目资金699.24万元，项目总建筑面积2498.7平方米，通过项目实施可提高医疗服务水平，群众满意度95%。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1E38C45">
            <w:pPr>
              <w:jc w:val="both"/>
            </w:pPr>
            <w:r>
              <w:rPr>
                <w:rFonts w:ascii="宋体" w:hAnsi="宋体" w:eastAsia="宋体"/>
                <w:sz w:val="16"/>
              </w:rPr>
              <w:t>托里县卫生健康委员会2024年塔城地区托里县多拉特乡卫生院建设项目已支付699.24万元，工程总建设成本660.24万元，工程前期费用39万元，项目总建筑面积2498.7平方米，通过项目实施可提高医疗服务水平。</w:t>
            </w:r>
          </w:p>
        </w:tc>
      </w:tr>
      <w:tr w14:paraId="1B7D4F8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E2A68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26E3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EE63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0AEF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96D44">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8C48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6AA3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26415">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8158D">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BB6D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42E75">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8A3A7">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551D1">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743B1">
            <w:pPr>
              <w:jc w:val="center"/>
            </w:pPr>
            <w:r>
              <w:rPr>
                <w:rFonts w:ascii="宋体" w:hAnsi="宋体" w:eastAsia="宋体"/>
                <w:sz w:val="16"/>
              </w:rPr>
              <w:t>偏差原因分析及改进措施</w:t>
            </w:r>
          </w:p>
        </w:tc>
      </w:tr>
      <w:tr w14:paraId="2E75958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83763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8F57A7">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C292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E7913">
            <w:pPr>
              <w:jc w:val="center"/>
            </w:pPr>
            <w:r>
              <w:rPr>
                <w:rFonts w:ascii="宋体" w:hAnsi="宋体" w:eastAsia="宋体"/>
                <w:sz w:val="16"/>
              </w:rPr>
              <w:t>项目总建筑面积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C9B0F">
            <w:pPr>
              <w:jc w:val="center"/>
            </w:pPr>
            <w:r>
              <w:rPr>
                <w:rFonts w:ascii="宋体" w:hAnsi="宋体" w:eastAsia="宋体"/>
                <w:sz w:val="16"/>
              </w:rPr>
              <w:t>=2498.70平方米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D45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D0AEC">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6169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492A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93609">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21AAB">
            <w:pPr>
              <w:jc w:val="center"/>
            </w:pPr>
            <w:r>
              <w:rPr>
                <w:rFonts w:ascii="宋体" w:hAnsi="宋体" w:eastAsia="宋体"/>
                <w:sz w:val="16"/>
              </w:rPr>
              <w:t>=2498.7平方米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BB4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4D42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5ED58">
            <w:pPr>
              <w:jc w:val="center"/>
            </w:pPr>
          </w:p>
        </w:tc>
      </w:tr>
      <w:tr w14:paraId="733B86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CA25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9E069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C8712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05161">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FD8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02A2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2F71D">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10EC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8679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D003C">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ECA4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A25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ADFB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BCAB1">
            <w:pPr>
              <w:jc w:val="center"/>
            </w:pPr>
          </w:p>
        </w:tc>
      </w:tr>
      <w:tr w14:paraId="79B8DA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CC0F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4C18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73412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CF738">
            <w:pPr>
              <w:jc w:val="center"/>
            </w:pPr>
            <w:r>
              <w:rPr>
                <w:rFonts w:ascii="宋体" w:hAnsi="宋体" w:eastAsia="宋体"/>
                <w:sz w:val="16"/>
              </w:rPr>
              <w:t>项目资料完整率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00CB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5521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B6B06">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CE5E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46A7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C5B0B">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71A8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843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8469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3C2FF">
            <w:pPr>
              <w:jc w:val="center"/>
            </w:pPr>
          </w:p>
        </w:tc>
      </w:tr>
      <w:tr w14:paraId="7BCC5E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FCD5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685F4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482FB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C3AE9">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89B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4E37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7B3D6">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71BE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B5A2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01525">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75C7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0580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4311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28453">
            <w:pPr>
              <w:jc w:val="center"/>
            </w:pPr>
          </w:p>
        </w:tc>
      </w:tr>
      <w:tr w14:paraId="1FBDB4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D81F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55BA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D3C1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47AE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545AE">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A8F2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60795">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2E26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5B70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80384">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63431">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0D6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EB15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89C8A">
            <w:pPr>
              <w:jc w:val="center"/>
            </w:pPr>
          </w:p>
        </w:tc>
      </w:tr>
      <w:tr w14:paraId="2268FE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C1FF9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3A874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CE23E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60369">
            <w:pPr>
              <w:jc w:val="center"/>
            </w:pPr>
            <w:r>
              <w:rPr>
                <w:rFonts w:ascii="宋体" w:hAnsi="宋体" w:eastAsia="宋体"/>
                <w:sz w:val="16"/>
              </w:rPr>
              <w:t>工程总建设成本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D1579">
            <w:pPr>
              <w:jc w:val="center"/>
            </w:pPr>
            <w:r>
              <w:rPr>
                <w:rFonts w:ascii="宋体" w:hAnsi="宋体" w:eastAsia="宋体"/>
                <w:sz w:val="16"/>
              </w:rPr>
              <w:t>&lt;=660.24万元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0875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2C0A4">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F080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B25C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E5306">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E6A6A">
            <w:pPr>
              <w:jc w:val="center"/>
            </w:pPr>
            <w:r>
              <w:rPr>
                <w:rFonts w:ascii="宋体" w:hAnsi="宋体" w:eastAsia="宋体"/>
                <w:sz w:val="16"/>
              </w:rPr>
              <w:t>=660.24万元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1BC9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0480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5CBFC">
            <w:pPr>
              <w:jc w:val="center"/>
            </w:pPr>
          </w:p>
        </w:tc>
      </w:tr>
      <w:tr w14:paraId="4B5CD5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C0D1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2112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2959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AA92B">
            <w:pPr>
              <w:jc w:val="center"/>
            </w:pPr>
            <w:r>
              <w:rPr>
                <w:rFonts w:ascii="宋体" w:hAnsi="宋体" w:eastAsia="宋体"/>
                <w:sz w:val="16"/>
              </w:rPr>
              <w:t>工程前期费用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4E647">
            <w:pPr>
              <w:jc w:val="center"/>
            </w:pPr>
            <w:r>
              <w:rPr>
                <w:rFonts w:ascii="宋体" w:hAnsi="宋体" w:eastAsia="宋体"/>
                <w:sz w:val="16"/>
              </w:rPr>
              <w:t>&lt;=39万元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CDE2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FA904">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A5E7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5DB3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A1541">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BC7E4">
            <w:pPr>
              <w:jc w:val="center"/>
            </w:pPr>
            <w:r>
              <w:rPr>
                <w:rFonts w:ascii="宋体" w:hAnsi="宋体" w:eastAsia="宋体"/>
                <w:sz w:val="16"/>
              </w:rPr>
              <w:t>=39万元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E7A4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BE1F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749E7">
            <w:pPr>
              <w:jc w:val="center"/>
            </w:pPr>
          </w:p>
        </w:tc>
      </w:tr>
      <w:tr w14:paraId="7999D6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51FD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88CE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F737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73620">
            <w:pPr>
              <w:jc w:val="center"/>
            </w:pPr>
            <w:r>
              <w:rPr>
                <w:rFonts w:ascii="宋体" w:hAnsi="宋体" w:eastAsia="宋体"/>
                <w:sz w:val="16"/>
              </w:rPr>
              <w:t>受益监测对象人数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70BFF">
            <w:pPr>
              <w:jc w:val="center"/>
            </w:pPr>
            <w:r>
              <w:rPr>
                <w:rFonts w:ascii="宋体" w:hAnsi="宋体" w:eastAsia="宋体"/>
                <w:sz w:val="16"/>
              </w:rPr>
              <w:t>&gt;=3200人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C43B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18A86">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D620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7960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F10C8">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D3A00">
            <w:pPr>
              <w:jc w:val="center"/>
            </w:pPr>
            <w:r>
              <w:rPr>
                <w:rFonts w:ascii="宋体" w:hAnsi="宋体" w:eastAsia="宋体"/>
                <w:sz w:val="16"/>
              </w:rPr>
              <w:t>=3200人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7CDB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8DEB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49A32">
            <w:pPr>
              <w:jc w:val="center"/>
            </w:pPr>
          </w:p>
        </w:tc>
      </w:tr>
      <w:tr w14:paraId="08B726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D324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4C04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35F0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1AF72">
            <w:pPr>
              <w:jc w:val="center"/>
            </w:pPr>
            <w:r>
              <w:rPr>
                <w:rFonts w:ascii="宋体" w:hAnsi="宋体" w:eastAsia="宋体"/>
                <w:sz w:val="16"/>
              </w:rPr>
              <w:t>服务对象满意度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2064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1BFE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005BC">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2CB2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D6CC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36472">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C38F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87DE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6BA6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484A2">
            <w:pPr>
              <w:jc w:val="center"/>
            </w:pPr>
          </w:p>
        </w:tc>
      </w:tr>
      <w:tr w14:paraId="6CC050F3">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B7ECB5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01D99A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3A04BE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48F65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A47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1B3B98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ECED8C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C12894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22A42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3CB9A">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A412F92"/>
        </w:tc>
      </w:tr>
    </w:tbl>
    <w:p w14:paraId="1A88E7FF">
      <w:r>
        <w:br w:type="page"/>
      </w:r>
    </w:p>
    <w:tbl>
      <w:tblPr>
        <w:tblStyle w:val="9"/>
        <w:tblW w:w="0" w:type="auto"/>
        <w:tblInd w:w="0" w:type="dxa"/>
        <w:tblLayout w:type="autofit"/>
        <w:tblCellMar>
          <w:top w:w="0" w:type="dxa"/>
          <w:left w:w="108" w:type="dxa"/>
          <w:bottom w:w="0" w:type="dxa"/>
          <w:right w:w="108" w:type="dxa"/>
        </w:tblCellMar>
      </w:tblPr>
      <w:tblGrid>
        <w:gridCol w:w="602"/>
        <w:gridCol w:w="551"/>
        <w:gridCol w:w="551"/>
        <w:gridCol w:w="551"/>
        <w:gridCol w:w="856"/>
        <w:gridCol w:w="551"/>
        <w:gridCol w:w="776"/>
        <w:gridCol w:w="577"/>
        <w:gridCol w:w="551"/>
        <w:gridCol w:w="551"/>
        <w:gridCol w:w="1016"/>
        <w:gridCol w:w="696"/>
        <w:gridCol w:w="628"/>
        <w:gridCol w:w="603"/>
      </w:tblGrid>
      <w:tr w14:paraId="6D5154DA">
        <w:tblPrEx>
          <w:tblCellMar>
            <w:top w:w="0" w:type="dxa"/>
            <w:left w:w="108" w:type="dxa"/>
            <w:bottom w:w="0" w:type="dxa"/>
            <w:right w:w="108" w:type="dxa"/>
          </w:tblCellMar>
        </w:tblPrEx>
        <w:tc>
          <w:tcPr>
            <w:tcW w:w="8848" w:type="dxa"/>
            <w:gridSpan w:val="14"/>
            <w:vAlign w:val="center"/>
          </w:tcPr>
          <w:p w14:paraId="275EDF42">
            <w:pPr>
              <w:jc w:val="center"/>
            </w:pPr>
            <w:r>
              <w:rPr>
                <w:rFonts w:ascii="宋体" w:hAnsi="宋体" w:eastAsia="宋体"/>
                <w:sz w:val="24"/>
              </w:rPr>
              <w:t>项目支出绩效自评表</w:t>
            </w:r>
          </w:p>
        </w:tc>
      </w:tr>
      <w:tr w14:paraId="1F68768F">
        <w:tblPrEx>
          <w:tblCellMar>
            <w:top w:w="0" w:type="dxa"/>
            <w:left w:w="108" w:type="dxa"/>
            <w:bottom w:w="0" w:type="dxa"/>
            <w:right w:w="108" w:type="dxa"/>
          </w:tblCellMar>
        </w:tblPrEx>
        <w:tc>
          <w:tcPr>
            <w:tcW w:w="8848" w:type="dxa"/>
            <w:gridSpan w:val="14"/>
            <w:vAlign w:val="center"/>
          </w:tcPr>
          <w:p w14:paraId="119FADA7">
            <w:pPr>
              <w:jc w:val="center"/>
            </w:pPr>
            <w:r>
              <w:rPr>
                <w:rFonts w:ascii="宋体" w:hAnsi="宋体" w:eastAsia="宋体"/>
                <w:sz w:val="24"/>
              </w:rPr>
              <w:t>(2024年度)</w:t>
            </w:r>
          </w:p>
        </w:tc>
      </w:tr>
      <w:tr w14:paraId="61FCB03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DCBA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E9213A3">
            <w:pPr>
              <w:jc w:val="center"/>
            </w:pPr>
            <w:r>
              <w:rPr>
                <w:rFonts w:ascii="宋体" w:hAnsi="宋体" w:eastAsia="宋体"/>
                <w:sz w:val="16"/>
              </w:rPr>
              <w:t>2024年单位资金</w:t>
            </w:r>
            <w:r>
              <w:rPr>
                <w:rFonts w:hint="eastAsia" w:ascii="宋体" w:hAnsi="宋体"/>
                <w:sz w:val="16"/>
                <w:lang w:eastAsia="zh-CN"/>
              </w:rPr>
              <w:t>－</w:t>
            </w:r>
            <w:r>
              <w:rPr>
                <w:rFonts w:ascii="宋体" w:hAnsi="宋体" w:eastAsia="宋体"/>
                <w:sz w:val="16"/>
              </w:rPr>
              <w:t>中石油援建库普乡卫生院建设项目</w:t>
            </w:r>
          </w:p>
        </w:tc>
      </w:tr>
      <w:tr w14:paraId="1DB9A5B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1139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1AA0023">
            <w:pPr>
              <w:jc w:val="center"/>
            </w:pPr>
            <w:r>
              <w:rPr>
                <w:rFonts w:ascii="宋体" w:hAnsi="宋体" w:eastAsia="宋体"/>
                <w:sz w:val="16"/>
              </w:rPr>
              <w:t>托里县卫生健康委员会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DC68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BAAC89A">
            <w:pPr>
              <w:jc w:val="center"/>
            </w:pPr>
            <w:r>
              <w:rPr>
                <w:rFonts w:ascii="宋体" w:hAnsi="宋体" w:eastAsia="宋体"/>
                <w:sz w:val="16"/>
              </w:rPr>
              <w:t>托里县卫生健康委员会</w:t>
            </w:r>
          </w:p>
        </w:tc>
      </w:tr>
      <w:tr w14:paraId="32C64BF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F8FEC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B033B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A55F3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8866C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9B5E8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BA8D1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B6873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CFB85">
            <w:pPr>
              <w:jc w:val="center"/>
            </w:pPr>
            <w:r>
              <w:rPr>
                <w:rFonts w:ascii="宋体" w:hAnsi="宋体" w:eastAsia="宋体"/>
                <w:sz w:val="16"/>
              </w:rPr>
              <w:t>得分</w:t>
            </w:r>
          </w:p>
        </w:tc>
      </w:tr>
      <w:tr w14:paraId="0D6E53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97C1A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06F4E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D9C0DF">
            <w:pPr>
              <w:jc w:val="center"/>
            </w:pPr>
            <w:r>
              <w:rPr>
                <w:rFonts w:ascii="宋体" w:hAnsi="宋体" w:eastAsia="宋体"/>
                <w:sz w:val="16"/>
              </w:rPr>
              <w:t>316.54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782BBD">
            <w:pPr>
              <w:jc w:val="center"/>
            </w:pPr>
            <w:r>
              <w:rPr>
                <w:rFonts w:ascii="宋体" w:hAnsi="宋体" w:eastAsia="宋体"/>
                <w:sz w:val="16"/>
              </w:rPr>
              <w:t>316.54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A3D260">
            <w:pPr>
              <w:jc w:val="center"/>
            </w:pPr>
            <w:r>
              <w:rPr>
                <w:rFonts w:ascii="宋体" w:hAnsi="宋体" w:eastAsia="宋体"/>
                <w:sz w:val="16"/>
              </w:rPr>
              <w:t>57.33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6AA29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EC2060">
            <w:pPr>
              <w:jc w:val="center"/>
            </w:pPr>
            <w:r>
              <w:rPr>
                <w:rFonts w:ascii="宋体" w:hAnsi="宋体" w:eastAsia="宋体"/>
                <w:sz w:val="16"/>
              </w:rPr>
              <w:t>18.11%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5F012">
            <w:pPr>
              <w:jc w:val="center"/>
            </w:pPr>
            <w:r>
              <w:rPr>
                <w:rFonts w:ascii="宋体" w:hAnsi="宋体" w:eastAsia="宋体"/>
                <w:sz w:val="16"/>
              </w:rPr>
              <w:t>1.81</w:t>
            </w:r>
          </w:p>
        </w:tc>
      </w:tr>
      <w:tr w14:paraId="290518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2B3E4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4F695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4B3618">
            <w:pPr>
              <w:jc w:val="center"/>
            </w:pPr>
            <w:r>
              <w:rPr>
                <w:rFonts w:ascii="宋体" w:hAnsi="宋体" w:eastAsia="宋体"/>
                <w:sz w:val="16"/>
              </w:rPr>
              <w:t>316.54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768BD2">
            <w:pPr>
              <w:jc w:val="center"/>
            </w:pPr>
            <w:r>
              <w:rPr>
                <w:rFonts w:ascii="宋体" w:hAnsi="宋体" w:eastAsia="宋体"/>
                <w:sz w:val="16"/>
              </w:rPr>
              <w:t>316.54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0A8FCE">
            <w:pPr>
              <w:jc w:val="center"/>
            </w:pPr>
            <w:r>
              <w:rPr>
                <w:rFonts w:ascii="宋体" w:hAnsi="宋体" w:eastAsia="宋体"/>
                <w:sz w:val="16"/>
              </w:rPr>
              <w:t>57.33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7F238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2862D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04052">
            <w:pPr>
              <w:jc w:val="center"/>
            </w:pPr>
            <w:r>
              <w:rPr>
                <w:rFonts w:ascii="宋体" w:hAnsi="宋体" w:eastAsia="宋体"/>
                <w:sz w:val="16"/>
              </w:rPr>
              <w:t>—</w:t>
            </w:r>
          </w:p>
        </w:tc>
      </w:tr>
      <w:tr w14:paraId="63350C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30CE2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7EDCE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8BACE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A965B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C5527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A540B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8F827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FAC04">
            <w:pPr>
              <w:jc w:val="center"/>
            </w:pPr>
            <w:r>
              <w:rPr>
                <w:rFonts w:ascii="宋体" w:hAnsi="宋体" w:eastAsia="宋体"/>
                <w:sz w:val="16"/>
              </w:rPr>
              <w:t>—</w:t>
            </w:r>
          </w:p>
        </w:tc>
      </w:tr>
      <w:tr w14:paraId="7641D33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C39213">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C2BC7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1AA1C5F">
            <w:pPr>
              <w:jc w:val="center"/>
            </w:pPr>
            <w:r>
              <w:rPr>
                <w:rFonts w:ascii="宋体" w:hAnsi="宋体" w:eastAsia="宋体"/>
                <w:sz w:val="16"/>
              </w:rPr>
              <w:t>实际完成情况</w:t>
            </w:r>
          </w:p>
        </w:tc>
      </w:tr>
      <w:tr w14:paraId="2F2B2B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45427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F4A74D">
            <w:pPr>
              <w:jc w:val="both"/>
            </w:pPr>
            <w:r>
              <w:rPr>
                <w:rFonts w:ascii="宋体" w:hAnsi="宋体" w:eastAsia="宋体"/>
                <w:sz w:val="16"/>
              </w:rPr>
              <w:t>中石油援建库普乡卫生院建设项目总资金1000万元，</w:t>
            </w:r>
            <w:r>
              <w:rPr>
                <w:rFonts w:hint="eastAsia" w:ascii="宋体" w:hAnsi="宋体"/>
                <w:sz w:val="16"/>
                <w:lang w:eastAsia="zh-CN"/>
              </w:rPr>
              <w:t>截至</w:t>
            </w:r>
            <w:r>
              <w:rPr>
                <w:rFonts w:ascii="宋体" w:hAnsi="宋体" w:eastAsia="宋体"/>
                <w:sz w:val="16"/>
              </w:rPr>
              <w:t>2023年12月11日，已经支付683.460581万元，2024年计划支出316.54万元，项目按照计划正常实行，该项目提高乡镇医疗服务能力，受益群众满意度95%。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04E5688">
            <w:pPr>
              <w:jc w:val="both"/>
            </w:pPr>
            <w:r>
              <w:rPr>
                <w:rFonts w:ascii="宋体" w:hAnsi="宋体" w:eastAsia="宋体"/>
                <w:sz w:val="16"/>
              </w:rPr>
              <w:t>中石油援建库普乡卫生院建设项目总资金1000万元，</w:t>
            </w:r>
            <w:r>
              <w:rPr>
                <w:rFonts w:hint="eastAsia" w:ascii="宋体" w:hAnsi="宋体"/>
                <w:sz w:val="16"/>
                <w:lang w:eastAsia="zh-CN"/>
              </w:rPr>
              <w:t>截至</w:t>
            </w:r>
            <w:r>
              <w:rPr>
                <w:rFonts w:ascii="宋体" w:hAnsi="宋体" w:eastAsia="宋体"/>
                <w:sz w:val="16"/>
              </w:rPr>
              <w:t>2024年12月31日，已经支付57.326918万元，项目按照计划正常实行，该项目提高乡镇医疗服务能力，受益群众满意度95%。</w:t>
            </w:r>
          </w:p>
        </w:tc>
      </w:tr>
      <w:tr w14:paraId="510E48B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8E101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11EC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06C7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E751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CC016">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B73B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F4E5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F48D2">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A2A4A">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2DF9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68C6C">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22D86">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5317B">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27ED5">
            <w:pPr>
              <w:jc w:val="center"/>
            </w:pPr>
            <w:r>
              <w:rPr>
                <w:rFonts w:ascii="宋体" w:hAnsi="宋体" w:eastAsia="宋体"/>
                <w:sz w:val="16"/>
              </w:rPr>
              <w:t>偏差原因分析及改进措施</w:t>
            </w:r>
          </w:p>
        </w:tc>
      </w:tr>
      <w:tr w14:paraId="3B9AFC2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33A30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6CBFB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84AAD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C9C6B">
            <w:pPr>
              <w:jc w:val="center"/>
            </w:pPr>
            <w:r>
              <w:rPr>
                <w:rFonts w:ascii="宋体" w:hAnsi="宋体" w:eastAsia="宋体"/>
                <w:sz w:val="16"/>
              </w:rPr>
              <w:t>卫生院建设数量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BBEE0">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971E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95E4A">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14E4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1B55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5CF5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AB713">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42BF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E642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EE4E3">
            <w:pPr>
              <w:jc w:val="center"/>
            </w:pPr>
          </w:p>
        </w:tc>
      </w:tr>
      <w:tr w14:paraId="7E02FD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74190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C838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4527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28131">
            <w:pPr>
              <w:jc w:val="center"/>
            </w:pPr>
            <w:r>
              <w:rPr>
                <w:rFonts w:ascii="宋体" w:hAnsi="宋体" w:eastAsia="宋体"/>
                <w:sz w:val="16"/>
              </w:rPr>
              <w:t>建设面积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7E8F5">
            <w:pPr>
              <w:jc w:val="center"/>
            </w:pPr>
            <w:r>
              <w:rPr>
                <w:rFonts w:ascii="宋体" w:hAnsi="宋体" w:eastAsia="宋体"/>
                <w:sz w:val="16"/>
              </w:rPr>
              <w:t>=2482.81平方米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7EC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1BCE5">
            <w:pPr>
              <w:jc w:val="center"/>
            </w:pPr>
            <w:r>
              <w:rPr>
                <w:rFonts w:ascii="宋体" w:hAnsi="宋体" w:eastAsia="宋体"/>
                <w:sz w:val="16"/>
              </w:rPr>
              <w:t>2482.81平方米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C386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517D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11EF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4D34D">
            <w:pPr>
              <w:jc w:val="center"/>
            </w:pPr>
            <w:r>
              <w:rPr>
                <w:rFonts w:ascii="宋体" w:hAnsi="宋体" w:eastAsia="宋体"/>
                <w:sz w:val="16"/>
              </w:rPr>
              <w:t>=2482.81平方米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F632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B745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5E6E8">
            <w:pPr>
              <w:jc w:val="center"/>
            </w:pPr>
          </w:p>
        </w:tc>
      </w:tr>
      <w:tr w14:paraId="0DDD6B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3DB1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F1BEA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DECFE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C8B27">
            <w:pPr>
              <w:jc w:val="center"/>
            </w:pPr>
            <w:r>
              <w:rPr>
                <w:rFonts w:ascii="宋体" w:hAnsi="宋体" w:eastAsia="宋体"/>
                <w:sz w:val="16"/>
              </w:rPr>
              <w:t>资金使用合格率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A48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5F3F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C58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59D5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63B9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69A7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402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FF6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377B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F3C8E">
            <w:pPr>
              <w:jc w:val="center"/>
            </w:pPr>
          </w:p>
        </w:tc>
      </w:tr>
      <w:tr w14:paraId="0AE719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E6AF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7145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165B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E099D">
            <w:pPr>
              <w:jc w:val="center"/>
            </w:pPr>
            <w:r>
              <w:rPr>
                <w:rFonts w:ascii="宋体" w:hAnsi="宋体" w:eastAsia="宋体"/>
                <w:sz w:val="16"/>
              </w:rPr>
              <w:t>资金到位率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BA8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4C1F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E15F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2FBD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1619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11CC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68B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9AD2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9B28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8C0FD">
            <w:pPr>
              <w:jc w:val="center"/>
            </w:pPr>
          </w:p>
        </w:tc>
      </w:tr>
      <w:tr w14:paraId="3A0191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23EB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07AE5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9E621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C1FCE">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A65FF">
            <w:pPr>
              <w:jc w:val="center"/>
            </w:pPr>
            <w:r>
              <w:rPr>
                <w:rFonts w:ascii="宋体" w:hAnsi="宋体" w:eastAsia="宋体"/>
                <w:sz w:val="16"/>
              </w:rPr>
              <w:t>2024年5月31日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5EC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91780">
            <w:pPr>
              <w:jc w:val="center"/>
            </w:pPr>
            <w:r>
              <w:rPr>
                <w:rFonts w:ascii="宋体" w:hAnsi="宋体" w:eastAsia="宋体"/>
                <w:sz w:val="16"/>
              </w:rPr>
              <w:t>2023年12月20日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7539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CEEE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BA90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80D54">
            <w:pPr>
              <w:jc w:val="center"/>
            </w:pPr>
            <w:r>
              <w:rPr>
                <w:rFonts w:ascii="宋体" w:hAnsi="宋体" w:eastAsia="宋体"/>
                <w:sz w:val="16"/>
              </w:rPr>
              <w:t>=2024年5月31日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D61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9774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3F57E">
            <w:pPr>
              <w:jc w:val="center"/>
            </w:pPr>
          </w:p>
        </w:tc>
      </w:tr>
      <w:tr w14:paraId="3B785B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7A6E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C3EE2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040D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5C255">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1F8B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5A5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0B20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DA08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D02D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06E5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3D06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E49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3C93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DF128">
            <w:pPr>
              <w:jc w:val="center"/>
            </w:pPr>
          </w:p>
        </w:tc>
      </w:tr>
      <w:tr w14:paraId="4B1653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8021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90BC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3639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974C3">
            <w:pPr>
              <w:jc w:val="center"/>
            </w:pPr>
            <w:r>
              <w:rPr>
                <w:rFonts w:ascii="宋体" w:hAnsi="宋体" w:eastAsia="宋体"/>
                <w:sz w:val="16"/>
              </w:rPr>
              <w:t>库普乡卫生院建设成本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B3142">
            <w:pPr>
              <w:jc w:val="center"/>
            </w:pPr>
            <w:r>
              <w:rPr>
                <w:rFonts w:ascii="宋体" w:hAnsi="宋体" w:eastAsia="宋体"/>
                <w:sz w:val="16"/>
              </w:rPr>
              <w:t>&lt;=316.54万元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F4C2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5C8E9">
            <w:pPr>
              <w:jc w:val="center"/>
            </w:pPr>
            <w:r>
              <w:rPr>
                <w:rFonts w:ascii="宋体" w:hAnsi="宋体" w:eastAsia="宋体"/>
                <w:sz w:val="16"/>
              </w:rPr>
              <w:t>683.46万元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A601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EF5C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951B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B897C">
            <w:pPr>
              <w:jc w:val="center"/>
            </w:pPr>
            <w:r>
              <w:rPr>
                <w:rFonts w:ascii="宋体" w:hAnsi="宋体" w:eastAsia="宋体"/>
                <w:sz w:val="16"/>
              </w:rPr>
              <w:t>=57.326918万元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84CD1">
            <w:pPr>
              <w:jc w:val="center"/>
            </w:pPr>
            <w:r>
              <w:rPr>
                <w:rFonts w:ascii="宋体" w:hAnsi="宋体" w:eastAsia="宋体"/>
                <w:sz w:val="16"/>
              </w:rPr>
              <w:t>18.11%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8A5CD">
            <w:pPr>
              <w:jc w:val="center"/>
            </w:pPr>
            <w:r>
              <w:rPr>
                <w:rFonts w:ascii="宋体" w:hAnsi="宋体" w:eastAsia="宋体"/>
                <w:sz w:val="16"/>
              </w:rPr>
              <w:t>3.62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65F21">
            <w:pPr>
              <w:jc w:val="center"/>
            </w:pPr>
            <w:r>
              <w:rPr>
                <w:rFonts w:ascii="宋体" w:hAnsi="宋体" w:eastAsia="宋体"/>
                <w:sz w:val="16"/>
              </w:rPr>
              <w:t>原因：施工单位暂未进行竣工结算，后续资金暂时无法支付。改进措施：督促施工单位尽快进行竣工结算，按时支付。</w:t>
            </w:r>
          </w:p>
        </w:tc>
      </w:tr>
      <w:tr w14:paraId="6AF5EA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C80E0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91B724">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E1384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A8E42">
            <w:pPr>
              <w:jc w:val="center"/>
            </w:pPr>
            <w:r>
              <w:rPr>
                <w:rFonts w:ascii="宋体" w:hAnsi="宋体" w:eastAsia="宋体"/>
                <w:sz w:val="16"/>
              </w:rPr>
              <w:t>受益乡镇数量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7DF0D">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AD97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1CA37">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C5E1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A3CD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2A68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3D413">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876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804D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80B7C">
            <w:pPr>
              <w:jc w:val="center"/>
            </w:pPr>
          </w:p>
        </w:tc>
      </w:tr>
      <w:tr w14:paraId="753668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7A66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7EBE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3FEF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529F6">
            <w:pPr>
              <w:jc w:val="center"/>
            </w:pPr>
            <w:r>
              <w:rPr>
                <w:rFonts w:ascii="宋体" w:hAnsi="宋体" w:eastAsia="宋体"/>
                <w:sz w:val="16"/>
              </w:rPr>
              <w:t>提高乡镇医疗服务能力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EEDD2">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BB76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BA6D8">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753A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397D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502B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10336">
            <w:pPr>
              <w:jc w:val="center"/>
            </w:pPr>
            <w:r>
              <w:rPr>
                <w:rFonts w:ascii="宋体" w:hAnsi="宋体" w:eastAsia="宋体"/>
                <w:sz w:val="16"/>
              </w:rPr>
              <w:tab/>
            </w: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7A2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8E71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E134E">
            <w:pPr>
              <w:jc w:val="center"/>
            </w:pPr>
          </w:p>
        </w:tc>
      </w:tr>
      <w:tr w14:paraId="30F8BE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939F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8CE1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4FA9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856FC">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D14D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380F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EEEC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4E0F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4B0D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7AFF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46D80">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28C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62CA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30E3C">
            <w:pPr>
              <w:jc w:val="center"/>
            </w:pPr>
          </w:p>
        </w:tc>
      </w:tr>
      <w:tr w14:paraId="50F578FD">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8243F8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D393C3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8F59E7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05A35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FD4E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F4579C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60FEE4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3AC89B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7E52D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5427B">
            <w:pPr>
              <w:jc w:val="center"/>
            </w:pPr>
            <w:r>
              <w:rPr>
                <w:rFonts w:ascii="宋体" w:hAnsi="宋体" w:eastAsia="宋体"/>
                <w:sz w:val="16"/>
              </w:rPr>
              <w:t>75.43分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CB77974"/>
        </w:tc>
      </w:tr>
    </w:tbl>
    <w:p w14:paraId="52E10EE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96"/>
        <w:gridCol w:w="632"/>
        <w:gridCol w:w="632"/>
      </w:tblGrid>
      <w:tr w14:paraId="52EF3F85">
        <w:tblPrEx>
          <w:tblCellMar>
            <w:top w:w="0" w:type="dxa"/>
            <w:left w:w="108" w:type="dxa"/>
            <w:bottom w:w="0" w:type="dxa"/>
            <w:right w:w="108" w:type="dxa"/>
          </w:tblCellMar>
        </w:tblPrEx>
        <w:tc>
          <w:tcPr>
            <w:tcW w:w="8848" w:type="dxa"/>
            <w:gridSpan w:val="14"/>
            <w:vAlign w:val="center"/>
          </w:tcPr>
          <w:p w14:paraId="579664D2">
            <w:pPr>
              <w:jc w:val="center"/>
            </w:pPr>
            <w:r>
              <w:rPr>
                <w:rFonts w:ascii="宋体" w:hAnsi="宋体" w:eastAsia="宋体"/>
                <w:sz w:val="24"/>
              </w:rPr>
              <w:t>项目支出绩效自评表</w:t>
            </w:r>
          </w:p>
        </w:tc>
      </w:tr>
      <w:tr w14:paraId="01168BBC">
        <w:tblPrEx>
          <w:tblCellMar>
            <w:top w:w="0" w:type="dxa"/>
            <w:left w:w="108" w:type="dxa"/>
            <w:bottom w:w="0" w:type="dxa"/>
            <w:right w:w="108" w:type="dxa"/>
          </w:tblCellMar>
        </w:tblPrEx>
        <w:tc>
          <w:tcPr>
            <w:tcW w:w="8848" w:type="dxa"/>
            <w:gridSpan w:val="14"/>
            <w:vAlign w:val="center"/>
          </w:tcPr>
          <w:p w14:paraId="415A727A">
            <w:pPr>
              <w:jc w:val="center"/>
            </w:pPr>
            <w:r>
              <w:rPr>
                <w:rFonts w:ascii="宋体" w:hAnsi="宋体" w:eastAsia="宋体"/>
                <w:sz w:val="24"/>
              </w:rPr>
              <w:t>(2024年度)</w:t>
            </w:r>
          </w:p>
        </w:tc>
      </w:tr>
      <w:tr w14:paraId="3CC4ED2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0403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B5FA77F">
            <w:pPr>
              <w:jc w:val="center"/>
            </w:pPr>
            <w:r>
              <w:rPr>
                <w:rFonts w:ascii="宋体" w:hAnsi="宋体" w:eastAsia="宋体"/>
                <w:sz w:val="16"/>
              </w:rPr>
              <w:t>2024年单位资金</w:t>
            </w:r>
            <w:r>
              <w:rPr>
                <w:rFonts w:hint="eastAsia" w:ascii="宋体" w:hAnsi="宋体"/>
                <w:sz w:val="16"/>
                <w:lang w:eastAsia="zh-CN"/>
              </w:rPr>
              <w:t>－</w:t>
            </w:r>
            <w:r>
              <w:rPr>
                <w:rFonts w:ascii="宋体" w:hAnsi="宋体" w:eastAsia="宋体"/>
                <w:sz w:val="16"/>
              </w:rPr>
              <w:t>红十字会</w:t>
            </w:r>
            <w:r>
              <w:rPr>
                <w:rFonts w:hint="eastAsia" w:ascii="宋体" w:hAnsi="宋体"/>
                <w:sz w:val="16"/>
                <w:lang w:eastAsia="zh-CN"/>
              </w:rPr>
              <w:t>防疫</w:t>
            </w:r>
            <w:r>
              <w:rPr>
                <w:rFonts w:ascii="宋体" w:hAnsi="宋体" w:eastAsia="宋体"/>
                <w:sz w:val="16"/>
              </w:rPr>
              <w:t>捐款</w:t>
            </w:r>
          </w:p>
        </w:tc>
      </w:tr>
      <w:tr w14:paraId="6F041C2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DF53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0629FC">
            <w:pPr>
              <w:jc w:val="center"/>
            </w:pPr>
            <w:r>
              <w:rPr>
                <w:rFonts w:ascii="宋体" w:hAnsi="宋体" w:eastAsia="宋体"/>
                <w:sz w:val="16"/>
              </w:rPr>
              <w:t>托里县卫生健康委员会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3B5C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87D7F47">
            <w:pPr>
              <w:jc w:val="center"/>
            </w:pPr>
            <w:r>
              <w:rPr>
                <w:rFonts w:ascii="宋体" w:hAnsi="宋体" w:eastAsia="宋体"/>
                <w:sz w:val="16"/>
              </w:rPr>
              <w:t>托里县卫生健康委员会</w:t>
            </w:r>
          </w:p>
        </w:tc>
      </w:tr>
      <w:tr w14:paraId="5136AD3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B1DD3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640BB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BCEA1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493E2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2EE34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8F3CD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4036A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3C714">
            <w:pPr>
              <w:jc w:val="center"/>
            </w:pPr>
            <w:r>
              <w:rPr>
                <w:rFonts w:ascii="宋体" w:hAnsi="宋体" w:eastAsia="宋体"/>
                <w:sz w:val="16"/>
              </w:rPr>
              <w:t>得分</w:t>
            </w:r>
          </w:p>
        </w:tc>
      </w:tr>
      <w:tr w14:paraId="5D56B1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6C4FB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A7940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9D2B8F">
            <w:pPr>
              <w:jc w:val="center"/>
            </w:pPr>
            <w:r>
              <w:rPr>
                <w:rFonts w:ascii="宋体" w:hAnsi="宋体" w:eastAsia="宋体"/>
                <w:sz w:val="16"/>
              </w:rPr>
              <w:t>46.61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CA5E0F">
            <w:pPr>
              <w:jc w:val="center"/>
            </w:pPr>
            <w:r>
              <w:rPr>
                <w:rFonts w:ascii="宋体" w:hAnsi="宋体" w:eastAsia="宋体"/>
                <w:sz w:val="16"/>
              </w:rPr>
              <w:t>108.32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08405E">
            <w:pPr>
              <w:jc w:val="center"/>
            </w:pPr>
            <w:r>
              <w:rPr>
                <w:rFonts w:ascii="宋体" w:hAnsi="宋体" w:eastAsia="宋体"/>
                <w:sz w:val="16"/>
              </w:rPr>
              <w:t>107.60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9B954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5C287C">
            <w:pPr>
              <w:jc w:val="center"/>
            </w:pPr>
            <w:r>
              <w:rPr>
                <w:rFonts w:ascii="宋体" w:hAnsi="宋体" w:eastAsia="宋体"/>
                <w:sz w:val="16"/>
              </w:rPr>
              <w:t>99.34%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B048C">
            <w:pPr>
              <w:jc w:val="center"/>
            </w:pPr>
            <w:r>
              <w:rPr>
                <w:rFonts w:ascii="宋体" w:hAnsi="宋体" w:eastAsia="宋体"/>
                <w:sz w:val="16"/>
              </w:rPr>
              <w:t>9.93</w:t>
            </w:r>
          </w:p>
        </w:tc>
      </w:tr>
      <w:tr w14:paraId="7E58BC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1C28B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D56E4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09265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A010F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047D7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BC60A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740FB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E4F3E">
            <w:pPr>
              <w:jc w:val="center"/>
            </w:pPr>
            <w:r>
              <w:rPr>
                <w:rFonts w:ascii="宋体" w:hAnsi="宋体" w:eastAsia="宋体"/>
                <w:sz w:val="16"/>
              </w:rPr>
              <w:t>—</w:t>
            </w:r>
          </w:p>
        </w:tc>
      </w:tr>
      <w:tr w14:paraId="523884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50B99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B7912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436D42">
            <w:pPr>
              <w:jc w:val="center"/>
            </w:pPr>
            <w:r>
              <w:rPr>
                <w:rFonts w:ascii="宋体" w:hAnsi="宋体" w:eastAsia="宋体"/>
                <w:sz w:val="16"/>
              </w:rPr>
              <w:t>46.61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14E418">
            <w:pPr>
              <w:jc w:val="center"/>
            </w:pPr>
            <w:r>
              <w:rPr>
                <w:rFonts w:ascii="宋体" w:hAnsi="宋体" w:eastAsia="宋体"/>
                <w:sz w:val="16"/>
              </w:rPr>
              <w:t>108.32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6EC17C">
            <w:pPr>
              <w:jc w:val="center"/>
            </w:pPr>
            <w:r>
              <w:rPr>
                <w:rFonts w:ascii="宋体" w:hAnsi="宋体" w:eastAsia="宋体"/>
                <w:sz w:val="16"/>
              </w:rPr>
              <w:t>107.60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DC0A4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7302D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3CFFF">
            <w:pPr>
              <w:jc w:val="center"/>
            </w:pPr>
            <w:r>
              <w:rPr>
                <w:rFonts w:ascii="宋体" w:hAnsi="宋体" w:eastAsia="宋体"/>
                <w:sz w:val="16"/>
              </w:rPr>
              <w:t>—</w:t>
            </w:r>
          </w:p>
        </w:tc>
      </w:tr>
      <w:tr w14:paraId="2085DA5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9CF699">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2D4EE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8C7142A">
            <w:pPr>
              <w:jc w:val="center"/>
            </w:pPr>
            <w:r>
              <w:rPr>
                <w:rFonts w:ascii="宋体" w:hAnsi="宋体" w:eastAsia="宋体"/>
                <w:sz w:val="16"/>
              </w:rPr>
              <w:t>实际完成情况</w:t>
            </w:r>
          </w:p>
        </w:tc>
      </w:tr>
      <w:tr w14:paraId="415075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FC94A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45C548A">
            <w:pPr>
              <w:jc w:val="both"/>
            </w:pPr>
            <w:r>
              <w:rPr>
                <w:rFonts w:ascii="宋体" w:hAnsi="宋体" w:eastAsia="宋体"/>
                <w:sz w:val="16"/>
              </w:rPr>
              <w:t>2024年</w:t>
            </w:r>
            <w:r>
              <w:rPr>
                <w:rFonts w:hint="eastAsia" w:ascii="宋体" w:hAnsi="宋体"/>
                <w:sz w:val="16"/>
                <w:lang w:eastAsia="zh-CN"/>
              </w:rPr>
              <w:t>本单位</w:t>
            </w:r>
            <w:r>
              <w:rPr>
                <w:rFonts w:ascii="宋体" w:hAnsi="宋体" w:eastAsia="宋体"/>
                <w:sz w:val="16"/>
              </w:rPr>
              <w:t>计划支付单位资金</w:t>
            </w:r>
            <w:r>
              <w:rPr>
                <w:rFonts w:hint="eastAsia" w:ascii="宋体" w:hAnsi="宋体"/>
                <w:sz w:val="16"/>
                <w:lang w:eastAsia="zh-CN"/>
              </w:rPr>
              <w:t>－</w:t>
            </w:r>
            <w:r>
              <w:rPr>
                <w:rFonts w:ascii="宋体" w:hAnsi="宋体" w:eastAsia="宋体"/>
                <w:sz w:val="16"/>
              </w:rPr>
              <w:t>红十字</w:t>
            </w:r>
            <w:r>
              <w:rPr>
                <w:rFonts w:hint="eastAsia" w:ascii="宋体" w:hAnsi="宋体"/>
                <w:sz w:val="16"/>
                <w:lang w:eastAsia="zh-CN"/>
              </w:rPr>
              <w:t>防疫</w:t>
            </w:r>
            <w:r>
              <w:rPr>
                <w:rFonts w:ascii="宋体" w:hAnsi="宋体" w:eastAsia="宋体"/>
                <w:sz w:val="16"/>
              </w:rPr>
              <w:t>捐款资金106.324万元，主要用于支付</w:t>
            </w:r>
            <w:r>
              <w:rPr>
                <w:rFonts w:hint="eastAsia" w:ascii="宋体" w:hAnsi="宋体"/>
                <w:sz w:val="16"/>
                <w:lang w:eastAsia="zh-CN"/>
              </w:rPr>
              <w:t>防疫</w:t>
            </w:r>
            <w:r>
              <w:rPr>
                <w:rFonts w:ascii="宋体" w:hAnsi="宋体" w:eastAsia="宋体"/>
                <w:sz w:val="16"/>
              </w:rPr>
              <w:t>期间购买救护车尾款，关于划拨党费支持基层党组织做好新冠感染</w:t>
            </w:r>
            <w:r>
              <w:rPr>
                <w:rFonts w:hint="eastAsia" w:ascii="宋体" w:hAnsi="宋体"/>
                <w:sz w:val="16"/>
                <w:lang w:eastAsia="zh-CN"/>
              </w:rPr>
              <w:t>防疫</w:t>
            </w:r>
            <w:r>
              <w:rPr>
                <w:rFonts w:ascii="宋体" w:hAnsi="宋体" w:eastAsia="宋体"/>
                <w:sz w:val="16"/>
              </w:rPr>
              <w:t>防控工作2万元，主要用于慰问战斗</w:t>
            </w:r>
            <w:r>
              <w:rPr>
                <w:rFonts w:hint="eastAsia" w:ascii="宋体" w:hAnsi="宋体"/>
                <w:sz w:val="16"/>
                <w:lang w:eastAsia="zh-CN"/>
              </w:rPr>
              <w:t>在防疫</w:t>
            </w:r>
            <w:r>
              <w:rPr>
                <w:rFonts w:ascii="宋体" w:hAnsi="宋体" w:eastAsia="宋体"/>
                <w:sz w:val="16"/>
              </w:rPr>
              <w:t>防控斗争第一线的医务工作者。通过该项目的实施，能够有效提高了托里县医疗服务能力，</w:t>
            </w:r>
            <w:r>
              <w:rPr>
                <w:rFonts w:hint="eastAsia" w:ascii="宋体" w:hAnsi="宋体"/>
                <w:sz w:val="16"/>
                <w:lang w:eastAsia="zh-CN"/>
              </w:rPr>
              <w:t>受益</w:t>
            </w:r>
            <w:r>
              <w:rPr>
                <w:rFonts w:ascii="宋体" w:hAnsi="宋体" w:eastAsia="宋体"/>
                <w:sz w:val="16"/>
              </w:rPr>
              <w:t>群众满意度95%。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F011308">
            <w:pPr>
              <w:jc w:val="both"/>
            </w:pPr>
            <w:r>
              <w:rPr>
                <w:rFonts w:ascii="宋体" w:hAnsi="宋体" w:eastAsia="宋体"/>
                <w:sz w:val="16"/>
              </w:rPr>
              <w:t>2024年单位资金</w:t>
            </w:r>
            <w:r>
              <w:rPr>
                <w:rFonts w:hint="eastAsia" w:ascii="宋体" w:hAnsi="宋体"/>
                <w:sz w:val="16"/>
                <w:lang w:eastAsia="zh-CN"/>
              </w:rPr>
              <w:t>－</w:t>
            </w:r>
            <w:r>
              <w:rPr>
                <w:rFonts w:ascii="宋体" w:hAnsi="宋体" w:eastAsia="宋体"/>
                <w:sz w:val="16"/>
              </w:rPr>
              <w:t>红十字会</w:t>
            </w:r>
            <w:r>
              <w:rPr>
                <w:rFonts w:hint="eastAsia" w:ascii="宋体" w:hAnsi="宋体"/>
                <w:sz w:val="16"/>
                <w:lang w:eastAsia="zh-CN"/>
              </w:rPr>
              <w:t>防疫</w:t>
            </w:r>
            <w:r>
              <w:rPr>
                <w:rFonts w:ascii="宋体" w:hAnsi="宋体" w:eastAsia="宋体"/>
                <w:sz w:val="16"/>
              </w:rPr>
              <w:t>捐款108.32万元，</w:t>
            </w:r>
            <w:r>
              <w:rPr>
                <w:rFonts w:hint="eastAsia" w:ascii="宋体" w:hAnsi="宋体"/>
                <w:sz w:val="16"/>
                <w:lang w:eastAsia="zh-CN"/>
              </w:rPr>
              <w:t>截至</w:t>
            </w:r>
            <w:r>
              <w:rPr>
                <w:rFonts w:ascii="宋体" w:hAnsi="宋体" w:eastAsia="宋体"/>
                <w:sz w:val="16"/>
              </w:rPr>
              <w:t>2024年12月31日已支付107.6万元，用于支付</w:t>
            </w:r>
            <w:r>
              <w:rPr>
                <w:rFonts w:hint="eastAsia" w:ascii="宋体" w:hAnsi="宋体"/>
                <w:sz w:val="16"/>
                <w:lang w:eastAsia="zh-CN"/>
              </w:rPr>
              <w:t>防疫</w:t>
            </w:r>
            <w:r>
              <w:rPr>
                <w:rFonts w:ascii="宋体" w:hAnsi="宋体" w:eastAsia="宋体"/>
                <w:sz w:val="16"/>
              </w:rPr>
              <w:t>期间购买救护车尾款 92.4万元，支付车辆购置税13.2万元，工作经费2万元。通过该项目的实施，能够有效提高了托里县医疗服务能力，</w:t>
            </w:r>
            <w:r>
              <w:rPr>
                <w:rFonts w:hint="eastAsia" w:ascii="宋体" w:hAnsi="宋体"/>
                <w:sz w:val="16"/>
                <w:lang w:eastAsia="zh-CN"/>
              </w:rPr>
              <w:t>受益</w:t>
            </w:r>
            <w:r>
              <w:rPr>
                <w:rFonts w:ascii="宋体" w:hAnsi="宋体" w:eastAsia="宋体"/>
                <w:sz w:val="16"/>
              </w:rPr>
              <w:t>群众满意度95%。</w:t>
            </w:r>
          </w:p>
        </w:tc>
      </w:tr>
      <w:tr w14:paraId="7854A9D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23418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248B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B9A7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F40D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88D2F">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196F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BCF9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90578">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C3A5F">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60C6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91D77">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7B8C0">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60602">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05C4D">
            <w:pPr>
              <w:jc w:val="center"/>
            </w:pPr>
            <w:r>
              <w:rPr>
                <w:rFonts w:ascii="宋体" w:hAnsi="宋体" w:eastAsia="宋体"/>
                <w:sz w:val="16"/>
              </w:rPr>
              <w:t>偏差原因分析及改进措施</w:t>
            </w:r>
          </w:p>
        </w:tc>
      </w:tr>
      <w:tr w14:paraId="01ABD80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786D0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C02D9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ACE0E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C9310">
            <w:pPr>
              <w:jc w:val="center"/>
            </w:pPr>
            <w:r>
              <w:rPr>
                <w:rFonts w:ascii="宋体" w:hAnsi="宋体" w:eastAsia="宋体"/>
                <w:sz w:val="16"/>
              </w:rPr>
              <w:t>购买救护车数量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DAF17">
            <w:pPr>
              <w:jc w:val="center"/>
            </w:pPr>
            <w:r>
              <w:rPr>
                <w:rFonts w:ascii="宋体" w:hAnsi="宋体" w:eastAsia="宋体"/>
                <w:sz w:val="16"/>
              </w:rPr>
              <w:t>=5辆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3EEC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D71B9">
            <w:pPr>
              <w:jc w:val="center"/>
            </w:pPr>
            <w:r>
              <w:rPr>
                <w:rFonts w:ascii="宋体" w:hAnsi="宋体" w:eastAsia="宋体"/>
                <w:sz w:val="16"/>
              </w:rPr>
              <w:t>5辆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AC8BC">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114D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25B0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83D0D">
            <w:pPr>
              <w:jc w:val="center"/>
            </w:pPr>
            <w:r>
              <w:rPr>
                <w:rFonts w:ascii="宋体" w:hAnsi="宋体" w:eastAsia="宋体"/>
                <w:sz w:val="16"/>
              </w:rPr>
              <w:t>=5辆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20C9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6CB14">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9BBCE">
            <w:pPr>
              <w:jc w:val="center"/>
            </w:pPr>
          </w:p>
        </w:tc>
      </w:tr>
      <w:tr w14:paraId="0A9EF3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DE41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19AD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9322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1C721">
            <w:pPr>
              <w:jc w:val="center"/>
            </w:pPr>
            <w:r>
              <w:rPr>
                <w:rFonts w:ascii="宋体" w:hAnsi="宋体" w:eastAsia="宋体"/>
                <w:sz w:val="16"/>
              </w:rPr>
              <w:t>医废转运车数量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35A05">
            <w:pPr>
              <w:jc w:val="center"/>
            </w:pPr>
            <w:r>
              <w:rPr>
                <w:rFonts w:ascii="宋体" w:hAnsi="宋体" w:eastAsia="宋体"/>
                <w:sz w:val="16"/>
              </w:rPr>
              <w:t>=2辆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0904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17705">
            <w:pPr>
              <w:jc w:val="center"/>
            </w:pPr>
            <w:r>
              <w:rPr>
                <w:rFonts w:ascii="宋体" w:hAnsi="宋体" w:eastAsia="宋体"/>
                <w:sz w:val="16"/>
              </w:rPr>
              <w:t>2辆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93CDF">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2F58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9048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36546">
            <w:pPr>
              <w:jc w:val="center"/>
            </w:pPr>
            <w:r>
              <w:rPr>
                <w:rFonts w:ascii="宋体" w:hAnsi="宋体" w:eastAsia="宋体"/>
                <w:sz w:val="16"/>
              </w:rPr>
              <w:t>=2辆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9193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659B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59BA8">
            <w:pPr>
              <w:jc w:val="center"/>
            </w:pPr>
          </w:p>
        </w:tc>
      </w:tr>
      <w:tr w14:paraId="279B55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1C56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00B37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99477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3722B">
            <w:pPr>
              <w:jc w:val="center"/>
            </w:pPr>
            <w:r>
              <w:rPr>
                <w:rFonts w:ascii="宋体" w:hAnsi="宋体" w:eastAsia="宋体"/>
                <w:sz w:val="16"/>
              </w:rPr>
              <w:t>车辆合格率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A76F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6B3B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65D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BF07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A048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F905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B738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473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0905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D0DB4">
            <w:pPr>
              <w:jc w:val="center"/>
            </w:pPr>
          </w:p>
        </w:tc>
      </w:tr>
      <w:tr w14:paraId="01805B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48BF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ADDDE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32E7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5D7C8">
            <w:pPr>
              <w:jc w:val="center"/>
            </w:pPr>
            <w:r>
              <w:rPr>
                <w:rFonts w:ascii="宋体" w:hAnsi="宋体" w:eastAsia="宋体"/>
                <w:sz w:val="16"/>
              </w:rPr>
              <w:t>资金到位率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17E8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7D84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F3A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C286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80CB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394A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67C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B716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293A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986D8">
            <w:pPr>
              <w:jc w:val="center"/>
            </w:pPr>
          </w:p>
        </w:tc>
      </w:tr>
      <w:tr w14:paraId="78CB13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F1C8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8B814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17066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8F7E2">
            <w:pPr>
              <w:jc w:val="center"/>
            </w:pPr>
            <w:r>
              <w:rPr>
                <w:rFonts w:ascii="宋体" w:hAnsi="宋体" w:eastAsia="宋体"/>
                <w:sz w:val="16"/>
              </w:rPr>
              <w:t>资金使用及时率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335F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795B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C6FF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F676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C8E7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F523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22B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E927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32FE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E84FA">
            <w:pPr>
              <w:jc w:val="center"/>
            </w:pPr>
          </w:p>
        </w:tc>
      </w:tr>
      <w:tr w14:paraId="75E2CE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9D81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09EC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7143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136F1">
            <w:pPr>
              <w:jc w:val="center"/>
            </w:pPr>
            <w:r>
              <w:rPr>
                <w:rFonts w:ascii="宋体" w:hAnsi="宋体" w:eastAsia="宋体"/>
                <w:sz w:val="16"/>
              </w:rPr>
              <w:t>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B4BE6">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841E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8A82A">
            <w:pPr>
              <w:jc w:val="center"/>
            </w:pPr>
            <w:r>
              <w:rPr>
                <w:rFonts w:ascii="宋体" w:hAnsi="宋体" w:eastAsia="宋体"/>
                <w:sz w:val="16"/>
              </w:rPr>
              <w:t>2023年12月20日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DDBF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F2CA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ED9C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1094A">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75B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ECF1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4218E">
            <w:pPr>
              <w:jc w:val="center"/>
            </w:pPr>
          </w:p>
        </w:tc>
      </w:tr>
      <w:tr w14:paraId="4F0C5B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98B8A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56D90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EE905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7DD84">
            <w:pPr>
              <w:jc w:val="center"/>
            </w:pPr>
            <w:r>
              <w:rPr>
                <w:rFonts w:ascii="宋体" w:hAnsi="宋体" w:eastAsia="宋体"/>
                <w:sz w:val="16"/>
              </w:rPr>
              <w:t>购买救护车尾款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5A2B1">
            <w:pPr>
              <w:jc w:val="center"/>
            </w:pPr>
            <w:r>
              <w:rPr>
                <w:rFonts w:ascii="宋体" w:hAnsi="宋体" w:eastAsia="宋体"/>
                <w:sz w:val="16"/>
              </w:rPr>
              <w:t>&lt;=92.4万元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00A7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31BDC">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0A84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75C4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B94C9">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FFBA2">
            <w:pPr>
              <w:jc w:val="center"/>
            </w:pPr>
            <w:r>
              <w:rPr>
                <w:rFonts w:ascii="宋体" w:hAnsi="宋体" w:eastAsia="宋体"/>
                <w:sz w:val="16"/>
              </w:rPr>
              <w:t>&lt;=92.4万元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3E3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98DE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8BD09">
            <w:pPr>
              <w:jc w:val="center"/>
            </w:pPr>
          </w:p>
        </w:tc>
      </w:tr>
      <w:tr w14:paraId="700B7A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A4EE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2C24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131C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518B7">
            <w:pPr>
              <w:jc w:val="center"/>
            </w:pPr>
            <w:r>
              <w:rPr>
                <w:rFonts w:ascii="宋体" w:hAnsi="宋体" w:eastAsia="宋体"/>
                <w:sz w:val="16"/>
              </w:rPr>
              <w:t>车辆购置税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F86B3">
            <w:pPr>
              <w:jc w:val="center"/>
            </w:pPr>
            <w:r>
              <w:rPr>
                <w:rFonts w:ascii="宋体" w:hAnsi="宋体" w:eastAsia="宋体"/>
                <w:sz w:val="16"/>
              </w:rPr>
              <w:t>&lt;=13.2万元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6B80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4D4FD">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4D6D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ABD9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4E4CA">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635E4">
            <w:pPr>
              <w:jc w:val="center"/>
            </w:pPr>
            <w:r>
              <w:rPr>
                <w:rFonts w:ascii="宋体" w:hAnsi="宋体" w:eastAsia="宋体"/>
                <w:sz w:val="16"/>
              </w:rPr>
              <w:t>&lt;=13.2万元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84AF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7944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41339">
            <w:pPr>
              <w:jc w:val="center"/>
            </w:pPr>
          </w:p>
        </w:tc>
      </w:tr>
      <w:tr w14:paraId="07F689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E443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5BD0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A4B0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13762">
            <w:pPr>
              <w:jc w:val="center"/>
            </w:pPr>
            <w:r>
              <w:rPr>
                <w:rFonts w:ascii="宋体" w:hAnsi="宋体" w:eastAsia="宋体"/>
                <w:sz w:val="16"/>
              </w:rPr>
              <w:t>工作经费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D7E05">
            <w:pPr>
              <w:jc w:val="center"/>
            </w:pPr>
            <w:r>
              <w:rPr>
                <w:rFonts w:ascii="宋体" w:hAnsi="宋体" w:eastAsia="宋体"/>
                <w:sz w:val="16"/>
              </w:rPr>
              <w:t>&lt;=2.72万元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03D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AE475">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5C45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0980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A161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2815C">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555CD">
            <w:pPr>
              <w:jc w:val="center"/>
            </w:pPr>
            <w:r>
              <w:rPr>
                <w:rFonts w:ascii="宋体" w:hAnsi="宋体" w:eastAsia="宋体"/>
                <w:sz w:val="16"/>
              </w:rPr>
              <w:t>73.53%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F8E35">
            <w:pPr>
              <w:jc w:val="center"/>
            </w:pPr>
            <w:r>
              <w:rPr>
                <w:rFonts w:ascii="宋体" w:hAnsi="宋体" w:eastAsia="宋体"/>
                <w:sz w:val="16"/>
              </w:rPr>
              <w:t>4.41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B8CD0">
            <w:pPr>
              <w:jc w:val="center"/>
            </w:pPr>
            <w:r>
              <w:rPr>
                <w:rFonts w:ascii="宋体" w:hAnsi="宋体" w:eastAsia="宋体"/>
                <w:sz w:val="16"/>
              </w:rPr>
              <w:t>原因：还未支付完尾款。改进措施：按时支付。</w:t>
            </w:r>
          </w:p>
        </w:tc>
      </w:tr>
      <w:tr w14:paraId="63026D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E93E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E5CE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6B79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24C0D">
            <w:pPr>
              <w:jc w:val="center"/>
            </w:pPr>
            <w:r>
              <w:rPr>
                <w:rFonts w:ascii="宋体" w:hAnsi="宋体" w:eastAsia="宋体"/>
                <w:sz w:val="16"/>
              </w:rPr>
              <w:t>提高医疗服务水平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8BE07">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DC01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08847">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61EA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421D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8C138">
            <w:pPr>
              <w:jc w:val="center"/>
            </w:pPr>
            <w:r>
              <w:rPr>
                <w:rFonts w:ascii="宋体" w:hAnsi="宋体" w:eastAsia="宋体"/>
                <w:sz w:val="16"/>
              </w:rPr>
              <w:t>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4AA37">
            <w:pPr>
              <w:jc w:val="center"/>
            </w:pPr>
            <w:r>
              <w:rPr>
                <w:rFonts w:ascii="宋体" w:hAnsi="宋体" w:eastAsia="宋体"/>
                <w:sz w:val="16"/>
              </w:rPr>
              <w:tab/>
            </w: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144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5711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B8772">
            <w:pPr>
              <w:jc w:val="center"/>
            </w:pPr>
          </w:p>
        </w:tc>
      </w:tr>
      <w:tr w14:paraId="39C2BC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D70B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3596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C0A6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8CD20">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383F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0A4C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C283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A19E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E941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EE53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5A3A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AD39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1E69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BA85A">
            <w:pPr>
              <w:jc w:val="center"/>
            </w:pPr>
          </w:p>
        </w:tc>
      </w:tr>
      <w:tr w14:paraId="3B36B7D6">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00BBDC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979ADC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149EB6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C6C63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F7EE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1020A2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5DF482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11C119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963F2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CC707">
            <w:pPr>
              <w:jc w:val="center"/>
            </w:pPr>
            <w:r>
              <w:rPr>
                <w:rFonts w:ascii="宋体" w:hAnsi="宋体" w:eastAsia="宋体"/>
                <w:sz w:val="16"/>
              </w:rPr>
              <w:t>98.34分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CBD796D"/>
        </w:tc>
      </w:tr>
    </w:tbl>
    <w:p w14:paraId="3219CB84">
      <w:r>
        <w:br w:type="page"/>
      </w:r>
    </w:p>
    <w:tbl>
      <w:tblPr>
        <w:tblStyle w:val="9"/>
        <w:tblW w:w="0" w:type="auto"/>
        <w:tblInd w:w="0" w:type="dxa"/>
        <w:tblLayout w:type="autofit"/>
        <w:tblCellMar>
          <w:top w:w="0" w:type="dxa"/>
          <w:left w:w="108" w:type="dxa"/>
          <w:bottom w:w="0" w:type="dxa"/>
          <w:right w:w="108" w:type="dxa"/>
        </w:tblCellMar>
      </w:tblPr>
      <w:tblGrid>
        <w:gridCol w:w="611"/>
        <w:gridCol w:w="579"/>
        <w:gridCol w:w="580"/>
        <w:gridCol w:w="580"/>
        <w:gridCol w:w="776"/>
        <w:gridCol w:w="580"/>
        <w:gridCol w:w="629"/>
        <w:gridCol w:w="596"/>
        <w:gridCol w:w="580"/>
        <w:gridCol w:w="596"/>
        <w:gridCol w:w="1016"/>
        <w:gridCol w:w="696"/>
        <w:gridCol w:w="629"/>
        <w:gridCol w:w="612"/>
      </w:tblGrid>
      <w:tr w14:paraId="69408032">
        <w:tblPrEx>
          <w:tblCellMar>
            <w:top w:w="0" w:type="dxa"/>
            <w:left w:w="108" w:type="dxa"/>
            <w:bottom w:w="0" w:type="dxa"/>
            <w:right w:w="108" w:type="dxa"/>
          </w:tblCellMar>
        </w:tblPrEx>
        <w:tc>
          <w:tcPr>
            <w:tcW w:w="8848" w:type="dxa"/>
            <w:gridSpan w:val="14"/>
            <w:vAlign w:val="center"/>
          </w:tcPr>
          <w:p w14:paraId="7C7C4633">
            <w:pPr>
              <w:jc w:val="center"/>
            </w:pPr>
            <w:r>
              <w:rPr>
                <w:rFonts w:ascii="宋体" w:hAnsi="宋体" w:eastAsia="宋体"/>
                <w:sz w:val="24"/>
              </w:rPr>
              <w:t>项目支出绩效自评表</w:t>
            </w:r>
          </w:p>
        </w:tc>
      </w:tr>
      <w:tr w14:paraId="45A6292C">
        <w:tblPrEx>
          <w:tblCellMar>
            <w:top w:w="0" w:type="dxa"/>
            <w:left w:w="108" w:type="dxa"/>
            <w:bottom w:w="0" w:type="dxa"/>
            <w:right w:w="108" w:type="dxa"/>
          </w:tblCellMar>
        </w:tblPrEx>
        <w:tc>
          <w:tcPr>
            <w:tcW w:w="8848" w:type="dxa"/>
            <w:gridSpan w:val="14"/>
            <w:vAlign w:val="center"/>
          </w:tcPr>
          <w:p w14:paraId="2A145B3C">
            <w:pPr>
              <w:jc w:val="center"/>
            </w:pPr>
            <w:r>
              <w:rPr>
                <w:rFonts w:ascii="宋体" w:hAnsi="宋体" w:eastAsia="宋体"/>
                <w:sz w:val="24"/>
              </w:rPr>
              <w:t>(2024年度)</w:t>
            </w:r>
          </w:p>
        </w:tc>
      </w:tr>
      <w:tr w14:paraId="3297D68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E882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D2311C8">
            <w:pPr>
              <w:jc w:val="center"/>
            </w:pPr>
            <w:r>
              <w:rPr>
                <w:rFonts w:ascii="宋体" w:hAnsi="宋体" w:eastAsia="宋体"/>
                <w:sz w:val="16"/>
              </w:rPr>
              <w:t>2024年支出项目</w:t>
            </w:r>
            <w:r>
              <w:rPr>
                <w:rFonts w:hint="eastAsia" w:ascii="宋体" w:hAnsi="宋体"/>
                <w:sz w:val="16"/>
                <w:lang w:eastAsia="zh-CN"/>
              </w:rPr>
              <w:t>－</w:t>
            </w:r>
            <w:r>
              <w:rPr>
                <w:rFonts w:ascii="宋体" w:hAnsi="宋体" w:eastAsia="宋体"/>
                <w:sz w:val="16"/>
              </w:rPr>
              <w:t>托里县卫生健康委员会下属卫生院建设（改造、维修）项目</w:t>
            </w:r>
          </w:p>
        </w:tc>
      </w:tr>
      <w:tr w14:paraId="7927E28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9D70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99FF34">
            <w:pPr>
              <w:jc w:val="center"/>
            </w:pPr>
            <w:r>
              <w:rPr>
                <w:rFonts w:ascii="宋体" w:hAnsi="宋体" w:eastAsia="宋体"/>
                <w:sz w:val="16"/>
              </w:rPr>
              <w:t>托里县卫生健康委员会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7F08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BBD2F60">
            <w:pPr>
              <w:jc w:val="center"/>
            </w:pPr>
            <w:r>
              <w:rPr>
                <w:rFonts w:ascii="宋体" w:hAnsi="宋体" w:eastAsia="宋体"/>
                <w:sz w:val="16"/>
              </w:rPr>
              <w:t>托里县卫生健康委员会</w:t>
            </w:r>
          </w:p>
        </w:tc>
      </w:tr>
      <w:tr w14:paraId="44CD4F8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9EBBA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B2B82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3D336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E853D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CDEDF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E14C8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5336D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F2AB8">
            <w:pPr>
              <w:jc w:val="center"/>
            </w:pPr>
            <w:r>
              <w:rPr>
                <w:rFonts w:ascii="宋体" w:hAnsi="宋体" w:eastAsia="宋体"/>
                <w:sz w:val="16"/>
              </w:rPr>
              <w:t>得分</w:t>
            </w:r>
          </w:p>
        </w:tc>
      </w:tr>
      <w:tr w14:paraId="23C812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42A80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B62C4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5C1E66">
            <w:pPr>
              <w:jc w:val="center"/>
            </w:pPr>
            <w:r>
              <w:rPr>
                <w:rFonts w:ascii="宋体" w:hAnsi="宋体" w:eastAsia="宋体"/>
                <w:sz w:val="16"/>
              </w:rPr>
              <w:t>178.75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66DB6C">
            <w:pPr>
              <w:jc w:val="center"/>
            </w:pPr>
            <w:r>
              <w:rPr>
                <w:rFonts w:ascii="宋体" w:hAnsi="宋体" w:eastAsia="宋体"/>
                <w:sz w:val="16"/>
              </w:rPr>
              <w:t>281.98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717AC5">
            <w:pPr>
              <w:jc w:val="center"/>
            </w:pPr>
            <w:r>
              <w:rPr>
                <w:rFonts w:ascii="宋体" w:hAnsi="宋体" w:eastAsia="宋体"/>
                <w:sz w:val="16"/>
              </w:rPr>
              <w:t>45.81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0842C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210DBA">
            <w:pPr>
              <w:jc w:val="center"/>
            </w:pPr>
            <w:r>
              <w:rPr>
                <w:rFonts w:ascii="宋体" w:hAnsi="宋体" w:eastAsia="宋体"/>
                <w:sz w:val="16"/>
              </w:rPr>
              <w:t>16.25%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324A3">
            <w:pPr>
              <w:jc w:val="center"/>
            </w:pPr>
            <w:r>
              <w:rPr>
                <w:rFonts w:ascii="宋体" w:hAnsi="宋体" w:eastAsia="宋体"/>
                <w:sz w:val="16"/>
              </w:rPr>
              <w:t>1.62</w:t>
            </w:r>
          </w:p>
        </w:tc>
      </w:tr>
      <w:tr w14:paraId="37BD8E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3C80A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90A74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D51D91">
            <w:pPr>
              <w:jc w:val="center"/>
            </w:pPr>
            <w:r>
              <w:rPr>
                <w:rFonts w:ascii="宋体" w:hAnsi="宋体" w:eastAsia="宋体"/>
                <w:sz w:val="16"/>
              </w:rPr>
              <w:t>178.75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867272">
            <w:pPr>
              <w:jc w:val="center"/>
            </w:pPr>
            <w:r>
              <w:rPr>
                <w:rFonts w:ascii="宋体" w:hAnsi="宋体" w:eastAsia="宋体"/>
                <w:sz w:val="16"/>
              </w:rPr>
              <w:t>281.98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1EDA1F">
            <w:pPr>
              <w:jc w:val="center"/>
            </w:pPr>
            <w:r>
              <w:rPr>
                <w:rFonts w:ascii="宋体" w:hAnsi="宋体" w:eastAsia="宋体"/>
                <w:sz w:val="16"/>
              </w:rPr>
              <w:t>45.81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701AC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75236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3FA1B">
            <w:pPr>
              <w:jc w:val="center"/>
            </w:pPr>
            <w:r>
              <w:rPr>
                <w:rFonts w:ascii="宋体" w:hAnsi="宋体" w:eastAsia="宋体"/>
                <w:sz w:val="16"/>
              </w:rPr>
              <w:t>—</w:t>
            </w:r>
          </w:p>
        </w:tc>
      </w:tr>
      <w:tr w14:paraId="380931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23D3B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09565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54C1B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A2D90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35F8B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03220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24505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5701D">
            <w:pPr>
              <w:jc w:val="center"/>
            </w:pPr>
            <w:r>
              <w:rPr>
                <w:rFonts w:ascii="宋体" w:hAnsi="宋体" w:eastAsia="宋体"/>
                <w:sz w:val="16"/>
              </w:rPr>
              <w:t>—</w:t>
            </w:r>
          </w:p>
        </w:tc>
      </w:tr>
      <w:tr w14:paraId="0C9E904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DADDBB">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241DD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2D96162">
            <w:pPr>
              <w:jc w:val="center"/>
            </w:pPr>
            <w:r>
              <w:rPr>
                <w:rFonts w:ascii="宋体" w:hAnsi="宋体" w:eastAsia="宋体"/>
                <w:sz w:val="16"/>
              </w:rPr>
              <w:t>实际完成情况</w:t>
            </w:r>
          </w:p>
        </w:tc>
      </w:tr>
      <w:tr w14:paraId="3C9944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E348D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DE1389">
            <w:pPr>
              <w:jc w:val="both"/>
            </w:pPr>
            <w:r>
              <w:rPr>
                <w:rFonts w:ascii="宋体" w:hAnsi="宋体" w:eastAsia="宋体"/>
                <w:sz w:val="16"/>
              </w:rPr>
              <w:t>项目资金281.977706万元，用于6个项目债务，其中，托里县乡镇卫生院DR室和产房改造项目资金26.3492万元、2024年化债支出项目</w:t>
            </w:r>
            <w:r>
              <w:rPr>
                <w:rFonts w:hint="eastAsia" w:ascii="宋体" w:hAnsi="宋体"/>
                <w:sz w:val="16"/>
                <w:lang w:eastAsia="zh-CN"/>
              </w:rPr>
              <w:t>－</w:t>
            </w:r>
            <w:r>
              <w:rPr>
                <w:rFonts w:ascii="宋体" w:hAnsi="宋体" w:eastAsia="宋体"/>
                <w:sz w:val="16"/>
              </w:rPr>
              <w:t>托里县白杨河牧业卫生院改造项目资金11.1211万元，托里县乌雪特乡库木托别村、哈赞库木村卫生室、库甫乡叶斯道吾列提村卫生室新建项目资金55.093291万元，2024年化债支出项目</w:t>
            </w:r>
            <w:r>
              <w:rPr>
                <w:rFonts w:hint="eastAsia" w:ascii="宋体" w:hAnsi="宋体"/>
                <w:sz w:val="16"/>
                <w:lang w:eastAsia="zh-CN"/>
              </w:rPr>
              <w:t>－</w:t>
            </w:r>
            <w:r>
              <w:rPr>
                <w:rFonts w:ascii="宋体" w:hAnsi="宋体" w:eastAsia="宋体"/>
                <w:sz w:val="16"/>
              </w:rPr>
              <w:t>托里县库甫乡喀拉托别村、呼哈拉盖村、苏吾尔村卫生室建设项目资金25.9695425万元，2024年化债支出项目</w:t>
            </w:r>
            <w:r>
              <w:rPr>
                <w:rFonts w:hint="eastAsia" w:ascii="宋体" w:hAnsi="宋体"/>
                <w:sz w:val="16"/>
                <w:lang w:eastAsia="zh-CN"/>
              </w:rPr>
              <w:t>－</w:t>
            </w:r>
            <w:r>
              <w:rPr>
                <w:rFonts w:ascii="宋体" w:hAnsi="宋体" w:eastAsia="宋体"/>
                <w:sz w:val="16"/>
              </w:rPr>
              <w:t>托里县16个卫生室维修项目资金60.2197万元，地方专项，2024年化债支出项目</w:t>
            </w:r>
            <w:r>
              <w:rPr>
                <w:rFonts w:hint="eastAsia" w:ascii="宋体" w:hAnsi="宋体"/>
                <w:sz w:val="16"/>
                <w:lang w:eastAsia="zh-CN"/>
              </w:rPr>
              <w:t>－</w:t>
            </w:r>
            <w:r>
              <w:rPr>
                <w:rFonts w:ascii="宋体" w:hAnsi="宋体" w:eastAsia="宋体"/>
                <w:sz w:val="16"/>
              </w:rPr>
              <w:t>托里县哈萨克医医院门诊病房综合楼建设项目附属工程57.412万元。塔地财预</w:t>
            </w:r>
            <w:r>
              <w:rPr>
                <w:rFonts w:hint="eastAsia" w:ascii="宋体" w:hAnsi="宋体"/>
                <w:sz w:val="16"/>
                <w:lang w:eastAsia="zh-CN"/>
              </w:rPr>
              <w:t>〔2024〕36号－</w:t>
            </w:r>
            <w:r>
              <w:rPr>
                <w:rFonts w:ascii="宋体" w:hAnsi="宋体" w:eastAsia="宋体"/>
                <w:sz w:val="16"/>
              </w:rPr>
              <w:t>托里县卫生系统2015年乡镇卫生院公共租赁住房（铁厂沟卫生院）(置换债券)322062万元，塔地财预</w:t>
            </w:r>
            <w:r>
              <w:rPr>
                <w:rFonts w:hint="eastAsia" w:ascii="宋体" w:hAnsi="宋体"/>
                <w:sz w:val="16"/>
                <w:lang w:eastAsia="zh-CN"/>
              </w:rPr>
              <w:t>〔2024〕36号－</w:t>
            </w:r>
            <w:r>
              <w:rPr>
                <w:rFonts w:ascii="宋体" w:hAnsi="宋体" w:eastAsia="宋体"/>
                <w:sz w:val="16"/>
              </w:rPr>
              <w:t>托里县喀拉乔克牧业卫生院（定居点卫生室建设项目）(置换债券) 13.606672万元，通过项目的实施有效提升政府公信力，有效降低政府债务风险，债权人满意度达到95%.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F268968">
            <w:pPr>
              <w:jc w:val="both"/>
            </w:pPr>
            <w:r>
              <w:rPr>
                <w:rFonts w:ascii="宋体" w:hAnsi="宋体" w:eastAsia="宋体"/>
                <w:sz w:val="16"/>
              </w:rPr>
              <w:t>项目资金已支付45.8128万元，用于塔地财预</w:t>
            </w:r>
            <w:r>
              <w:rPr>
                <w:rFonts w:hint="eastAsia" w:ascii="宋体" w:hAnsi="宋体"/>
                <w:sz w:val="16"/>
                <w:lang w:eastAsia="zh-CN"/>
              </w:rPr>
              <w:t>〔2024〕36号－</w:t>
            </w:r>
            <w:r>
              <w:rPr>
                <w:rFonts w:ascii="宋体" w:hAnsi="宋体" w:eastAsia="宋体"/>
                <w:sz w:val="16"/>
              </w:rPr>
              <w:t>托里县卫生系统2015年乡镇卫生院公共租赁住房（铁厂沟卫生院）(置换债券)32.2062万元，塔地财预</w:t>
            </w:r>
            <w:r>
              <w:rPr>
                <w:rFonts w:hint="eastAsia" w:ascii="宋体" w:hAnsi="宋体"/>
                <w:sz w:val="16"/>
                <w:lang w:eastAsia="zh-CN"/>
              </w:rPr>
              <w:t>〔2024〕36号－</w:t>
            </w:r>
            <w:r>
              <w:rPr>
                <w:rFonts w:ascii="宋体" w:hAnsi="宋体" w:eastAsia="宋体"/>
                <w:sz w:val="16"/>
              </w:rPr>
              <w:t>托里县喀拉乔克牧业卫生院（定居点卫生室建设项目）(置换债券) 13.606672万元，通过项目的实施有效提升政府公信力，有效降低政府债务风险，债权人满意度达到95%。</w:t>
            </w:r>
          </w:p>
        </w:tc>
      </w:tr>
      <w:tr w14:paraId="4801BCE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46F40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F2C8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DCE3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2241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F540E">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9D53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DABA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35433">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D68BA">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C7C6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88388">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459E9">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94395">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1ED2F">
            <w:pPr>
              <w:jc w:val="center"/>
            </w:pPr>
            <w:r>
              <w:rPr>
                <w:rFonts w:ascii="宋体" w:hAnsi="宋体" w:eastAsia="宋体"/>
                <w:sz w:val="16"/>
              </w:rPr>
              <w:t>偏差原因分析及改进措施</w:t>
            </w:r>
          </w:p>
        </w:tc>
      </w:tr>
      <w:tr w14:paraId="2560154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437D0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53755F">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9F7B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23C51">
            <w:pPr>
              <w:jc w:val="center"/>
            </w:pPr>
            <w:r>
              <w:rPr>
                <w:rFonts w:ascii="宋体" w:hAnsi="宋体" w:eastAsia="宋体"/>
                <w:sz w:val="16"/>
              </w:rPr>
              <w:t>涉及项目数量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C2BC5">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3746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EC8EB">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F0C9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DFB3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5814F">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56876">
            <w:pPr>
              <w:jc w:val="center"/>
            </w:pPr>
            <w:r>
              <w:rPr>
                <w:rFonts w:ascii="宋体" w:hAnsi="宋体" w:eastAsia="宋体"/>
                <w:sz w:val="16"/>
              </w:rPr>
              <w:t>=7个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5F429">
            <w:pPr>
              <w:jc w:val="center"/>
            </w:pPr>
            <w:r>
              <w:rPr>
                <w:rFonts w:ascii="宋体" w:hAnsi="宋体" w:eastAsia="宋体"/>
                <w:sz w:val="16"/>
              </w:rPr>
              <w:t>140%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38D5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941A2">
            <w:pPr>
              <w:jc w:val="center"/>
            </w:pPr>
            <w:r>
              <w:rPr>
                <w:rFonts w:ascii="宋体" w:hAnsi="宋体" w:eastAsia="宋体"/>
                <w:sz w:val="16"/>
              </w:rPr>
              <w:t>原因：由于增加了两个化债项目，导致建设项目的数量增加。改进措施：尽量减少</w:t>
            </w:r>
            <w:bookmarkStart w:id="0" w:name="_GoBack"/>
            <w:r>
              <w:rPr>
                <w:rFonts w:ascii="宋体" w:hAnsi="宋体" w:eastAsia="宋体"/>
                <w:sz w:val="16"/>
              </w:rPr>
              <w:t>化债</w:t>
            </w:r>
            <w:bookmarkEnd w:id="0"/>
            <w:r>
              <w:rPr>
                <w:rFonts w:ascii="宋体" w:hAnsi="宋体" w:eastAsia="宋体"/>
                <w:sz w:val="16"/>
              </w:rPr>
              <w:t>项目。</w:t>
            </w:r>
          </w:p>
        </w:tc>
      </w:tr>
      <w:tr w14:paraId="37E8B5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6154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B1C4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0844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19A6D">
            <w:pPr>
              <w:jc w:val="center"/>
            </w:pPr>
            <w:r>
              <w:rPr>
                <w:rFonts w:ascii="宋体" w:hAnsi="宋体" w:eastAsia="宋体"/>
                <w:sz w:val="16"/>
              </w:rPr>
              <w:t>项目任务完成率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4669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C069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4ED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168D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C4E0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BFEE7">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20D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F7D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81FF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64A85">
            <w:pPr>
              <w:jc w:val="center"/>
            </w:pPr>
          </w:p>
        </w:tc>
      </w:tr>
      <w:tr w14:paraId="4AF96E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B89D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52577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2E7F7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02CFE">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ADF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127D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33B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F98F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42FF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6B165">
            <w:pPr>
              <w:jc w:val="center"/>
            </w:pPr>
            <w:r>
              <w:rPr>
                <w:rFonts w:ascii="宋体" w:hAnsi="宋体" w:eastAsia="宋体"/>
                <w:sz w:val="16"/>
              </w:rPr>
              <w:t>正式材料,说明材料,原始凭证,工作资料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DDE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053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71B3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69C76">
            <w:pPr>
              <w:jc w:val="center"/>
            </w:pPr>
          </w:p>
        </w:tc>
      </w:tr>
      <w:tr w14:paraId="4BC724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39B3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1062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1A9B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FB334">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E2006">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1C7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F174F">
            <w:pPr>
              <w:jc w:val="center"/>
            </w:pPr>
            <w:r>
              <w:rPr>
                <w:rFonts w:ascii="宋体" w:hAnsi="宋体" w:eastAsia="宋体"/>
                <w:sz w:val="16"/>
              </w:rPr>
              <w:t>2023年12月20日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99FD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2956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BF86D">
            <w:pPr>
              <w:jc w:val="center"/>
            </w:pPr>
            <w:r>
              <w:rPr>
                <w:rFonts w:ascii="宋体" w:hAnsi="宋体" w:eastAsia="宋体"/>
                <w:sz w:val="16"/>
              </w:rPr>
              <w:t>正式材料,工作资料,说明材料,原始凭证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370EF">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FE71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540B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FE356">
            <w:pPr>
              <w:jc w:val="center"/>
            </w:pPr>
          </w:p>
        </w:tc>
      </w:tr>
      <w:tr w14:paraId="022932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15DD2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755C3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D861D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30237">
            <w:pPr>
              <w:jc w:val="center"/>
            </w:pPr>
            <w:r>
              <w:rPr>
                <w:rFonts w:ascii="宋体" w:hAnsi="宋体" w:eastAsia="宋体"/>
                <w:sz w:val="16"/>
              </w:rPr>
              <w:t>项目建设费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7BF11">
            <w:pPr>
              <w:jc w:val="center"/>
            </w:pPr>
            <w:r>
              <w:rPr>
                <w:rFonts w:ascii="宋体" w:hAnsi="宋体" w:eastAsia="宋体"/>
                <w:sz w:val="16"/>
              </w:rPr>
              <w:t>&lt;=184.3万元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DE44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BE81A">
            <w:pPr>
              <w:jc w:val="center"/>
            </w:pPr>
            <w:r>
              <w:rPr>
                <w:rFonts w:ascii="宋体" w:hAnsi="宋体" w:eastAsia="宋体"/>
                <w:sz w:val="16"/>
              </w:rPr>
              <w:t>10.25万元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B2B7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3A05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17D8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94272">
            <w:pPr>
              <w:jc w:val="center"/>
            </w:pPr>
            <w:r>
              <w:rPr>
                <w:rFonts w:ascii="宋体" w:hAnsi="宋体" w:eastAsia="宋体"/>
                <w:sz w:val="16"/>
              </w:rPr>
              <w:t>=45.812873万元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6ACC8">
            <w:pPr>
              <w:jc w:val="center"/>
            </w:pPr>
            <w:r>
              <w:rPr>
                <w:rFonts w:ascii="宋体" w:hAnsi="宋体" w:eastAsia="宋体"/>
                <w:sz w:val="16"/>
              </w:rPr>
              <w:t>24.86%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A24C2">
            <w:pPr>
              <w:jc w:val="center"/>
            </w:pPr>
            <w:r>
              <w:rPr>
                <w:rFonts w:ascii="宋体" w:hAnsi="宋体" w:eastAsia="宋体"/>
                <w:sz w:val="16"/>
              </w:rPr>
              <w:t>1.99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F956F">
            <w:pPr>
              <w:jc w:val="center"/>
            </w:pPr>
            <w:r>
              <w:rPr>
                <w:rFonts w:ascii="宋体" w:hAnsi="宋体" w:eastAsia="宋体"/>
                <w:sz w:val="16"/>
              </w:rPr>
              <w:t>原因：施工单位暂未进行竣工结算，后续资金暂无法支付。改进措施：督促施工单位尽快进行竣工决算，按时支付。</w:t>
            </w:r>
          </w:p>
        </w:tc>
      </w:tr>
      <w:tr w14:paraId="01D86D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96AE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C090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54CB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E6109">
            <w:pPr>
              <w:jc w:val="center"/>
            </w:pPr>
            <w:r>
              <w:rPr>
                <w:rFonts w:ascii="宋体" w:hAnsi="宋体" w:eastAsia="宋体"/>
                <w:sz w:val="16"/>
              </w:rPr>
              <w:t>项目改造费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8D7C0">
            <w:pPr>
              <w:jc w:val="center"/>
            </w:pPr>
            <w:r>
              <w:rPr>
                <w:rFonts w:ascii="宋体" w:hAnsi="宋体" w:eastAsia="宋体"/>
                <w:sz w:val="16"/>
              </w:rPr>
              <w:t>&lt;=37.47万元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A71D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FBB06">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B3DA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765D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08FF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D6516">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7FCF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7067D">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1849B">
            <w:pPr>
              <w:jc w:val="center"/>
            </w:pPr>
            <w:r>
              <w:rPr>
                <w:rFonts w:ascii="宋体" w:hAnsi="宋体" w:eastAsia="宋体"/>
                <w:sz w:val="16"/>
              </w:rPr>
              <w:t>原因：施工单位暂未进行竣工结算，后续资金暂无法支付。改进措施：督促施工单位尽快进行竣工决算，按时支付。</w:t>
            </w:r>
          </w:p>
        </w:tc>
      </w:tr>
      <w:tr w14:paraId="5098E3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F863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ABC4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A1D5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7D3C0">
            <w:pPr>
              <w:jc w:val="center"/>
            </w:pPr>
            <w:r>
              <w:rPr>
                <w:rFonts w:ascii="宋体" w:hAnsi="宋体" w:eastAsia="宋体"/>
                <w:sz w:val="16"/>
              </w:rPr>
              <w:t>项目维修费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45EB0">
            <w:pPr>
              <w:jc w:val="center"/>
            </w:pPr>
            <w:r>
              <w:rPr>
                <w:rFonts w:ascii="宋体" w:hAnsi="宋体" w:eastAsia="宋体"/>
                <w:sz w:val="16"/>
              </w:rPr>
              <w:t>&lt;=60.21万元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BB7A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6319A">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5F6E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CF79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3A42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99A86">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C2DC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5240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524D5">
            <w:pPr>
              <w:jc w:val="center"/>
            </w:pPr>
            <w:r>
              <w:rPr>
                <w:rFonts w:ascii="宋体" w:hAnsi="宋体" w:eastAsia="宋体"/>
                <w:sz w:val="16"/>
              </w:rPr>
              <w:t>原因：施工单位暂未进行竣工结算，后续资金暂无法支付。改进措施：督促施工单位尽快进行竣工决算，按时支付。</w:t>
            </w:r>
          </w:p>
        </w:tc>
      </w:tr>
      <w:tr w14:paraId="2419EE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3652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E458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EBAA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2DB44">
            <w:pPr>
              <w:jc w:val="center"/>
            </w:pPr>
            <w:r>
              <w:rPr>
                <w:rFonts w:ascii="宋体" w:hAnsi="宋体" w:eastAsia="宋体"/>
                <w:sz w:val="16"/>
              </w:rPr>
              <w:t>提升政府公信力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6A534">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5535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D4EA4">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D419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F5A6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943CD">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B4060">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8D98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44CD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02914">
            <w:pPr>
              <w:jc w:val="center"/>
            </w:pPr>
          </w:p>
        </w:tc>
      </w:tr>
      <w:tr w14:paraId="7FDFE5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8328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3846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E7E8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2CACB">
            <w:pPr>
              <w:jc w:val="center"/>
            </w:pPr>
            <w:r>
              <w:rPr>
                <w:rFonts w:ascii="宋体" w:hAnsi="宋体" w:eastAsia="宋体"/>
                <w:sz w:val="16"/>
              </w:rPr>
              <w:t>债权人满意度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8804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7F0E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5914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5CBF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7519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FFFC0">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FBFB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A5AF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AD53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F41B1">
            <w:pPr>
              <w:jc w:val="center"/>
            </w:pPr>
          </w:p>
        </w:tc>
      </w:tr>
      <w:tr w14:paraId="26ADACBC">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9BDCB8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880CDE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66E324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7F1D3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ABD1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204915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FBDAAF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F602DD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0C2B0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AD4DD">
            <w:pPr>
              <w:jc w:val="center"/>
            </w:pPr>
            <w:r>
              <w:rPr>
                <w:rFonts w:ascii="宋体" w:hAnsi="宋体" w:eastAsia="宋体"/>
                <w:sz w:val="16"/>
              </w:rPr>
              <w:t>73.62分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D415C0E"/>
        </w:tc>
      </w:tr>
    </w:tbl>
    <w:p w14:paraId="26721EE9">
      <w:r>
        <w:br w:type="page"/>
      </w:r>
    </w:p>
    <w:tbl>
      <w:tblPr>
        <w:tblStyle w:val="9"/>
        <w:tblW w:w="0" w:type="auto"/>
        <w:tblInd w:w="0" w:type="dxa"/>
        <w:tblLayout w:type="autofit"/>
        <w:tblCellMar>
          <w:top w:w="0" w:type="dxa"/>
          <w:left w:w="108" w:type="dxa"/>
          <w:bottom w:w="0" w:type="dxa"/>
          <w:right w:w="108" w:type="dxa"/>
        </w:tblCellMar>
      </w:tblPr>
      <w:tblGrid>
        <w:gridCol w:w="614"/>
        <w:gridCol w:w="585"/>
        <w:gridCol w:w="585"/>
        <w:gridCol w:w="586"/>
        <w:gridCol w:w="856"/>
        <w:gridCol w:w="586"/>
        <w:gridCol w:w="586"/>
        <w:gridCol w:w="600"/>
        <w:gridCol w:w="586"/>
        <w:gridCol w:w="586"/>
        <w:gridCol w:w="936"/>
        <w:gridCol w:w="696"/>
        <w:gridCol w:w="629"/>
        <w:gridCol w:w="629"/>
      </w:tblGrid>
      <w:tr w14:paraId="013E5247">
        <w:tblPrEx>
          <w:tblCellMar>
            <w:top w:w="0" w:type="dxa"/>
            <w:left w:w="108" w:type="dxa"/>
            <w:bottom w:w="0" w:type="dxa"/>
            <w:right w:w="108" w:type="dxa"/>
          </w:tblCellMar>
        </w:tblPrEx>
        <w:tc>
          <w:tcPr>
            <w:tcW w:w="8848" w:type="dxa"/>
            <w:gridSpan w:val="14"/>
            <w:vAlign w:val="center"/>
          </w:tcPr>
          <w:p w14:paraId="7CD1D5F6">
            <w:pPr>
              <w:jc w:val="center"/>
            </w:pPr>
            <w:r>
              <w:rPr>
                <w:rFonts w:ascii="宋体" w:hAnsi="宋体" w:eastAsia="宋体"/>
                <w:sz w:val="24"/>
              </w:rPr>
              <w:t>项目支出绩效自评表</w:t>
            </w:r>
          </w:p>
        </w:tc>
      </w:tr>
      <w:tr w14:paraId="6CE4664B">
        <w:tblPrEx>
          <w:tblCellMar>
            <w:top w:w="0" w:type="dxa"/>
            <w:left w:w="108" w:type="dxa"/>
            <w:bottom w:w="0" w:type="dxa"/>
            <w:right w:w="108" w:type="dxa"/>
          </w:tblCellMar>
        </w:tblPrEx>
        <w:tc>
          <w:tcPr>
            <w:tcW w:w="8848" w:type="dxa"/>
            <w:gridSpan w:val="14"/>
            <w:vAlign w:val="center"/>
          </w:tcPr>
          <w:p w14:paraId="271ED1AB">
            <w:pPr>
              <w:jc w:val="center"/>
            </w:pPr>
            <w:r>
              <w:rPr>
                <w:rFonts w:ascii="宋体" w:hAnsi="宋体" w:eastAsia="宋体"/>
                <w:sz w:val="24"/>
              </w:rPr>
              <w:t>(2024年度)</w:t>
            </w:r>
          </w:p>
        </w:tc>
      </w:tr>
      <w:tr w14:paraId="7F36D93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6F25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31B0B78">
            <w:pPr>
              <w:jc w:val="center"/>
            </w:pPr>
            <w:r>
              <w:rPr>
                <w:rFonts w:ascii="宋体" w:hAnsi="宋体" w:eastAsia="宋体"/>
                <w:sz w:val="16"/>
              </w:rPr>
              <w:t>代管户单位资金，中石油援建托里镇卫生院建设项目</w:t>
            </w:r>
          </w:p>
        </w:tc>
      </w:tr>
      <w:tr w14:paraId="1EEAD7D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CDB3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6DCEB38">
            <w:pPr>
              <w:jc w:val="center"/>
            </w:pPr>
            <w:r>
              <w:rPr>
                <w:rFonts w:ascii="宋体" w:hAnsi="宋体" w:eastAsia="宋体"/>
                <w:sz w:val="16"/>
              </w:rPr>
              <w:t>托里县卫生健康委员会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3395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6D0B9F0">
            <w:pPr>
              <w:jc w:val="center"/>
            </w:pPr>
            <w:r>
              <w:rPr>
                <w:rFonts w:ascii="宋体" w:hAnsi="宋体" w:eastAsia="宋体"/>
                <w:sz w:val="16"/>
              </w:rPr>
              <w:t>托里县卫生健康委员会</w:t>
            </w:r>
          </w:p>
        </w:tc>
      </w:tr>
      <w:tr w14:paraId="05CF446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C8561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89975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C71E6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9D872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E35D6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52096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0DE65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7E9CB">
            <w:pPr>
              <w:jc w:val="center"/>
            </w:pPr>
            <w:r>
              <w:rPr>
                <w:rFonts w:ascii="宋体" w:hAnsi="宋体" w:eastAsia="宋体"/>
                <w:sz w:val="16"/>
              </w:rPr>
              <w:t>得分</w:t>
            </w:r>
          </w:p>
        </w:tc>
      </w:tr>
      <w:tr w14:paraId="15EF79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9FA3D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CDCCD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C3440B">
            <w:pPr>
              <w:jc w:val="center"/>
            </w:pPr>
            <w:r>
              <w:rPr>
                <w:rFonts w:ascii="宋体" w:hAnsi="宋体" w:eastAsia="宋体"/>
                <w:sz w:val="16"/>
              </w:rPr>
              <w:t>250.00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BE16F0">
            <w:pPr>
              <w:jc w:val="center"/>
            </w:pPr>
            <w:r>
              <w:rPr>
                <w:rFonts w:ascii="宋体" w:hAnsi="宋体" w:eastAsia="宋体"/>
                <w:sz w:val="16"/>
              </w:rPr>
              <w:t>250.00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7429E0">
            <w:pPr>
              <w:jc w:val="center"/>
            </w:pPr>
            <w:r>
              <w:rPr>
                <w:rFonts w:ascii="宋体" w:hAnsi="宋体" w:eastAsia="宋体"/>
                <w:sz w:val="16"/>
              </w:rPr>
              <w:t>249.89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4BBA0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1715DF">
            <w:pPr>
              <w:jc w:val="center"/>
            </w:pPr>
            <w:r>
              <w:rPr>
                <w:rFonts w:ascii="宋体" w:hAnsi="宋体" w:eastAsia="宋体"/>
                <w:sz w:val="16"/>
              </w:rPr>
              <w:t>99.96%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97966">
            <w:pPr>
              <w:jc w:val="center"/>
            </w:pPr>
            <w:r>
              <w:rPr>
                <w:rFonts w:ascii="宋体" w:hAnsi="宋体" w:eastAsia="宋体"/>
                <w:sz w:val="16"/>
              </w:rPr>
              <w:t>10.00</w:t>
            </w:r>
          </w:p>
        </w:tc>
      </w:tr>
      <w:tr w14:paraId="41B79C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9B073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2045A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E72ACC">
            <w:pPr>
              <w:jc w:val="center"/>
            </w:pPr>
            <w:r>
              <w:rPr>
                <w:rFonts w:ascii="宋体" w:hAnsi="宋体" w:eastAsia="宋体"/>
                <w:sz w:val="16"/>
              </w:rPr>
              <w:t>250.00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04919D">
            <w:pPr>
              <w:jc w:val="center"/>
            </w:pPr>
            <w:r>
              <w:rPr>
                <w:rFonts w:ascii="宋体" w:hAnsi="宋体" w:eastAsia="宋体"/>
                <w:sz w:val="16"/>
              </w:rPr>
              <w:t>250.00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3596F6">
            <w:pPr>
              <w:jc w:val="center"/>
            </w:pPr>
            <w:r>
              <w:rPr>
                <w:rFonts w:ascii="宋体" w:hAnsi="宋体" w:eastAsia="宋体"/>
                <w:sz w:val="16"/>
              </w:rPr>
              <w:t>249.89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FBB43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0F3AD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A3E9F">
            <w:pPr>
              <w:jc w:val="center"/>
            </w:pPr>
            <w:r>
              <w:rPr>
                <w:rFonts w:ascii="宋体" w:hAnsi="宋体" w:eastAsia="宋体"/>
                <w:sz w:val="16"/>
              </w:rPr>
              <w:t>—</w:t>
            </w:r>
          </w:p>
        </w:tc>
      </w:tr>
      <w:tr w14:paraId="73F471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9CD5E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02E58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7FE29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863BD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77BDB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11964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CC7E6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466B5">
            <w:pPr>
              <w:jc w:val="center"/>
            </w:pPr>
            <w:r>
              <w:rPr>
                <w:rFonts w:ascii="宋体" w:hAnsi="宋体" w:eastAsia="宋体"/>
                <w:sz w:val="16"/>
              </w:rPr>
              <w:t>—</w:t>
            </w:r>
          </w:p>
        </w:tc>
      </w:tr>
      <w:tr w14:paraId="1133D3B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3BE687">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253E3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337E6BC">
            <w:pPr>
              <w:jc w:val="center"/>
            </w:pPr>
            <w:r>
              <w:rPr>
                <w:rFonts w:ascii="宋体" w:hAnsi="宋体" w:eastAsia="宋体"/>
                <w:sz w:val="16"/>
              </w:rPr>
              <w:t>实际完成情况</w:t>
            </w:r>
          </w:p>
        </w:tc>
      </w:tr>
      <w:tr w14:paraId="684C9C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08BE9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CF10F8">
            <w:pPr>
              <w:jc w:val="both"/>
            </w:pPr>
            <w:r>
              <w:rPr>
                <w:rFonts w:ascii="宋体" w:hAnsi="宋体" w:eastAsia="宋体"/>
                <w:sz w:val="16"/>
              </w:rPr>
              <w:t>代管户单位资金，中石油援建托里镇卫生院建设项目总资金1000万元，</w:t>
            </w:r>
            <w:r>
              <w:rPr>
                <w:rFonts w:hint="eastAsia" w:ascii="宋体" w:hAnsi="宋体"/>
                <w:sz w:val="16"/>
                <w:lang w:eastAsia="zh-CN"/>
              </w:rPr>
              <w:t>截至</w:t>
            </w:r>
            <w:r>
              <w:rPr>
                <w:rFonts w:ascii="宋体" w:hAnsi="宋体" w:eastAsia="宋体"/>
                <w:sz w:val="16"/>
              </w:rPr>
              <w:t>2023年12月11日，已经支付750万元，2024年计划支出250万元，项目按照计划正常实行，该项目提高乡镇医疗服务能力，受益群众满意度95%。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2C57125">
            <w:pPr>
              <w:jc w:val="both"/>
            </w:pPr>
            <w:r>
              <w:rPr>
                <w:rFonts w:ascii="宋体" w:hAnsi="宋体" w:eastAsia="宋体"/>
                <w:sz w:val="16"/>
              </w:rPr>
              <w:t>代管户单位资金，中石油援建托里镇卫生院建设项目总资金1000万元，</w:t>
            </w:r>
            <w:r>
              <w:rPr>
                <w:rFonts w:hint="eastAsia" w:ascii="宋体" w:hAnsi="宋体"/>
                <w:sz w:val="16"/>
                <w:lang w:eastAsia="zh-CN"/>
              </w:rPr>
              <w:t>截至</w:t>
            </w:r>
            <w:r>
              <w:rPr>
                <w:rFonts w:ascii="宋体" w:hAnsi="宋体" w:eastAsia="宋体"/>
                <w:sz w:val="16"/>
              </w:rPr>
              <w:t>2024年12月31日，已经支付249.8858，卫生院建设数量：1个；建设面积：2850平方米；用于建设托里镇卫生院230.9258万元，托里镇卫生院建设项目前期费用18.96万元，该项目提高乡镇医疗服务能力，受益群众满意度95%。</w:t>
            </w:r>
          </w:p>
        </w:tc>
      </w:tr>
      <w:tr w14:paraId="6B1354E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DAB86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8474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1DAD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C3A8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E23E9">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623A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C9EC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B55A2">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D7CE6">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B59B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6C217">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CE587">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001ED">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709C4">
            <w:pPr>
              <w:jc w:val="center"/>
            </w:pPr>
            <w:r>
              <w:rPr>
                <w:rFonts w:ascii="宋体" w:hAnsi="宋体" w:eastAsia="宋体"/>
                <w:sz w:val="16"/>
              </w:rPr>
              <w:t>偏差原因分析及改进措施</w:t>
            </w:r>
          </w:p>
        </w:tc>
      </w:tr>
      <w:tr w14:paraId="7EC2789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E2279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FD831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77882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0B944">
            <w:pPr>
              <w:jc w:val="center"/>
            </w:pPr>
            <w:r>
              <w:rPr>
                <w:rFonts w:ascii="宋体" w:hAnsi="宋体" w:eastAsia="宋体"/>
                <w:sz w:val="16"/>
              </w:rPr>
              <w:t>卫生院建设数量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8F6F3">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7045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D6DB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A8F9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1455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0F21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C2995">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310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5586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FAA2B">
            <w:pPr>
              <w:jc w:val="center"/>
            </w:pPr>
          </w:p>
        </w:tc>
      </w:tr>
      <w:tr w14:paraId="524A51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D87B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BA76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2EFF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BE492">
            <w:pPr>
              <w:jc w:val="center"/>
            </w:pPr>
            <w:r>
              <w:rPr>
                <w:rFonts w:ascii="宋体" w:hAnsi="宋体" w:eastAsia="宋体"/>
                <w:sz w:val="16"/>
              </w:rPr>
              <w:t>建设面积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980F6">
            <w:pPr>
              <w:jc w:val="center"/>
            </w:pPr>
            <w:r>
              <w:rPr>
                <w:rFonts w:ascii="宋体" w:hAnsi="宋体" w:eastAsia="宋体"/>
                <w:sz w:val="16"/>
              </w:rPr>
              <w:t>&lt;=2850平方米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DADF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0636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37D5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E48A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816D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73549">
            <w:pPr>
              <w:jc w:val="center"/>
            </w:pPr>
            <w:r>
              <w:rPr>
                <w:rFonts w:ascii="宋体" w:hAnsi="宋体" w:eastAsia="宋体"/>
                <w:sz w:val="16"/>
              </w:rPr>
              <w:t>=2850平方米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762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049B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505A4">
            <w:pPr>
              <w:jc w:val="center"/>
            </w:pPr>
          </w:p>
        </w:tc>
      </w:tr>
      <w:tr w14:paraId="7E0F44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D30D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B434F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67D06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94CF0">
            <w:pPr>
              <w:jc w:val="center"/>
            </w:pPr>
            <w:r>
              <w:rPr>
                <w:rFonts w:ascii="宋体" w:hAnsi="宋体" w:eastAsia="宋体"/>
                <w:sz w:val="16"/>
              </w:rPr>
              <w:t>资金使用合格率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9A98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5644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2841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0DC7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D9ED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8B70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6A5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226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122C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01330">
            <w:pPr>
              <w:jc w:val="center"/>
            </w:pPr>
          </w:p>
        </w:tc>
      </w:tr>
      <w:tr w14:paraId="0C516F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A11B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A6A4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768F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544FB">
            <w:pPr>
              <w:jc w:val="center"/>
            </w:pPr>
            <w:r>
              <w:rPr>
                <w:rFonts w:ascii="宋体" w:hAnsi="宋体" w:eastAsia="宋体"/>
                <w:sz w:val="16"/>
              </w:rPr>
              <w:t>资金到位率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140E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EE5D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BE926">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E979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9C33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7CE4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B4B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D7C6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A008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D45FE">
            <w:pPr>
              <w:jc w:val="center"/>
            </w:pPr>
          </w:p>
        </w:tc>
      </w:tr>
      <w:tr w14:paraId="5B29C8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75C7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32248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223A4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6DB16">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E0D55">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4D26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EE20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1230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44B1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61DC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AAE10">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090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D68A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49012">
            <w:pPr>
              <w:jc w:val="center"/>
            </w:pPr>
          </w:p>
        </w:tc>
      </w:tr>
      <w:tr w14:paraId="5479B2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E807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7410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28A1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FC885">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905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4A09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7140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3931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FBF4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9B3F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1229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967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4C33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8A4A6">
            <w:pPr>
              <w:jc w:val="center"/>
            </w:pPr>
          </w:p>
        </w:tc>
      </w:tr>
      <w:tr w14:paraId="63B6C8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6D966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8410C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BE009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ED3C9">
            <w:pPr>
              <w:jc w:val="center"/>
            </w:pPr>
            <w:r>
              <w:rPr>
                <w:rFonts w:ascii="宋体" w:hAnsi="宋体" w:eastAsia="宋体"/>
                <w:sz w:val="16"/>
              </w:rPr>
              <w:t>托里镇卫生院建设成本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B0C7D">
            <w:pPr>
              <w:jc w:val="center"/>
            </w:pPr>
            <w:r>
              <w:rPr>
                <w:rFonts w:ascii="宋体" w:hAnsi="宋体" w:eastAsia="宋体"/>
                <w:sz w:val="16"/>
              </w:rPr>
              <w:t>&lt;=231.04万元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60C6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EAD2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8CFE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DF6C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E8D0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28B05">
            <w:pPr>
              <w:jc w:val="center"/>
            </w:pPr>
            <w:r>
              <w:rPr>
                <w:rFonts w:ascii="宋体" w:hAnsi="宋体" w:eastAsia="宋体"/>
                <w:sz w:val="16"/>
              </w:rPr>
              <w:t>=230.9258万元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6B97E">
            <w:pPr>
              <w:jc w:val="center"/>
            </w:pPr>
            <w:r>
              <w:rPr>
                <w:rFonts w:ascii="宋体" w:hAnsi="宋体" w:eastAsia="宋体"/>
                <w:sz w:val="16"/>
              </w:rPr>
              <w:t>99.95%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3D8E5">
            <w:pPr>
              <w:jc w:val="center"/>
            </w:pPr>
            <w:r>
              <w:rPr>
                <w:rFonts w:ascii="宋体" w:hAnsi="宋体" w:eastAsia="宋体"/>
                <w:sz w:val="16"/>
              </w:rPr>
              <w:t>9.99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941C7">
            <w:pPr>
              <w:jc w:val="center"/>
            </w:pPr>
            <w:r>
              <w:rPr>
                <w:rFonts w:ascii="宋体" w:hAnsi="宋体" w:eastAsia="宋体"/>
                <w:sz w:val="16"/>
              </w:rPr>
              <w:t>原因：施工单位暂未进行竣工结算，后续资金暂时无法支付。改进措施：督促施工单位尽快进行竣工结算，按时支付。</w:t>
            </w:r>
          </w:p>
        </w:tc>
      </w:tr>
      <w:tr w14:paraId="3E23F5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200D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E8AB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BF29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AA465">
            <w:pPr>
              <w:jc w:val="center"/>
            </w:pPr>
            <w:r>
              <w:rPr>
                <w:rFonts w:ascii="宋体" w:hAnsi="宋体" w:eastAsia="宋体"/>
                <w:sz w:val="16"/>
              </w:rPr>
              <w:t>托里镇卫生院建设项目前期费用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2EF27">
            <w:pPr>
              <w:jc w:val="center"/>
            </w:pPr>
            <w:r>
              <w:rPr>
                <w:rFonts w:ascii="宋体" w:hAnsi="宋体" w:eastAsia="宋体"/>
                <w:sz w:val="16"/>
              </w:rPr>
              <w:t>&lt;=18.96万元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396F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3523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9E6D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562F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2954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8B894">
            <w:pPr>
              <w:jc w:val="center"/>
            </w:pPr>
            <w:r>
              <w:rPr>
                <w:rFonts w:ascii="宋体" w:hAnsi="宋体" w:eastAsia="宋体"/>
                <w:sz w:val="16"/>
              </w:rPr>
              <w:t>=18.96万元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99F2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E42F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F9DF5">
            <w:pPr>
              <w:jc w:val="center"/>
            </w:pPr>
          </w:p>
        </w:tc>
      </w:tr>
      <w:tr w14:paraId="1B353F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E2A67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0A7C66">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E69BF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77C73">
            <w:pPr>
              <w:jc w:val="center"/>
            </w:pPr>
            <w:r>
              <w:rPr>
                <w:rFonts w:ascii="宋体" w:hAnsi="宋体" w:eastAsia="宋体"/>
                <w:sz w:val="16"/>
              </w:rPr>
              <w:t>提高乡镇医疗服务能力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8E156">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773B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4183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F068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00B4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9544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DED1A">
            <w:pPr>
              <w:jc w:val="center"/>
            </w:pPr>
            <w:r>
              <w:rPr>
                <w:rFonts w:ascii="宋体" w:hAnsi="宋体" w:eastAsia="宋体"/>
                <w:sz w:val="16"/>
              </w:rPr>
              <w:tab/>
            </w: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DF43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396D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DA1D5">
            <w:pPr>
              <w:jc w:val="center"/>
            </w:pPr>
          </w:p>
        </w:tc>
      </w:tr>
      <w:tr w14:paraId="59FF4E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302C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EA3A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F4F2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D2832">
            <w:pPr>
              <w:jc w:val="center"/>
            </w:pPr>
            <w:r>
              <w:rPr>
                <w:rFonts w:ascii="宋体" w:hAnsi="宋体" w:eastAsia="宋体"/>
                <w:sz w:val="16"/>
              </w:rPr>
              <w:t>受益乡镇数量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591F7">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B2C2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4D338">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BC6B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9BB7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9894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FF789">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D35A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9F5C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F8433">
            <w:pPr>
              <w:jc w:val="center"/>
            </w:pPr>
          </w:p>
        </w:tc>
      </w:tr>
      <w:tr w14:paraId="32E7B2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A5E7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4E6D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0A06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ECF3F">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626D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AB2B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FCDA6">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BB6F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1391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585CC">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58B65">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3A1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50C7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71072">
            <w:pPr>
              <w:jc w:val="center"/>
            </w:pPr>
          </w:p>
        </w:tc>
      </w:tr>
      <w:tr w14:paraId="3AFD209B">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7763CB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1FE428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884F36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77BE8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933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F144FF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3BE221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F962FE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86803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FF7C0">
            <w:pPr>
              <w:jc w:val="center"/>
            </w:pPr>
            <w:r>
              <w:rPr>
                <w:rFonts w:ascii="宋体" w:hAnsi="宋体" w:eastAsia="宋体"/>
                <w:sz w:val="16"/>
              </w:rPr>
              <w:t>99.99分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3CEBDDF"/>
        </w:tc>
      </w:tr>
    </w:tbl>
    <w:p w14:paraId="445DD7B8">
      <w:r>
        <w:br w:type="page"/>
      </w:r>
    </w:p>
    <w:p w14:paraId="0D07558C">
      <w:pPr>
        <w:spacing w:line="640" w:lineRule="exact"/>
        <w:ind w:firstLine="640"/>
        <w:jc w:val="both"/>
        <w:outlineLvl w:val="2"/>
      </w:pPr>
      <w:r>
        <w:rPr>
          <w:rFonts w:ascii="黑体" w:hAnsi="黑体" w:eastAsia="黑体"/>
          <w:sz w:val="32"/>
        </w:rPr>
        <w:t>十二、其他需说明的事项</w:t>
      </w:r>
    </w:p>
    <w:p w14:paraId="1AC98B03">
      <w:pPr>
        <w:spacing w:line="580" w:lineRule="exact"/>
        <w:ind w:firstLine="640"/>
        <w:jc w:val="both"/>
      </w:pPr>
      <w:r>
        <w:rPr>
          <w:rFonts w:ascii="仿宋_GB2312" w:hAnsi="仿宋_GB2312" w:eastAsia="仿宋_GB2312"/>
          <w:b w:val="0"/>
          <w:sz w:val="32"/>
        </w:rPr>
        <w:t>本单位无其他需说明的事项。</w:t>
      </w:r>
    </w:p>
    <w:p w14:paraId="5E516F7B">
      <w:r>
        <w:br w:type="page"/>
      </w:r>
    </w:p>
    <w:p w14:paraId="430B3CA3">
      <w:pPr>
        <w:spacing w:line="240" w:lineRule="auto"/>
        <w:jc w:val="center"/>
        <w:outlineLvl w:val="1"/>
      </w:pPr>
      <w:r>
        <w:rPr>
          <w:rFonts w:ascii="黑体" w:hAnsi="黑体" w:eastAsia="黑体"/>
          <w:sz w:val="32"/>
        </w:rPr>
        <w:t>第三部分 专业名词解释</w:t>
      </w:r>
    </w:p>
    <w:p w14:paraId="73E168DB">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2E72C9EB">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6F28705">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0471C828">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1198033">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44CE4BDF">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AE21D43">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26895D9">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B46A053">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1EBEEA7E">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9D4A044">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5E05639A">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4D096BDF">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6780ECD">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B412F13">
      <w:r>
        <w:br w:type="page"/>
      </w:r>
    </w:p>
    <w:p w14:paraId="39D742B5">
      <w:pPr>
        <w:spacing w:line="240" w:lineRule="auto"/>
        <w:jc w:val="center"/>
        <w:outlineLvl w:val="1"/>
      </w:pPr>
      <w:r>
        <w:rPr>
          <w:rFonts w:ascii="黑体" w:hAnsi="黑体" w:eastAsia="黑体"/>
          <w:sz w:val="32"/>
        </w:rPr>
        <w:t>第四部分 部门决算报表（见附表）</w:t>
      </w:r>
    </w:p>
    <w:p w14:paraId="2757DAA8">
      <w:pPr>
        <w:spacing w:line="240" w:lineRule="auto"/>
        <w:ind w:firstLine="640"/>
        <w:jc w:val="both"/>
      </w:pPr>
      <w:r>
        <w:rPr>
          <w:rFonts w:ascii="仿宋_GB2312" w:hAnsi="仿宋_GB2312" w:eastAsia="仿宋_GB2312"/>
          <w:b w:val="0"/>
          <w:sz w:val="32"/>
        </w:rPr>
        <w:t>一、《收入支出决算总表》</w:t>
      </w:r>
    </w:p>
    <w:p w14:paraId="1F9247C0">
      <w:pPr>
        <w:spacing w:line="240" w:lineRule="auto"/>
        <w:ind w:firstLine="640"/>
        <w:jc w:val="both"/>
      </w:pPr>
      <w:r>
        <w:rPr>
          <w:rFonts w:ascii="仿宋_GB2312" w:hAnsi="仿宋_GB2312" w:eastAsia="仿宋_GB2312"/>
          <w:b w:val="0"/>
          <w:sz w:val="32"/>
        </w:rPr>
        <w:t>二、《收入决算表》</w:t>
      </w:r>
    </w:p>
    <w:p w14:paraId="2B2C6190">
      <w:pPr>
        <w:spacing w:line="240" w:lineRule="auto"/>
        <w:ind w:firstLine="640"/>
        <w:jc w:val="both"/>
      </w:pPr>
      <w:r>
        <w:rPr>
          <w:rFonts w:ascii="仿宋_GB2312" w:hAnsi="仿宋_GB2312" w:eastAsia="仿宋_GB2312"/>
          <w:b w:val="0"/>
          <w:sz w:val="32"/>
        </w:rPr>
        <w:t>三、《支出决算表》</w:t>
      </w:r>
    </w:p>
    <w:p w14:paraId="0769B0C9">
      <w:pPr>
        <w:spacing w:line="240" w:lineRule="auto"/>
        <w:ind w:firstLine="640"/>
        <w:jc w:val="both"/>
      </w:pPr>
      <w:r>
        <w:rPr>
          <w:rFonts w:ascii="仿宋_GB2312" w:hAnsi="仿宋_GB2312" w:eastAsia="仿宋_GB2312"/>
          <w:b w:val="0"/>
          <w:sz w:val="32"/>
        </w:rPr>
        <w:t>四、《财政拨款收入支出决算总表》</w:t>
      </w:r>
    </w:p>
    <w:p w14:paraId="0583830F">
      <w:pPr>
        <w:spacing w:line="240" w:lineRule="auto"/>
        <w:ind w:firstLine="640"/>
        <w:jc w:val="both"/>
      </w:pPr>
      <w:r>
        <w:rPr>
          <w:rFonts w:ascii="仿宋_GB2312" w:hAnsi="仿宋_GB2312" w:eastAsia="仿宋_GB2312"/>
          <w:b w:val="0"/>
          <w:sz w:val="32"/>
        </w:rPr>
        <w:t>五、《一般公共预算财政拨款支出决算表》</w:t>
      </w:r>
    </w:p>
    <w:p w14:paraId="46E76B61">
      <w:pPr>
        <w:spacing w:line="240" w:lineRule="auto"/>
        <w:ind w:firstLine="640"/>
        <w:jc w:val="both"/>
      </w:pPr>
      <w:r>
        <w:rPr>
          <w:rFonts w:ascii="仿宋_GB2312" w:hAnsi="仿宋_GB2312" w:eastAsia="仿宋_GB2312"/>
          <w:b w:val="0"/>
          <w:sz w:val="32"/>
        </w:rPr>
        <w:t>六、《一般公共预算财政拨款基本支出决算表》</w:t>
      </w:r>
    </w:p>
    <w:p w14:paraId="5ED1204D">
      <w:pPr>
        <w:spacing w:line="240" w:lineRule="auto"/>
        <w:ind w:firstLine="640"/>
        <w:jc w:val="both"/>
      </w:pPr>
      <w:r>
        <w:rPr>
          <w:rFonts w:ascii="仿宋_GB2312" w:hAnsi="仿宋_GB2312" w:eastAsia="仿宋_GB2312"/>
          <w:b w:val="0"/>
          <w:sz w:val="32"/>
        </w:rPr>
        <w:t>七、《政府性基金预算财政拨款收入支出决算表》</w:t>
      </w:r>
    </w:p>
    <w:p w14:paraId="5324F415">
      <w:pPr>
        <w:spacing w:line="240" w:lineRule="auto"/>
        <w:ind w:firstLine="640"/>
        <w:jc w:val="both"/>
      </w:pPr>
      <w:r>
        <w:rPr>
          <w:rFonts w:ascii="仿宋_GB2312" w:hAnsi="仿宋_GB2312" w:eastAsia="仿宋_GB2312"/>
          <w:b w:val="0"/>
          <w:sz w:val="32"/>
        </w:rPr>
        <w:t>八、《国有资本经营预算财政拨款收入支出决算表》</w:t>
      </w:r>
    </w:p>
    <w:p w14:paraId="2528B3EA">
      <w:pPr>
        <w:spacing w:line="240" w:lineRule="auto"/>
        <w:ind w:firstLine="640"/>
        <w:jc w:val="both"/>
      </w:pPr>
      <w:r>
        <w:rPr>
          <w:rFonts w:ascii="仿宋_GB2312" w:hAnsi="仿宋_GB2312" w:eastAsia="仿宋_GB2312"/>
          <w:b w:val="0"/>
          <w:sz w:val="32"/>
        </w:rPr>
        <w:t>九、《财政拨款“三公”经费支出决算表》</w:t>
      </w:r>
    </w:p>
    <w:p w14:paraId="2126795F">
      <w:pPr>
        <w:spacing w:line="240" w:lineRule="auto"/>
        <w:ind w:firstLine="640"/>
        <w:jc w:val="both"/>
      </w:pPr>
    </w:p>
    <w:p w14:paraId="1243C149">
      <w:pPr>
        <w:spacing w:line="240" w:lineRule="auto"/>
        <w:ind w:firstLine="640"/>
        <w:jc w:val="both"/>
      </w:pPr>
    </w:p>
    <w:p w14:paraId="1138C8EC">
      <w:pPr>
        <w:spacing w:line="240" w:lineRule="auto"/>
        <w:ind w:firstLine="640"/>
        <w:jc w:val="both"/>
      </w:pPr>
    </w:p>
    <w:p w14:paraId="06F5B16D">
      <w:pPr>
        <w:spacing w:line="240" w:lineRule="auto"/>
        <w:ind w:firstLine="640"/>
        <w:jc w:val="both"/>
      </w:pPr>
    </w:p>
    <w:p w14:paraId="2F3F3D47">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2F937E6-3C16-4AE3-9F73-0706DDD5E48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2E336C0E-E0BC-4B10-A590-DE8FEE24E30D}"/>
  </w:font>
  <w:font w:name="仿宋_GB2312">
    <w:panose1 w:val="02010609030101010101"/>
    <w:charset w:val="86"/>
    <w:family w:val="modern"/>
    <w:pitch w:val="default"/>
    <w:sig w:usb0="00000001" w:usb1="080E0000" w:usb2="00000000" w:usb3="00000000" w:csb0="00040000" w:csb1="00000000"/>
    <w:embedRegular r:id="rId3" w:fontKey="{9039F82D-7A51-408C-AE1D-0F6D43477CFE}"/>
  </w:font>
  <w:font w:name="楷体_GB2312">
    <w:panose1 w:val="02010609030101010101"/>
    <w:charset w:val="86"/>
    <w:family w:val="auto"/>
    <w:pitch w:val="default"/>
    <w:sig w:usb0="00000001" w:usb1="080E0000" w:usb2="00000000" w:usb3="00000000" w:csb0="00040000" w:csb1="00000000"/>
    <w:embedRegular r:id="rId4" w:fontKey="{7922F1FE-DEAF-44DD-A7E7-3920DBF5176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80C5D74"/>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A015B03"/>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b66cabe1-187b-44be-91de-66d396625e48</errorID>
      <errorWord>新机制</errorWord>
      <group>L1_Word</group>
      <groupName>字词问题</groupName>
      <ability>L2_Typo</ability>
      <abilityName>字词错误</abilityName>
      <candidateList>
        <item>机制</item>
      </candidateList>
      <explain/>
      <paraID>55CA988B</paraID>
      <start>157</start>
      <end>160</end>
      <status>ignored</status>
      <modifiedWord/>
      <trackRevisions>false</trackRevisions>
    </reviewItem>
    <reviewItem>
      <errorID>d8282b91-83b8-43a8-8aa5-57821ae7d7f4</errorID>
      <errorWord>计划生育</errorWord>
      <group>L1_Sensitive</group>
      <groupName>敏感问题</groupName>
      <ability>L2_UserSensitive</ability>
      <abilityName>自定义敏感词</abilityName>
      <candidateList/>
      <explain>来自自定义敏感词库。</explain>
      <paraID>524FC264</paraID>
      <start>55</start>
      <end>59</end>
      <status>ignored</status>
      <modifiedWord/>
      <trackRevisions>false</trackRevisions>
    </reviewItem>
    <reviewItem>
      <errorID>ec54f567-b628-47f0-87d7-85d215a241a2</errorID>
      <errorWord>计划生育</errorWord>
      <group>L1_Sensitive</group>
      <groupName>敏感问题</groupName>
      <ability>L2_UserSensitive</ability>
      <abilityName>自定义敏感词</abilityName>
      <candidateList/>
      <explain>来自自定义敏感词库。</explain>
      <paraID>46955D03</paraID>
      <start>12</start>
      <end>16</end>
      <status>ignored</status>
      <modifiedWord/>
      <trackRevisions>false</trackRevisions>
    </reviewItem>
    <reviewItem>
      <errorID>5b7a7596-703d-4fe9-9b5b-11adbc70dad1</errorID>
      <errorWord>计划生育</errorWord>
      <group>L1_Sensitive</group>
      <groupName>敏感问题</groupName>
      <ability>L2_UserSensitive</ability>
      <abilityName>自定义敏感词</abilityName>
      <candidateList/>
      <explain>来自自定义敏感词库。</explain>
      <paraID>46955D03</paraID>
      <start>21</start>
      <end>25</end>
      <status>ignored</status>
      <modifiedWord/>
      <trackRevisions>false</trackRevisions>
    </reviewItem>
    <reviewItem>
      <errorID>fdc5657a-ed30-41ac-9260-67a6d9536fcb</errorID>
      <errorWord>计划生育</errorWord>
      <group>L1_Sensitive</group>
      <groupName>敏感问题</groupName>
      <ability>L2_UserSensitive</ability>
      <abilityName>自定义敏感词</abilityName>
      <candidateList/>
      <explain>来自自定义敏感词库。</explain>
      <paraID>46955D03</paraID>
      <start>102</start>
      <end>106</end>
      <status>ignored</status>
      <modifiedWord/>
      <trackRevisions>false</trackRevisions>
    </reviewItem>
    <reviewItem>
      <errorID>d6931e6e-a4c1-4d6c-8901-53eca9036286</errorID>
      <errorWord>计划生育</errorWord>
      <group>L1_Sensitive</group>
      <groupName>敏感问题</groupName>
      <ability>L2_UserSensitive</ability>
      <abilityName>自定义敏感词</abilityName>
      <candidateList/>
      <explain>来自自定义敏感词库。</explain>
      <paraID>46955D03</paraID>
      <start>115</start>
      <end>119</end>
      <status>ignored</status>
      <modifiedWord/>
      <trackRevisions>false</trackRevisions>
    </reviewItem>
    <reviewItem>
      <errorID>eaf645ca-0d6d-476f-897a-d323252ceda2</errorID>
      <errorWord>计划生育</errorWord>
      <group>L1_Sensitive</group>
      <groupName>敏感问题</groupName>
      <ability>L2_UserSensitive</ability>
      <abilityName>自定义敏感词</abilityName>
      <candidateList/>
      <explain>来自自定义敏感词库。</explain>
      <paraID> E335B39</paraID>
      <start>12</start>
      <end>16</end>
      <status>ignored</status>
      <modifiedWord/>
      <trackRevisions>false</trackRevisions>
    </reviewItem>
    <reviewItem>
      <errorID>cfe96911-40bd-4fc9-bc9b-bafc341b98a9</errorID>
      <errorWord>计划生育</errorWord>
      <group>L1_Sensitive</group>
      <groupName>敏感问题</groupName>
      <ability>L2_UserSensitive</ability>
      <abilityName>自定义敏感词</abilityName>
      <candidateList/>
      <explain>来自自定义敏感词库。</explain>
      <paraID> E335B39</paraID>
      <start>23</start>
      <end>27</end>
      <status>ignored</status>
      <modifiedWord/>
      <trackRevisions>false</trackRevisions>
    </reviewItem>
    <reviewItem>
      <errorID>0e025943-88ed-4e87-86e8-c8b527f1dd5f</errorID>
      <errorWord>计划生育</errorWord>
      <group>L1_Sensitive</group>
      <groupName>敏感问题</groupName>
      <ability>L2_UserSensitive</ability>
      <abilityName>自定义敏感词</abilityName>
      <candidateList/>
      <explain>来自自定义敏感词库。</explain>
      <paraID> E335B39</paraID>
      <start>106</start>
      <end>110</end>
      <status>ignored</status>
      <modifiedWord/>
      <trackRevisions>false</trackRevisions>
    </reviewItem>
    <reviewItem>
      <errorID>27517547-a64f-4f35-9c58-1f6d400ea571</errorID>
      <errorWord>债</errorWord>
      <group>L1_Sensitive</group>
      <groupName>敏感问题</groupName>
      <ability>L2_UserSensitive</ability>
      <abilityName>自定义敏感词</abilityName>
      <candidateList/>
      <explain>来自自定义敏感词库。</explain>
      <paraID>75AEB471</paraID>
      <start>26</start>
      <end>27</end>
      <status>ignored</status>
      <modifiedWord/>
      <trackRevisions>false</trackRevisions>
    </reviewItem>
    <reviewItem>
      <errorID>6a977cd2-8b62-4e42-8992-be910bef0de2</errorID>
      <errorWord>2月31日</errorWord>
      <group>L1_Sensitive</group>
      <groupName>敏感问题</groupName>
      <ability>L2_UserSensitive</ability>
      <abilityName>自定义敏感词</abilityName>
      <candidateList/>
      <explain>来自自定义敏感词库。</explain>
      <paraID>185F4FC9</paraID>
      <start>8</start>
      <end>13</end>
      <status>ignored</status>
      <modifiedWord/>
      <trackRevisions>false</trackRevisions>
    </reviewItem>
    <reviewItem>
      <errorID>f814617d-e816-4e30-a83f-2d6489208475</errorID>
      <errorWord>全民体检</errorWord>
      <group>L1_Sensitive</group>
      <groupName>敏感问题</groupName>
      <ability>L2_UserSensitive</ability>
      <abilityName>自定义敏感词</abilityName>
      <candidateList/>
      <explain>来自自定义敏感词库。</explain>
      <paraID>3B05D1FE</paraID>
      <start>4</start>
      <end>8</end>
      <status>ignored</status>
      <modifiedWord/>
      <trackRevisions>false</trackRevisions>
    </reviewItem>
    <reviewItem>
      <errorID>8ce44d68-d77f-4fbe-a432-913bc07270e8</errorID>
      <errorWord>全民体检</errorWord>
      <group>L1_Sensitive</group>
      <groupName>敏感问题</groupName>
      <ability>L2_UserSensitive</ability>
      <abilityName>自定义敏感词</abilityName>
      <candidateList/>
      <explain>来自自定义敏感词库。</explain>
      <paraID>4446A95C</paraID>
      <start>2</start>
      <end>6</end>
      <status>ignored</status>
      <modifiedWord/>
      <trackRevisions>false</trackRevisions>
    </reviewItem>
    <reviewItem>
      <errorID>738aea84-2bcb-4adf-aee6-acaff11ca41b</errorID>
      <errorWord>2月31日</errorWord>
      <group>L1_Sensitive</group>
      <groupName>敏感问题</groupName>
      <ability>L2_UserSensitive</ability>
      <abilityName>自定义敏感词</abilityName>
      <candidateList/>
      <explain>来自自定义敏感词库。</explain>
      <paraID>756C7243</paraID>
      <start>45</start>
      <end>50</end>
      <status>ignored</status>
      <modifiedWord/>
      <trackRevisions>false</trackRevisions>
    </reviewItem>
    <reviewItem>
      <errorID>270e1c49-a4c7-43f9-a515-f0d32905895a</errorID>
      <errorWord>2月31日</errorWord>
      <group>L1_Sensitive</group>
      <groupName>敏感问题</groupName>
      <ability>L2_UserSensitive</ability>
      <abilityName>自定义敏感词</abilityName>
      <candidateList/>
      <explain>来自自定义敏感词库。</explain>
      <paraID>504E5688</paraID>
      <start>33</start>
      <end>38</end>
      <status>ignored</status>
      <modifiedWord/>
      <trackRevisions>false</trackRevisions>
    </reviewItem>
    <reviewItem>
      <errorID>4dd735ae-f3b5-4b00-9616-2a139b559c0c</errorID>
      <errorWord>-</errorWord>
      <group>L1_Format</group>
      <groupName>格式问题</groupName>
      <ability>L2_HalfPunc</ability>
      <abilityName>全半角检查</abilityName>
      <candidateList>
        <item>－</item>
      </candidateList>
      <explain>文本全半角错误。</explain>
      <paraID>1B5FA77F</paraID>
      <start>9</start>
      <end>10</end>
      <status>modified</status>
      <modifiedWord>－</modifiedWord>
      <trackRevisions>false</trackRevisions>
    </reviewItem>
    <reviewItem>
      <errorID>d7502614-d3ce-417c-828c-b2c7f5894910</errorID>
      <errorWord>2月31日</errorWord>
      <group>L1_Sensitive</group>
      <groupName>敏感问题</groupName>
      <ability>L2_UserSensitive</ability>
      <abilityName>自定义敏感词</abilityName>
      <candidateList/>
      <explain>来自自定义敏感词库。</explain>
      <paraID>1F011308</paraID>
      <start>35</start>
      <end>40</end>
      <status>ignored</status>
      <modifiedWord/>
      <trackRevisions>false</trackRevisions>
    </reviewItem>
    <reviewItem>
      <errorID>46cc6085-4585-4f9e-832e-d820cf9c967c</errorID>
      <errorWord>债</errorWord>
      <group>L1_Sensitive</group>
      <groupName>敏感问题</groupName>
      <ability>L2_UserSensitive</ability>
      <abilityName>自定义敏感词</abilityName>
      <candidateList/>
      <explain>来自自定义敏感词库。</explain>
      <paraID>1DDE1389</paraID>
      <start>23</start>
      <end>24</end>
      <status>ignored</status>
      <modifiedWord/>
      <trackRevisions>false</trackRevisions>
    </reviewItem>
    <reviewItem>
      <errorID>f51fc496-cfd2-41d2-b5f5-ed589de1ebb2</errorID>
      <errorWord>化债</errorWord>
      <group>L1_Sensitive</group>
      <groupName>敏感问题</groupName>
      <ability>L2_UserSensitive</ability>
      <abilityName>自定义敏感词</abilityName>
      <candidateList/>
      <explain>来自自定义敏感词库。</explain>
      <paraID>1DDE1389</paraID>
      <start>64</start>
      <end>66</end>
      <status>ignored</status>
      <modifiedWord/>
      <trackRevisions>false</trackRevisions>
    </reviewItem>
    <reviewItem>
      <errorID>b4e6cf11-2382-44c0-ac97-77b1355a5f24</errorID>
      <errorWord>化债</errorWord>
      <group>L1_Sensitive</group>
      <groupName>敏感问题</groupName>
      <ability>L2_UserSensitive</ability>
      <abilityName>自定义敏感词</abilityName>
      <candidateList/>
      <explain>来自自定义敏感词库。</explain>
      <paraID>1DDE1389</paraID>
      <start>156</start>
      <end>158</end>
      <status>ignored</status>
      <modifiedWord/>
      <trackRevisions>false</trackRevisions>
    </reviewItem>
    <reviewItem>
      <errorID>7d4a8929-3f33-48d0-8771-66e9e4bce2d6</errorID>
      <errorWord>化债</errorWord>
      <group>L1_Sensitive</group>
      <groupName>敏感问题</groupName>
      <ability>L2_UserSensitive</ability>
      <abilityName>自定义敏感词</abilityName>
      <candidateList/>
      <explain>来自自定义敏感词库。</explain>
      <paraID>1DDE1389</paraID>
      <start>212</start>
      <end>214</end>
      <status>ignored</status>
      <modifiedWord/>
      <trackRevisions>false</trackRevisions>
    </reviewItem>
    <reviewItem>
      <errorID>bf6afb9d-3347-4531-a9e8-e5c889ce2451</errorID>
      <errorWord>化债</errorWord>
      <group>L1_Sensitive</group>
      <groupName>敏感问题</groupName>
      <ability>L2_UserSensitive</ability>
      <abilityName>自定义敏感词</abilityName>
      <candidateList/>
      <explain>来自自定义敏感词库。</explain>
      <paraID>1DDE1389</paraID>
      <start>254</start>
      <end>256</end>
      <status>ignored</status>
      <modifiedWord/>
      <trackRevisions>false</trackRevisions>
    </reviewItem>
    <reviewItem>
      <errorID>17d5dedc-939b-47e3-ad04-4f2fdd25ff5d</errorID>
      <errorWord>医医</errorWord>
      <group>L1_Word</group>
      <groupName>字词问题</groupName>
      <ability>L2_Typo</ability>
      <abilityName>字词错误</abilityName>
      <candidateList>
        <item>医</item>
      </candidateList>
      <explain/>
      <paraID>1DDE1389</paraID>
      <start>267</start>
      <end>269</end>
      <status>ignored</status>
      <modifiedWord/>
      <trackRevisions>false</trackRevisions>
    </reviewItem>
    <reviewItem>
      <errorID>df621276-0ff9-488c-90ac-09af0e887868</errorID>
      <errorWord>债</errorWord>
      <group>L1_Sensitive</group>
      <groupName>敏感问题</groupName>
      <ability>L2_UserSensitive</ability>
      <abilityName>自定义敏感词</abilityName>
      <candidateList/>
      <explain>来自自定义敏感词库。</explain>
      <paraID>1DDE1389</paraID>
      <start>342</start>
      <end>343</end>
      <status>ignored</status>
      <modifiedWord/>
      <trackRevisions>false</trackRevisions>
    </reviewItem>
    <reviewItem>
      <errorID>32493285-d1a1-4564-a53a-d112bb280460</errorID>
      <errorWord>债</errorWord>
      <group>L1_Sensitive</group>
      <groupName>敏感问题</groupName>
      <ability>L2_UserSensitive</ability>
      <abilityName>自定义敏感词</abilityName>
      <candidateList/>
      <explain>来自自定义敏感词库。</explain>
      <paraID>1DDE1389</paraID>
      <start>395</start>
      <end>396</end>
      <status>ignored</status>
      <modifiedWord/>
      <trackRevisions>false</trackRevisions>
    </reviewItem>
    <reviewItem>
      <errorID>3fe4f9de-1e04-4577-8c09-64cd74901291</errorID>
      <errorWord>债</errorWord>
      <group>L1_Sensitive</group>
      <groupName>敏感问题</groupName>
      <ability>L2_UserSensitive</ability>
      <abilityName>自定义敏感词</abilityName>
      <candidateList/>
      <explain>来自自定义敏感词库。</explain>
      <paraID>1DDE1389</paraID>
      <start>434</start>
      <end>435</end>
      <status>ignored</status>
      <modifiedWord/>
      <trackRevisions>false</trackRevisions>
    </reviewItem>
    <reviewItem>
      <errorID>7c5b0031-ad7c-4d4c-a93f-71fed1412126</errorID>
      <errorWord>债</errorWord>
      <group>L1_Sensitive</group>
      <groupName>敏感问题</groupName>
      <ability>L2_UserSensitive</ability>
      <abilityName>自定义敏感词</abilityName>
      <candidateList/>
      <explain>来自自定义敏感词库。</explain>
      <paraID>1DDE1389</paraID>
      <start>439</start>
      <end>440</end>
      <status>ignored</status>
      <modifiedWord/>
      <trackRevisions>false</trackRevisions>
    </reviewItem>
    <reviewItem>
      <errorID>47b57084-e6bf-417c-92c2-c64b1899b00c</errorID>
      <errorWord>债</errorWord>
      <group>L1_Sensitive</group>
      <groupName>敏感问题</groupName>
      <ability>L2_UserSensitive</ability>
      <abilityName>自定义敏感词</abilityName>
      <candidateList/>
      <explain>来自自定义敏感词库。</explain>
      <paraID>3F268968</paraID>
      <start>67</start>
      <end>68</end>
      <status>ignored</status>
      <modifiedWord/>
      <trackRevisions>false</trackRevisions>
    </reviewItem>
    <reviewItem>
      <errorID>ab85514a-fc79-4962-9d9d-9a0355433377</errorID>
      <errorWord>债</errorWord>
      <group>L1_Sensitive</group>
      <groupName>敏感问题</groupName>
      <ability>L2_UserSensitive</ability>
      <abilityName>自定义敏感词</abilityName>
      <candidateList/>
      <explain>来自自定义敏感词库。</explain>
      <paraID>3F268968</paraID>
      <start>121</start>
      <end>122</end>
      <status>ignored</status>
      <modifiedWord/>
      <trackRevisions>false</trackRevisions>
    </reviewItem>
    <reviewItem>
      <errorID>62dfc9fa-cca1-40b9-9a9a-16003b64212a</errorID>
      <errorWord>债</errorWord>
      <group>L1_Sensitive</group>
      <groupName>敏感问题</groupName>
      <ability>L2_UserSensitive</ability>
      <abilityName>自定义敏感词</abilityName>
      <candidateList/>
      <explain>来自自定义敏感词库。</explain>
      <paraID>3F268968</paraID>
      <start>160</start>
      <end>161</end>
      <status>ignored</status>
      <modifiedWord/>
      <trackRevisions>false</trackRevisions>
    </reviewItem>
    <reviewItem>
      <errorID>32ddc64d-3a2f-4f73-9d2c-07a8053f601e</errorID>
      <errorWord>债</errorWord>
      <group>L1_Sensitive</group>
      <groupName>敏感问题</groupName>
      <ability>L2_UserSensitive</ability>
      <abilityName>自定义敏感词</abilityName>
      <candidateList/>
      <explain>来自自定义敏感词库。</explain>
      <paraID>3F268968</paraID>
      <start>165</start>
      <end>166</end>
      <status>ignored</status>
      <modifiedWord/>
      <trackRevisions>false</trackRevisions>
    </reviewItem>
    <reviewItem>
      <errorID>3ab10425-8a52-4eda-9521-ff9b38df9fa2</errorID>
      <errorWord>化债</errorWord>
      <group>L1_Sensitive</group>
      <groupName>敏感问题</groupName>
      <ability>L2_UserSensitive</ability>
      <abilityName>自定义敏感词</abilityName>
      <candidateList/>
      <explain>来自自定义敏感词库。</explain>
      <paraID>31D941A2</paraID>
      <start>10</start>
      <end>12</end>
      <status>ignored</status>
      <modifiedWord/>
      <trackRevisions>false</trackRevisions>
    </reviewItem>
    <reviewItem>
      <errorID>f071c7f4-73ad-4493-9148-54fee11e99c1</errorID>
      <errorWord>化债</errorWord>
      <group>L1_Sensitive</group>
      <groupName>敏感问题</groupName>
      <ability>L2_UserSensitive</ability>
      <abilityName>自定义敏感词</abilityName>
      <candidateList/>
      <explain>来自自定义敏感词库。</explain>
      <paraID>31D941A2</paraID>
      <start>36</start>
      <end>38</end>
      <status>ignored</status>
      <modifiedWord/>
      <trackRevisions>false</trackRevisions>
    </reviewItem>
    <reviewItem>
      <errorID>9fae5eeb-7b4d-4d32-8810-cbe1faf73180</errorID>
      <errorWord>债</errorWord>
      <group>L1_Sensitive</group>
      <groupName>敏感问题</groupName>
      <ability>L2_UserSensitive</ability>
      <abilityName>自定义敏感词</abilityName>
      <candidateList/>
      <explain>来自自定义敏感词库。</explain>
      <paraID>4DC2CACB</paraID>
      <start>0</start>
      <end>1</end>
      <status>ignored</status>
      <modifiedWord/>
      <trackRevisions>false</trackRevisions>
    </reviewItem>
    <reviewItem>
      <errorID>624e5e15-2674-494c-a1f1-743a37f20b28</errorID>
      <errorWord>2月31日</errorWord>
      <group>L1_Sensitive</group>
      <groupName>敏感问题</groupName>
      <ability>L2_UserSensitive</ability>
      <abilityName>自定义敏感词</abilityName>
      <candidateList/>
      <explain>来自自定义敏感词库。</explain>
      <paraID>12C57125</paraID>
      <start>41</start>
      <end>46</end>
      <status>ignored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25277da-1c47-4e29-a307-1e2c8f0bf6d4}">
  <ds:schemaRefs/>
</ds:datastoreItem>
</file>

<file path=docProps/app.xml><?xml version="1.0" encoding="utf-8"?>
<Properties xmlns="http://schemas.openxmlformats.org/officeDocument/2006/extended-properties" xmlns:vt="http://schemas.openxmlformats.org/officeDocument/2006/docPropsVTypes">
  <Template>Normal.dotm</Template>
  <Pages>43</Pages>
  <Words>8341</Words>
  <Characters>9527</Characters>
  <Lines>0</Lines>
  <Paragraphs>0</Paragraphs>
  <TotalTime>9</TotalTime>
  <ScaleCrop>false</ScaleCrop>
  <LinksUpToDate>false</LinksUpToDate>
  <CharactersWithSpaces>9675</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来财&amp;十个勤天</cp:lastModifiedBy>
  <cp:lastPrinted>2024-07-22T11:58:00Z</cp:lastPrinted>
  <dcterms:modified xsi:type="dcterms:W3CDTF">2025-10-31T10:43:39Z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eyJoZGlkIjoiZTEwMTFjZmI3NWUwMGRmYWEyNzFiMzQ2OTlkZWE5ODAiLCJ1c2VySWQiOiIzNzI2MDMzNTYifQ==</vt:lpwstr>
  </property>
</Properties>
</file>